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CE" w:rsidRDefault="00D957EE" w:rsidP="00667491">
      <w:pPr>
        <w:pStyle w:val="Titolo"/>
      </w:pPr>
      <w:r w:rsidRPr="00D957EE">
        <w:t xml:space="preserve">Assessing and adjusting bias </w:t>
      </w:r>
      <w:r w:rsidR="00373120">
        <w:t>due to</w:t>
      </w:r>
      <w:r w:rsidRPr="00D957EE">
        <w:t xml:space="preserve"> mixed mode </w:t>
      </w:r>
      <w:r w:rsidR="00373120">
        <w:t xml:space="preserve">in </w:t>
      </w:r>
      <w:r w:rsidR="002D5E12">
        <w:t>Aspect of Daily Life</w:t>
      </w:r>
      <w:r w:rsidRPr="00D957EE">
        <w:t xml:space="preserve"> </w:t>
      </w:r>
      <w:r w:rsidR="002D5E12">
        <w:t>S</w:t>
      </w:r>
      <w:r w:rsidR="00373120">
        <w:t>urvey</w:t>
      </w:r>
    </w:p>
    <w:p w:rsidR="00243A2C" w:rsidRDefault="00243A2C" w:rsidP="00243A2C">
      <w:r w:rsidRPr="00243A2C">
        <w:rPr>
          <w:b/>
          <w:u w:val="single"/>
        </w:rPr>
        <w:t>Keywords</w:t>
      </w:r>
      <w:r w:rsidRPr="00243A2C">
        <w:rPr>
          <w:b/>
        </w:rPr>
        <w:t>:</w:t>
      </w:r>
      <w:r>
        <w:t xml:space="preserve"> </w:t>
      </w:r>
      <w:r w:rsidR="00FE5D93">
        <w:t>M</w:t>
      </w:r>
      <w:r w:rsidR="00FE5D93" w:rsidRPr="00FE5D93">
        <w:t>ixed mode, selection effect, measurement effect</w:t>
      </w:r>
      <w:r w:rsidR="001B50CE" w:rsidRPr="00FE5D93">
        <w:t>.</w:t>
      </w:r>
    </w:p>
    <w:p w:rsidR="002012A8" w:rsidRDefault="00CE5EDD" w:rsidP="00CE5EDD">
      <w:pPr>
        <w:pStyle w:val="Titolo1"/>
        <w:tabs>
          <w:tab w:val="num" w:pos="480"/>
        </w:tabs>
        <w:ind w:left="480" w:hanging="480"/>
      </w:pPr>
      <w:r>
        <w:t>1</w:t>
      </w:r>
      <w:r>
        <w:tab/>
      </w:r>
      <w:r w:rsidR="002012A8">
        <w:t>Introduction</w:t>
      </w:r>
    </w:p>
    <w:p w:rsidR="009373DF" w:rsidRDefault="00D63BC7" w:rsidP="00B3625C">
      <w:r w:rsidRPr="00D63BC7">
        <w:t>The mixed mode (MM), i.e. the use of different collection techniques in the same survey, is a relatively new approach that ISTAT, as well as other NSI</w:t>
      </w:r>
      <w:r w:rsidR="000E5D82">
        <w:t>s</w:t>
      </w:r>
      <w:r w:rsidRPr="00D63BC7">
        <w:t>, is adopting especially for social surveys. Its use is spread</w:t>
      </w:r>
      <w:r w:rsidR="00270713">
        <w:t>ing</w:t>
      </w:r>
      <w:r w:rsidRPr="00D63BC7">
        <w:t xml:space="preserve"> both to contrast declining response rates and to reduce the total cost of surveys (</w:t>
      </w:r>
      <w:r w:rsidR="008655C1">
        <w:t xml:space="preserve">[1] </w:t>
      </w:r>
      <w:r w:rsidRPr="00CB637A">
        <w:t xml:space="preserve">de </w:t>
      </w:r>
      <w:proofErr w:type="spellStart"/>
      <w:r w:rsidRPr="00CB637A">
        <w:t>Leeuw</w:t>
      </w:r>
      <w:proofErr w:type="spellEnd"/>
      <w:r w:rsidRPr="00CB637A">
        <w:t>, 2005).</w:t>
      </w:r>
      <w:r w:rsidRPr="00D63BC7">
        <w:t xml:space="preserve"> </w:t>
      </w:r>
      <w:r w:rsidR="000A0A05">
        <w:t>Using</w:t>
      </w:r>
      <w:r w:rsidRPr="00D63BC7">
        <w:t xml:space="preserve"> different data collection techniques, in fact, helps in contacting different types of respondents in the most suitable way for each of them, allowing a gain in population coverage and response rate. However, it introduces a bias, named mode effect, that must be </w:t>
      </w:r>
      <w:r w:rsidR="000A0A05">
        <w:t>faced</w:t>
      </w:r>
      <w:r w:rsidR="000A0A05" w:rsidRPr="00D63BC7">
        <w:t xml:space="preserve"> </w:t>
      </w:r>
      <w:r w:rsidRPr="00D63BC7">
        <w:t xml:space="preserve">at different levels: in the design phase by defining the best collection instruments to contain the measurement error; in the estimation phase by assessing and treating the bias effects due to the </w:t>
      </w:r>
      <w:r w:rsidR="007F2FF1">
        <w:t>use</w:t>
      </w:r>
      <w:r w:rsidRPr="00D63BC7">
        <w:t xml:space="preserve"> of MM, in order to ensure the accuracy of the estimates, that must be consistent and comparable with the analogue ones obtained in the previous survey editions, for ensuring that changes in the time series are exclusively due to real changes of the observed phenomenon.</w:t>
      </w:r>
      <w:r w:rsidR="00D2703E">
        <w:t xml:space="preserve"> </w:t>
      </w:r>
    </w:p>
    <w:p w:rsidR="00FF6799" w:rsidRPr="002D03B9" w:rsidRDefault="00D63BC7" w:rsidP="00B3625C">
      <w:r w:rsidRPr="00D63BC7">
        <w:t>Mixed mode simultaneously generates nonresponse error (selection effects) and measurement error (measurement effects). Selection effects occur when different types of respondents choose different modes to complete the survey</w:t>
      </w:r>
      <w:r w:rsidR="00270713">
        <w:t>:</w:t>
      </w:r>
      <w:r w:rsidRPr="00D63BC7">
        <w:t xml:space="preserve"> </w:t>
      </w:r>
      <w:r w:rsidR="00270713">
        <w:t xml:space="preserve">it </w:t>
      </w:r>
      <w:r w:rsidRPr="00D63BC7">
        <w:t xml:space="preserve">is in itself not a problem </w:t>
      </w:r>
      <w:r w:rsidR="00270713">
        <w:t>as</w:t>
      </w:r>
      <w:r w:rsidR="00270713" w:rsidRPr="00D63BC7">
        <w:t xml:space="preserve"> </w:t>
      </w:r>
      <w:r w:rsidRPr="00D63BC7">
        <w:t xml:space="preserve">its occurrence makes using a MM design valuable. Measurement effects refer to the influence of a survey mode on the </w:t>
      </w:r>
      <w:r w:rsidR="000A0A05" w:rsidRPr="00D63BC7">
        <w:t>give</w:t>
      </w:r>
      <w:r w:rsidR="000A0A05">
        <w:t>n</w:t>
      </w:r>
      <w:r w:rsidR="000A0A05" w:rsidRPr="00D63BC7">
        <w:t xml:space="preserve"> </w:t>
      </w:r>
      <w:r w:rsidRPr="00D63BC7">
        <w:t>answers, such that one person would give different answers in different modes. Put differently, measurement effects are caused by differences in measurement errors</w:t>
      </w:r>
      <w:r w:rsidR="00CB637A">
        <w:t xml:space="preserve"> </w:t>
      </w:r>
      <w:r w:rsidRPr="00CB637A">
        <w:t>originate</w:t>
      </w:r>
      <w:r w:rsidR="00CB637A" w:rsidRPr="00CB637A">
        <w:t>d</w:t>
      </w:r>
      <w:r w:rsidRPr="00CB637A">
        <w:t xml:space="preserve"> from differences,</w:t>
      </w:r>
      <w:r w:rsidR="00707D30" w:rsidRPr="00CB637A">
        <w:t xml:space="preserve"> for example,</w:t>
      </w:r>
      <w:r w:rsidRPr="00CB637A">
        <w:t xml:space="preserve"> </w:t>
      </w:r>
      <w:r w:rsidR="00A3055E" w:rsidRPr="00CB637A">
        <w:t xml:space="preserve">in </w:t>
      </w:r>
      <w:r w:rsidRPr="00CB637A">
        <w:t>interviewer effects and social desirability, recall bias, etc.</w:t>
      </w:r>
      <w:r w:rsidR="00411C52">
        <w:t xml:space="preserve"> </w:t>
      </w:r>
      <w:r w:rsidRPr="00D63BC7">
        <w:t xml:space="preserve">The </w:t>
      </w:r>
      <w:r w:rsidR="000A0A05">
        <w:t xml:space="preserve">main </w:t>
      </w:r>
      <w:r w:rsidR="00304C9B">
        <w:t xml:space="preserve">critical </w:t>
      </w:r>
      <w:r w:rsidR="00A3055E">
        <w:t>issue</w:t>
      </w:r>
      <w:r w:rsidR="00A3055E" w:rsidRPr="00D63BC7">
        <w:t xml:space="preserve"> </w:t>
      </w:r>
      <w:r w:rsidRPr="00D63BC7">
        <w:t xml:space="preserve">of MM designs is that selection </w:t>
      </w:r>
      <w:r w:rsidR="000A0A05" w:rsidRPr="00D63BC7">
        <w:t xml:space="preserve">and measurement </w:t>
      </w:r>
      <w:r w:rsidRPr="00D63BC7">
        <w:t xml:space="preserve">effects are confounded, especially when modes are </w:t>
      </w:r>
      <w:r w:rsidR="000A0A05" w:rsidRPr="000A0A05">
        <w:t>administered</w:t>
      </w:r>
      <w:r w:rsidR="00F23F09">
        <w:t xml:space="preserve"> </w:t>
      </w:r>
      <w:r w:rsidRPr="00D63BC7">
        <w:t>in sequential way. Differences between the outcomes of modes can be caused by differences between the respondents or by difference</w:t>
      </w:r>
      <w:r w:rsidR="00975F8C">
        <w:t>s in measurement error: method for disentangling the two effect</w:t>
      </w:r>
      <w:r w:rsidR="00335E69">
        <w:t>s</w:t>
      </w:r>
      <w:r w:rsidR="00975F8C">
        <w:t xml:space="preserve"> are needed and separate assessment should be carried out.</w:t>
      </w:r>
    </w:p>
    <w:p w:rsidR="003C374E" w:rsidRPr="00D63BC7" w:rsidRDefault="00564055" w:rsidP="00304C9B">
      <w:r w:rsidRPr="00CD543B">
        <w:rPr>
          <w:lang w:val="en-US"/>
        </w:rPr>
        <w:t xml:space="preserve">The focus of this work is the experience in the evaluation and treatment of MM effect in the experimental situation of ISTAT survey “Aspects of daily life - 2017”, a sequential </w:t>
      </w:r>
      <w:r w:rsidR="00555718" w:rsidRPr="00CD543B">
        <w:rPr>
          <w:lang w:val="en-US"/>
        </w:rPr>
        <w:t>web</w:t>
      </w:r>
      <w:r w:rsidRPr="00CD543B">
        <w:rPr>
          <w:lang w:val="en-US"/>
        </w:rPr>
        <w:t>/PAPI survey for which a</w:t>
      </w:r>
      <w:r w:rsidR="00227D45">
        <w:rPr>
          <w:lang w:val="en-US"/>
        </w:rPr>
        <w:t>n indep</w:t>
      </w:r>
      <w:r w:rsidR="00D94ED0">
        <w:rPr>
          <w:lang w:val="en-US"/>
        </w:rPr>
        <w:t>endent</w:t>
      </w:r>
      <w:r w:rsidRPr="00CD543B">
        <w:rPr>
          <w:lang w:val="en-US"/>
        </w:rPr>
        <w:t xml:space="preserve"> control single mode (SM) </w:t>
      </w:r>
      <w:r w:rsidR="00335E69" w:rsidRPr="00CD543B">
        <w:rPr>
          <w:lang w:val="en-US"/>
        </w:rPr>
        <w:t xml:space="preserve">PAPI </w:t>
      </w:r>
      <w:r w:rsidRPr="00CD543B">
        <w:rPr>
          <w:lang w:val="en-US"/>
        </w:rPr>
        <w:t xml:space="preserve">sample was planned to </w:t>
      </w:r>
      <w:r w:rsidR="00D94ED0" w:rsidRPr="00D63BC7">
        <w:t>make an assessment of the introduction of the mixed mode</w:t>
      </w:r>
      <w:r w:rsidRPr="00CD543B">
        <w:rPr>
          <w:lang w:val="en-US"/>
        </w:rPr>
        <w:t xml:space="preserve">. </w:t>
      </w:r>
      <w:r w:rsidR="00A41D3E" w:rsidRPr="00CD543B">
        <w:rPr>
          <w:lang w:val="en-US"/>
        </w:rPr>
        <w:t>The ADL survey is part of the integrated system of Multipurpose Surveys on households</w:t>
      </w:r>
      <w:r w:rsidR="00304C9B" w:rsidRPr="00CD543B">
        <w:rPr>
          <w:lang w:val="en-US"/>
        </w:rPr>
        <w:t xml:space="preserve"> and c</w:t>
      </w:r>
      <w:r w:rsidR="0037392F" w:rsidRPr="00304C9B">
        <w:rPr>
          <w:lang w:val="en-US"/>
        </w:rPr>
        <w:t>ollects information about recreational and cultural activities in free time, such as sports, reading, cinema, music, the Internet, social relations, issues for the quality of life of people</w:t>
      </w:r>
      <w:r w:rsidR="00304C9B">
        <w:rPr>
          <w:lang w:val="en-US"/>
        </w:rPr>
        <w:t>.</w:t>
      </w:r>
      <w:r w:rsidR="00CD543B">
        <w:rPr>
          <w:lang w:val="en-US"/>
        </w:rPr>
        <w:t xml:space="preserve"> </w:t>
      </w:r>
      <w:r w:rsidR="00304C9B">
        <w:rPr>
          <w:lang w:val="en-US"/>
        </w:rPr>
        <w:t>ADL survey is b</w:t>
      </w:r>
      <w:r w:rsidR="00304C9B" w:rsidRPr="00304C9B">
        <w:rPr>
          <w:lang w:val="en-US"/>
        </w:rPr>
        <w:t>ased on a sample of about 24.000 households, selected through a two stage sample design (municipalities/households) from the centralized municipal register</w:t>
      </w:r>
      <w:r w:rsidR="00CD543B">
        <w:rPr>
          <w:lang w:val="en-US"/>
        </w:rPr>
        <w:t xml:space="preserve">. </w:t>
      </w:r>
      <w:r w:rsidR="00FF6799" w:rsidRPr="00D63BC7">
        <w:t xml:space="preserve">The </w:t>
      </w:r>
      <w:r w:rsidR="00936663">
        <w:t>aim</w:t>
      </w:r>
      <w:r w:rsidR="00936663" w:rsidRPr="00D63BC7">
        <w:t xml:space="preserve"> </w:t>
      </w:r>
      <w:r w:rsidR="00FF6799" w:rsidRPr="00D63BC7">
        <w:t xml:space="preserve">of the analyses presented </w:t>
      </w:r>
      <w:r w:rsidR="00FF6799">
        <w:t>in the next section</w:t>
      </w:r>
      <w:r w:rsidR="00335E69">
        <w:t>s</w:t>
      </w:r>
      <w:r w:rsidR="00FF6799">
        <w:t xml:space="preserve"> </w:t>
      </w:r>
      <w:r w:rsidR="00FF6799" w:rsidRPr="00D63BC7">
        <w:t xml:space="preserve">is to evaluate first the impact on the survey estimates of the introduction of </w:t>
      </w:r>
      <w:r w:rsidR="00227D45">
        <w:t>MM</w:t>
      </w:r>
      <w:r w:rsidR="00FF6799" w:rsidRPr="00D63BC7">
        <w:t xml:space="preserve"> design</w:t>
      </w:r>
      <w:r w:rsidR="00936663">
        <w:t>,</w:t>
      </w:r>
      <w:r w:rsidR="00FF6799" w:rsidRPr="00D63BC7">
        <w:t xml:space="preserve"> with respect to the previous single mode design</w:t>
      </w:r>
      <w:r w:rsidR="00936663">
        <w:t>,</w:t>
      </w:r>
      <w:r w:rsidR="00FF6799" w:rsidRPr="00D63BC7">
        <w:t xml:space="preserve"> and subsequently to analyse in depth the reasons that determine significant differences in the estimates obtained with the two </w:t>
      </w:r>
      <w:r w:rsidR="00227D45">
        <w:t>samples</w:t>
      </w:r>
      <w:r w:rsidR="00FF6799" w:rsidRPr="00D63BC7">
        <w:t>.</w:t>
      </w:r>
      <w:r w:rsidR="003C374E">
        <w:t xml:space="preserve"> T</w:t>
      </w:r>
      <w:r w:rsidR="003C374E" w:rsidRPr="00D63BC7">
        <w:t xml:space="preserve">he study is developed on several levels of analysis: the first level </w:t>
      </w:r>
      <w:r w:rsidR="00227D45">
        <w:t>makes</w:t>
      </w:r>
      <w:r w:rsidR="003C374E" w:rsidRPr="00D63BC7">
        <w:t xml:space="preserve"> the comparison between </w:t>
      </w:r>
      <w:r w:rsidR="00227D45" w:rsidRPr="00D63BC7">
        <w:t xml:space="preserve">SM and MM </w:t>
      </w:r>
      <w:r w:rsidR="003C374E" w:rsidRPr="00D63BC7">
        <w:t xml:space="preserve">samples; the second </w:t>
      </w:r>
      <w:r w:rsidR="00227D45">
        <w:t>level</w:t>
      </w:r>
      <w:r w:rsidR="003C374E" w:rsidRPr="00D63BC7">
        <w:t xml:space="preserve"> </w:t>
      </w:r>
      <w:r w:rsidR="00227D45">
        <w:t>assesses</w:t>
      </w:r>
      <w:r w:rsidR="003C374E" w:rsidRPr="00D63BC7">
        <w:t xml:space="preserve"> the mode effect (selection and measurement) in the MM </w:t>
      </w:r>
      <w:r w:rsidR="002D5E12">
        <w:t>sample</w:t>
      </w:r>
      <w:r w:rsidR="003C374E" w:rsidRPr="00D63BC7">
        <w:t>.</w:t>
      </w:r>
      <w:r w:rsidR="003C374E">
        <w:t xml:space="preserve"> </w:t>
      </w:r>
    </w:p>
    <w:p w:rsidR="00BC6AFE" w:rsidRDefault="00CE5EDD" w:rsidP="00BC6AFE">
      <w:pPr>
        <w:pStyle w:val="Titolo1"/>
      </w:pPr>
      <w:r>
        <w:lastRenderedPageBreak/>
        <w:t>2.</w:t>
      </w:r>
      <w:r>
        <w:tab/>
      </w:r>
      <w:r w:rsidR="00D63BC7">
        <w:t>the analysis of mode effect</w:t>
      </w:r>
    </w:p>
    <w:p w:rsidR="00823FAA" w:rsidRDefault="00D63BC7" w:rsidP="00B3625C">
      <w:r w:rsidRPr="00D63BC7">
        <w:t xml:space="preserve">In the first level of analysis, tests </w:t>
      </w:r>
      <w:r w:rsidR="00217303" w:rsidRPr="00483CD5">
        <w:t xml:space="preserve">have been </w:t>
      </w:r>
      <w:r w:rsidRPr="00D63BC7">
        <w:t xml:space="preserve">performed on the differences in the estimates calculated on the </w:t>
      </w:r>
      <w:r w:rsidR="00555718" w:rsidRPr="00D63BC7">
        <w:t>SM and MM</w:t>
      </w:r>
      <w:r w:rsidR="00555718">
        <w:t xml:space="preserve"> </w:t>
      </w:r>
      <w:r w:rsidRPr="00D63BC7">
        <w:t>sample</w:t>
      </w:r>
      <w:r w:rsidR="00F7149D">
        <w:t>s</w:t>
      </w:r>
      <w:r w:rsidRPr="00D63BC7">
        <w:t xml:space="preserve">, </w:t>
      </w:r>
      <w:r w:rsidR="00823FAA">
        <w:rPr>
          <w:rFonts w:cstheme="minorHAnsi"/>
          <w:lang w:eastAsia="nb-NO"/>
        </w:rPr>
        <w:t xml:space="preserve">through </w:t>
      </w:r>
      <w:r w:rsidR="00823FAA">
        <w:t xml:space="preserve">Chi-square </w:t>
      </w:r>
      <w:r w:rsidR="00823FAA" w:rsidRPr="006570EC">
        <w:t xml:space="preserve">test to determine </w:t>
      </w:r>
      <w:r w:rsidR="00823FAA">
        <w:t>if</w:t>
      </w:r>
      <w:r w:rsidR="00823FAA" w:rsidRPr="006570EC">
        <w:t xml:space="preserve"> there is a significant difference between the distribution of the answer with respect to the data collection mode</w:t>
      </w:r>
      <w:r w:rsidR="00823FAA">
        <w:t xml:space="preserve"> and T</w:t>
      </w:r>
      <w:r w:rsidR="00823FAA" w:rsidRPr="006570EC">
        <w:t xml:space="preserve">-test to determine </w:t>
      </w:r>
      <w:r w:rsidR="00823FAA">
        <w:t>if</w:t>
      </w:r>
      <w:r w:rsidR="00823FAA" w:rsidRPr="006570EC">
        <w:t xml:space="preserve"> the difference</w:t>
      </w:r>
      <w:r w:rsidR="00823FAA">
        <w:t>,</w:t>
      </w:r>
      <w:r w:rsidR="00823FAA" w:rsidRPr="006570EC">
        <w:t xml:space="preserve"> between proportions of individuals for each </w:t>
      </w:r>
      <w:r w:rsidR="00335E69">
        <w:t>item</w:t>
      </w:r>
      <w:r w:rsidR="00823FAA" w:rsidRPr="006570EC">
        <w:t xml:space="preserve"> is significant with respect to the data collection mode</w:t>
      </w:r>
      <w:r w:rsidR="00BF37C7">
        <w:t xml:space="preserve"> </w:t>
      </w:r>
      <w:r w:rsidR="00BF37C7" w:rsidRPr="00377565">
        <w:t>(</w:t>
      </w:r>
      <w:r w:rsidR="008655C1">
        <w:t xml:space="preserve">[2] </w:t>
      </w:r>
      <w:r w:rsidR="00BF37C7" w:rsidRPr="00377565">
        <w:t>Martin and Lynn, 2011)</w:t>
      </w:r>
      <w:r w:rsidR="00823FAA" w:rsidRPr="006570EC">
        <w:t>.</w:t>
      </w:r>
      <w:r w:rsidR="00823FAA">
        <w:t xml:space="preserve"> </w:t>
      </w:r>
      <w:r w:rsidR="00823FAA" w:rsidRPr="00411C52">
        <w:t xml:space="preserve">The </w:t>
      </w:r>
      <w:r w:rsidR="00823FAA">
        <w:t xml:space="preserve">results </w:t>
      </w:r>
      <w:r w:rsidR="00823FAA" w:rsidRPr="00411C52">
        <w:t xml:space="preserve">show that the two samples </w:t>
      </w:r>
      <w:r w:rsidR="00823FAA">
        <w:t xml:space="preserve">yield </w:t>
      </w:r>
      <w:r w:rsidR="00335E69">
        <w:t xml:space="preserve">significant </w:t>
      </w:r>
      <w:r w:rsidR="00823FAA">
        <w:t>different estimates</w:t>
      </w:r>
      <w:r w:rsidR="00823FAA" w:rsidRPr="00411C52">
        <w:t>.</w:t>
      </w:r>
    </w:p>
    <w:p w:rsidR="007828AC" w:rsidRDefault="00D63BC7" w:rsidP="00B3625C">
      <w:pPr>
        <w:rPr>
          <w:lang w:val="en-US"/>
        </w:rPr>
      </w:pPr>
      <w:r w:rsidRPr="00483CD5">
        <w:t xml:space="preserve">Subsequent analyses </w:t>
      </w:r>
      <w:r w:rsidR="00B57756">
        <w:t>have</w:t>
      </w:r>
      <w:r w:rsidRPr="00483CD5">
        <w:t xml:space="preserve"> stud</w:t>
      </w:r>
      <w:r w:rsidR="00B57756">
        <w:t>ied</w:t>
      </w:r>
      <w:r w:rsidRPr="00483CD5">
        <w:t xml:space="preserve"> the bias caused by the total nonresponse in the two samples</w:t>
      </w:r>
      <w:r w:rsidR="00812FAF" w:rsidRPr="00812FAF">
        <w:t xml:space="preserve"> </w:t>
      </w:r>
      <w:r w:rsidR="00812FAF" w:rsidRPr="00D63BC7">
        <w:t xml:space="preserve">in order to identify </w:t>
      </w:r>
      <w:r w:rsidR="00335E69" w:rsidRPr="00D63BC7">
        <w:t>dissimilarities</w:t>
      </w:r>
      <w:r w:rsidR="00812FAF" w:rsidRPr="00D63BC7">
        <w:t xml:space="preserve"> that could explain, </w:t>
      </w:r>
      <w:r w:rsidR="00812FAF">
        <w:t xml:space="preserve">at least </w:t>
      </w:r>
      <w:r w:rsidR="00812FAF" w:rsidRPr="00D63BC7">
        <w:t>part</w:t>
      </w:r>
      <w:r w:rsidR="00812FAF">
        <w:t>ly</w:t>
      </w:r>
      <w:r w:rsidR="00812FAF" w:rsidRPr="00D63BC7">
        <w:t>, differences in the estimates of the survey produced with the SM and MM samples.</w:t>
      </w:r>
      <w:r w:rsidR="007218FC">
        <w:t xml:space="preserve"> </w:t>
      </w:r>
      <w:r w:rsidR="007218FC" w:rsidRPr="00D63BC7">
        <w:t xml:space="preserve">The </w:t>
      </w:r>
      <w:r w:rsidR="00335E69">
        <w:t>unlike</w:t>
      </w:r>
      <w:r w:rsidR="007218FC" w:rsidRPr="00D63BC7">
        <w:t xml:space="preserve"> composition of samples</w:t>
      </w:r>
      <w:r w:rsidR="007218FC">
        <w:t>,</w:t>
      </w:r>
      <w:r w:rsidR="007218FC" w:rsidRPr="00D63BC7">
        <w:t xml:space="preserve"> determined by differences in the total nonresponse could, in fact, contribute to generate differences in the estimates. </w:t>
      </w:r>
      <w:r w:rsidRPr="00483CD5">
        <w:t xml:space="preserve"> </w:t>
      </w:r>
      <w:r w:rsidR="00D94ED0" w:rsidRPr="00812FAF">
        <w:t xml:space="preserve">Through the linkage of survey data with administrative data, auxiliary variables are acquired to define models in mixed mode. </w:t>
      </w:r>
      <w:r w:rsidR="00812FAF" w:rsidRPr="00812FAF">
        <w:t>Th</w:t>
      </w:r>
      <w:r w:rsidR="00812FAF">
        <w:t>e</w:t>
      </w:r>
      <w:r w:rsidRPr="00812FAF">
        <w:t xml:space="preserve"> auxiliary variables</w:t>
      </w:r>
      <w:r w:rsidRPr="00483CD5">
        <w:t xml:space="preserve"> </w:t>
      </w:r>
      <w:r w:rsidR="00540CC3">
        <w:t xml:space="preserve"> </w:t>
      </w:r>
      <w:r w:rsidR="00335E69">
        <w:t>linked</w:t>
      </w:r>
      <w:r w:rsidRPr="00483CD5">
        <w:t xml:space="preserve"> on individuals have been redefined at the household level</w:t>
      </w:r>
      <w:r w:rsidR="00812FAF">
        <w:t xml:space="preserve"> (</w:t>
      </w:r>
      <w:r w:rsidR="00812FAF" w:rsidRPr="00540CC3">
        <w:t xml:space="preserve">household typology </w:t>
      </w:r>
      <w:r w:rsidR="00812FAF">
        <w:t>per number of components and age,</w:t>
      </w:r>
      <w:r w:rsidR="00812FAF" w:rsidRPr="00540CC3">
        <w:t xml:space="preserve"> income class, higher educational level (below/equal/above high school</w:t>
      </w:r>
      <w:r w:rsidR="00812FAF">
        <w:t xml:space="preserve"> diploma) and geographical area)</w:t>
      </w:r>
      <w:r w:rsidRPr="00483CD5">
        <w:t>.</w:t>
      </w:r>
      <w:r w:rsidRPr="00D63BC7">
        <w:t xml:space="preserve"> </w:t>
      </w:r>
      <w:r w:rsidR="00080CA4">
        <w:t>T</w:t>
      </w:r>
      <w:r w:rsidR="00C54711">
        <w:t xml:space="preserve">ests on </w:t>
      </w:r>
      <w:r w:rsidR="00C54711" w:rsidRPr="00C54711">
        <w:t>differences between response rates in the two samples</w:t>
      </w:r>
      <w:r w:rsidR="00C54711">
        <w:t xml:space="preserve"> </w:t>
      </w:r>
      <w:r w:rsidR="00080CA4" w:rsidRPr="00080CA4">
        <w:t>using a Z-test</w:t>
      </w:r>
      <w:r w:rsidR="006B7A02">
        <w:t xml:space="preserve"> have been carried out</w:t>
      </w:r>
      <w:r w:rsidR="00080CA4" w:rsidRPr="00080CA4">
        <w:t>: response rates differences are significantly different when the household presents some characteristics, such as mixed nationality, lower income class.</w:t>
      </w:r>
      <w:r w:rsidR="00080CA4">
        <w:t xml:space="preserve"> </w:t>
      </w:r>
      <w:r w:rsidR="00080CA4" w:rsidRPr="00377565">
        <w:t xml:space="preserve">To assess the overall </w:t>
      </w:r>
      <w:r w:rsidR="00080CA4">
        <w:t>bias</w:t>
      </w:r>
      <w:r w:rsidR="00080CA4" w:rsidRPr="00377565">
        <w:t xml:space="preserve"> of respondents' samples,</w:t>
      </w:r>
      <w:r w:rsidR="00080CA4">
        <w:t xml:space="preserve"> the</w:t>
      </w:r>
      <w:r w:rsidR="00C54711">
        <w:t xml:space="preserve"> </w:t>
      </w:r>
      <w:r w:rsidR="003670DB" w:rsidRPr="00377565">
        <w:t>indicat</w:t>
      </w:r>
      <w:r w:rsidR="00115D23">
        <w:t xml:space="preserve">ors </w:t>
      </w:r>
      <w:r w:rsidR="00115D23" w:rsidRPr="00335E69">
        <w:t xml:space="preserve">of representative response </w:t>
      </w:r>
      <w:r w:rsidR="0081785C" w:rsidRPr="00335E69">
        <w:t xml:space="preserve">have been </w:t>
      </w:r>
      <w:r w:rsidR="003670DB" w:rsidRPr="00335E69">
        <w:t>used</w:t>
      </w:r>
      <w:r w:rsidR="00687675" w:rsidRPr="00335E69">
        <w:t xml:space="preserve">, known as </w:t>
      </w:r>
      <w:r w:rsidR="00687675" w:rsidRPr="00335E69">
        <w:rPr>
          <w:i/>
        </w:rPr>
        <w:t>R</w:t>
      </w:r>
      <w:r w:rsidR="00687675" w:rsidRPr="00335E69">
        <w:t xml:space="preserve">-indicators and unconditional partial </w:t>
      </w:r>
      <w:r w:rsidR="00687675" w:rsidRPr="00335E69">
        <w:rPr>
          <w:i/>
        </w:rPr>
        <w:t>R</w:t>
      </w:r>
      <w:r w:rsidR="00687675" w:rsidRPr="00335E69">
        <w:t>-indicators</w:t>
      </w:r>
      <w:r w:rsidR="00B52970" w:rsidRPr="00335E69">
        <w:t xml:space="preserve"> (</w:t>
      </w:r>
      <w:r w:rsidR="008655C1" w:rsidRPr="00335E69">
        <w:t>[3]</w:t>
      </w:r>
      <w:r w:rsidR="00B52970" w:rsidRPr="00335E69">
        <w:t>Schouten et al., 2011)</w:t>
      </w:r>
      <w:r w:rsidR="003670DB" w:rsidRPr="00335E69">
        <w:t xml:space="preserve">. </w:t>
      </w:r>
      <w:r w:rsidR="00115D23" w:rsidRPr="00335E69">
        <w:t>These indicators are based on a measure of the variability of</w:t>
      </w:r>
      <w:r w:rsidR="00115D23" w:rsidRPr="00377565">
        <w:t xml:space="preserve"> the response propensity and describe how the sample of respondents to a survey </w:t>
      </w:r>
      <w:r w:rsidR="00FC219C">
        <w:t>represents</w:t>
      </w:r>
      <w:r w:rsidR="00FC219C" w:rsidRPr="00377565">
        <w:t xml:space="preserve"> </w:t>
      </w:r>
      <w:r w:rsidR="00115D23" w:rsidRPr="00377565">
        <w:t>the population of interest with respect to certain characteristics. Essentially, they measure how much the sample of respondents in a survey deviates from the representative response</w:t>
      </w:r>
      <w:r w:rsidR="00115D23" w:rsidRPr="00FC219C">
        <w:t>.</w:t>
      </w:r>
      <w:r w:rsidR="00115D23">
        <w:t xml:space="preserve"> The expression of </w:t>
      </w:r>
      <w:r w:rsidR="009E4836" w:rsidRPr="009E4836">
        <w:rPr>
          <w:i/>
        </w:rPr>
        <w:t>R</w:t>
      </w:r>
      <w:r w:rsidR="00115D23">
        <w:t>-indicators are</w:t>
      </w:r>
      <w:r w:rsidR="00115D23" w:rsidRPr="00115D23">
        <w:t xml:space="preserve"> given by</w:t>
      </w:r>
      <w:r w:rsidR="009E4836">
        <w:rPr>
          <w:rFonts w:ascii="Arial" w:hAnsi="Arial" w:cs="Arial"/>
          <w:szCs w:val="24"/>
        </w:rPr>
        <w:t xml:space="preserve"> </w:t>
      </w:r>
      <m:oMath>
        <m:r>
          <w:rPr>
            <w:rFonts w:ascii="Cambria Math" w:hAnsi="Cambria Math" w:cs="Arial"/>
            <w:sz w:val="20"/>
          </w:rPr>
          <m:t>R</m:t>
        </m:r>
        <m:d>
          <m:dPr>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ρ</m:t>
                </m:r>
              </m:e>
              <m:sub>
                <m:r>
                  <w:rPr>
                    <w:rFonts w:ascii="Cambria Math" w:hAnsi="Cambria Math" w:cs="Arial"/>
                    <w:sz w:val="20"/>
                  </w:rPr>
                  <m:t>x</m:t>
                </m:r>
              </m:sub>
            </m:sSub>
            <m:ctrlPr>
              <w:rPr>
                <w:rFonts w:ascii="Cambria Math" w:eastAsiaTheme="minorEastAsia" w:hAnsi="Cambria Math" w:cs="Arial"/>
                <w:i/>
                <w:sz w:val="20"/>
              </w:rPr>
            </m:ctrlPr>
          </m:e>
        </m:d>
        <m:r>
          <w:rPr>
            <w:rFonts w:ascii="Cambria Math" w:eastAsiaTheme="minorEastAsia" w:hAnsi="Cambria Math" w:cs="Arial"/>
            <w:sz w:val="20"/>
          </w:rPr>
          <m:t>=1-2S</m:t>
        </m:r>
        <m:d>
          <m:dPr>
            <m:ctrlPr>
              <w:rPr>
                <w:rFonts w:ascii="Cambria Math" w:eastAsiaTheme="minorEastAsia" w:hAnsi="Cambria Math" w:cs="Arial"/>
                <w:i/>
                <w:sz w:val="20"/>
              </w:rPr>
            </m:ctrlPr>
          </m:dPr>
          <m:e>
            <m:sSub>
              <m:sSubPr>
                <m:ctrlPr>
                  <w:rPr>
                    <w:rFonts w:ascii="Cambria Math" w:hAnsi="Cambria Math" w:cs="Arial"/>
                    <w:i/>
                    <w:sz w:val="20"/>
                  </w:rPr>
                </m:ctrlPr>
              </m:sSubPr>
              <m:e>
                <m:r>
                  <w:rPr>
                    <w:rFonts w:ascii="Cambria Math" w:hAnsi="Cambria Math" w:cs="Arial"/>
                    <w:sz w:val="20"/>
                  </w:rPr>
                  <m:t>ρ</m:t>
                </m:r>
              </m:e>
              <m:sub>
                <m:r>
                  <w:rPr>
                    <w:rFonts w:ascii="Cambria Math" w:hAnsi="Cambria Math" w:cs="Arial"/>
                    <w:sz w:val="20"/>
                  </w:rPr>
                  <m:t>x</m:t>
                </m:r>
              </m:sub>
            </m:sSub>
            <m:ctrlPr>
              <w:rPr>
                <w:rFonts w:ascii="Cambria Math" w:hAnsi="Cambria Math" w:cs="Arial"/>
                <w:i/>
                <w:sz w:val="20"/>
              </w:rPr>
            </m:ctrlPr>
          </m:e>
        </m:d>
      </m:oMath>
      <w:r w:rsidR="009E4836">
        <w:rPr>
          <w:rFonts w:ascii="Arial" w:eastAsiaTheme="minorEastAsia" w:hAnsi="Arial" w:cs="Arial"/>
          <w:szCs w:val="24"/>
        </w:rPr>
        <w:t xml:space="preserve"> </w:t>
      </w:r>
      <w:r w:rsidR="009E4836" w:rsidRPr="00377565">
        <w:t>and</w:t>
      </w:r>
      <w:r w:rsidR="009E4836">
        <w:rPr>
          <w:rFonts w:ascii="Arial" w:hAnsi="Arial" w:cs="Arial"/>
          <w:szCs w:val="24"/>
        </w:rPr>
        <w:t xml:space="preserve"> </w:t>
      </w:r>
      <m:oMath>
        <m:acc>
          <m:accPr>
            <m:ctrlPr>
              <w:rPr>
                <w:rFonts w:ascii="Cambria Math" w:hAnsi="Cambria Math" w:cs="Arial"/>
                <w:i/>
                <w:sz w:val="20"/>
              </w:rPr>
            </m:ctrlPr>
          </m:accPr>
          <m:e>
            <m:r>
              <w:rPr>
                <w:rFonts w:ascii="Cambria Math" w:hAnsi="Cambria Math" w:cs="Arial"/>
                <w:sz w:val="20"/>
              </w:rPr>
              <m:t>R</m:t>
            </m:r>
          </m:e>
        </m:acc>
        <m:d>
          <m:dPr>
            <m:ctrlPr>
              <w:rPr>
                <w:rFonts w:ascii="Cambria Math" w:hAnsi="Cambria Math" w:cs="Arial"/>
                <w:i/>
                <w:sz w:val="20"/>
              </w:rPr>
            </m:ctrlPr>
          </m:dPr>
          <m:e>
            <m:sSub>
              <m:sSubPr>
                <m:ctrlPr>
                  <w:rPr>
                    <w:rFonts w:ascii="Cambria Math" w:hAnsi="Cambria Math" w:cs="Arial"/>
                    <w:i/>
                    <w:sz w:val="20"/>
                  </w:rPr>
                </m:ctrlPr>
              </m:sSubPr>
              <m:e>
                <m:acc>
                  <m:accPr>
                    <m:ctrlPr>
                      <w:rPr>
                        <w:rFonts w:ascii="Cambria Math" w:hAnsi="Cambria Math" w:cs="Arial"/>
                        <w:i/>
                        <w:sz w:val="20"/>
                      </w:rPr>
                    </m:ctrlPr>
                  </m:accPr>
                  <m:e>
                    <m:r>
                      <w:rPr>
                        <w:rFonts w:ascii="Cambria Math" w:hAnsi="Cambria Math" w:cs="Arial"/>
                        <w:sz w:val="20"/>
                      </w:rPr>
                      <m:t>ρ</m:t>
                    </m:r>
                  </m:e>
                </m:acc>
              </m:e>
              <m:sub>
                <m:r>
                  <w:rPr>
                    <w:rFonts w:ascii="Cambria Math" w:hAnsi="Cambria Math" w:cs="Arial"/>
                    <w:sz w:val="20"/>
                  </w:rPr>
                  <m:t>x</m:t>
                </m:r>
              </m:sub>
            </m:sSub>
            <m:ctrlPr>
              <w:rPr>
                <w:rFonts w:ascii="Cambria Math" w:eastAsiaTheme="minorEastAsia" w:hAnsi="Cambria Math" w:cs="Arial"/>
                <w:i/>
                <w:sz w:val="20"/>
              </w:rPr>
            </m:ctrlPr>
          </m:e>
        </m:d>
        <m:r>
          <w:rPr>
            <w:rFonts w:ascii="Cambria Math" w:eastAsiaTheme="minorEastAsia" w:hAnsi="Cambria Math" w:cs="Arial"/>
            <w:sz w:val="20"/>
          </w:rPr>
          <m:t>=1-2</m:t>
        </m:r>
        <m:acc>
          <m:accPr>
            <m:ctrlPr>
              <w:rPr>
                <w:rFonts w:ascii="Cambria Math" w:eastAsiaTheme="minorEastAsia" w:hAnsi="Cambria Math" w:cs="Arial"/>
                <w:i/>
                <w:sz w:val="20"/>
              </w:rPr>
            </m:ctrlPr>
          </m:accPr>
          <m:e>
            <m:r>
              <w:rPr>
                <w:rFonts w:ascii="Cambria Math" w:eastAsiaTheme="minorEastAsia" w:hAnsi="Cambria Math" w:cs="Arial"/>
                <w:sz w:val="20"/>
              </w:rPr>
              <m:t>S</m:t>
            </m:r>
          </m:e>
        </m:acc>
        <m:d>
          <m:dPr>
            <m:ctrlPr>
              <w:rPr>
                <w:rFonts w:ascii="Cambria Math" w:eastAsiaTheme="minorEastAsia" w:hAnsi="Cambria Math" w:cs="Arial"/>
                <w:i/>
                <w:sz w:val="20"/>
              </w:rPr>
            </m:ctrlPr>
          </m:dPr>
          <m:e>
            <m:sSub>
              <m:sSubPr>
                <m:ctrlPr>
                  <w:rPr>
                    <w:rFonts w:ascii="Cambria Math" w:hAnsi="Cambria Math" w:cs="Arial"/>
                    <w:i/>
                    <w:sz w:val="20"/>
                  </w:rPr>
                </m:ctrlPr>
              </m:sSubPr>
              <m:e>
                <m:acc>
                  <m:accPr>
                    <m:ctrlPr>
                      <w:rPr>
                        <w:rFonts w:ascii="Cambria Math" w:hAnsi="Cambria Math" w:cs="Arial"/>
                        <w:i/>
                        <w:sz w:val="20"/>
                      </w:rPr>
                    </m:ctrlPr>
                  </m:accPr>
                  <m:e>
                    <m:r>
                      <w:rPr>
                        <w:rFonts w:ascii="Cambria Math" w:hAnsi="Cambria Math" w:cs="Arial"/>
                        <w:sz w:val="20"/>
                      </w:rPr>
                      <m:t>ρ</m:t>
                    </m:r>
                  </m:e>
                </m:acc>
              </m:e>
              <m:sub>
                <m:r>
                  <w:rPr>
                    <w:rFonts w:ascii="Cambria Math" w:hAnsi="Cambria Math" w:cs="Arial"/>
                    <w:sz w:val="20"/>
                  </w:rPr>
                  <m:t>x</m:t>
                </m:r>
              </m:sub>
            </m:sSub>
            <m:ctrlPr>
              <w:rPr>
                <w:rFonts w:ascii="Cambria Math" w:hAnsi="Cambria Math" w:cs="Arial"/>
                <w:i/>
                <w:sz w:val="20"/>
              </w:rPr>
            </m:ctrlPr>
          </m:e>
        </m:d>
      </m:oMath>
      <w:r w:rsidR="009E4836" w:rsidRPr="00C06034">
        <w:rPr>
          <w:rFonts w:ascii="Arial" w:hAnsi="Arial" w:cs="Arial"/>
          <w:szCs w:val="24"/>
        </w:rPr>
        <w:t xml:space="preserve"> </w:t>
      </w:r>
      <w:r w:rsidR="009E4836" w:rsidRPr="00377565">
        <w:t xml:space="preserve">where </w:t>
      </w:r>
      <m:oMath>
        <m:sSub>
          <m:sSubPr>
            <m:ctrlPr>
              <w:rPr>
                <w:rFonts w:ascii="Cambria Math" w:hAnsi="Cambria Math" w:cs="Arial"/>
                <w:i/>
                <w:sz w:val="20"/>
              </w:rPr>
            </m:ctrlPr>
          </m:sSubPr>
          <m:e>
            <m:r>
              <w:rPr>
                <w:rFonts w:ascii="Cambria Math" w:hAnsi="Cambria Math" w:cs="Arial"/>
                <w:sz w:val="20"/>
              </w:rPr>
              <m:t>ρ</m:t>
            </m:r>
          </m:e>
          <m:sub>
            <m:r>
              <w:rPr>
                <w:rFonts w:ascii="Cambria Math" w:hAnsi="Cambria Math" w:cs="Arial"/>
                <w:sz w:val="20"/>
              </w:rPr>
              <m:t>x</m:t>
            </m:r>
          </m:sub>
        </m:sSub>
      </m:oMath>
      <w:r w:rsidR="009E4836" w:rsidRPr="00933A1D">
        <w:rPr>
          <w:rFonts w:ascii="Arial" w:hAnsi="Arial" w:cs="Arial"/>
          <w:szCs w:val="24"/>
        </w:rPr>
        <w:t xml:space="preserve"> </w:t>
      </w:r>
      <w:r w:rsidR="009E4836" w:rsidRPr="00377565">
        <w:t xml:space="preserve">is the response propensity estimated </w:t>
      </w:r>
      <w:r w:rsidR="002D03B9" w:rsidRPr="00377565">
        <w:t>th</w:t>
      </w:r>
      <w:r w:rsidR="002D03B9">
        <w:t>r</w:t>
      </w:r>
      <w:r w:rsidR="002D03B9" w:rsidRPr="00377565">
        <w:t>ough</w:t>
      </w:r>
      <w:r w:rsidR="009E4836" w:rsidRPr="00377565">
        <w:t xml:space="preserve"> a logistic regression model and </w:t>
      </w:r>
      <m:oMath>
        <m:r>
          <w:rPr>
            <w:rFonts w:ascii="Cambria Math" w:eastAsiaTheme="minorEastAsia" w:hAnsi="Cambria Math" w:cs="Arial"/>
            <w:sz w:val="20"/>
          </w:rPr>
          <m:t>S</m:t>
        </m:r>
        <m:d>
          <m:dPr>
            <m:ctrlPr>
              <w:rPr>
                <w:rFonts w:ascii="Cambria Math" w:eastAsiaTheme="minorEastAsia" w:hAnsi="Cambria Math" w:cs="Arial"/>
                <w:i/>
                <w:sz w:val="20"/>
              </w:rPr>
            </m:ctrlPr>
          </m:dPr>
          <m:e>
            <m:sSub>
              <m:sSubPr>
                <m:ctrlPr>
                  <w:rPr>
                    <w:rFonts w:ascii="Cambria Math" w:hAnsi="Cambria Math" w:cs="Arial"/>
                    <w:i/>
                    <w:sz w:val="20"/>
                  </w:rPr>
                </m:ctrlPr>
              </m:sSubPr>
              <m:e>
                <m:r>
                  <w:rPr>
                    <w:rFonts w:ascii="Cambria Math" w:hAnsi="Cambria Math" w:cs="Arial"/>
                    <w:sz w:val="20"/>
                  </w:rPr>
                  <m:t>ρ</m:t>
                </m:r>
              </m:e>
              <m:sub>
                <m:r>
                  <w:rPr>
                    <w:rFonts w:ascii="Cambria Math" w:hAnsi="Cambria Math" w:cs="Arial"/>
                    <w:sz w:val="20"/>
                  </w:rPr>
                  <m:t>x</m:t>
                </m:r>
              </m:sub>
            </m:sSub>
            <m:ctrlPr>
              <w:rPr>
                <w:rFonts w:ascii="Cambria Math" w:hAnsi="Cambria Math" w:cs="Arial"/>
                <w:i/>
                <w:sz w:val="20"/>
              </w:rPr>
            </m:ctrlPr>
          </m:e>
        </m:d>
      </m:oMath>
      <w:r w:rsidR="009E4836" w:rsidRPr="00933A1D">
        <w:rPr>
          <w:rFonts w:ascii="Arial" w:hAnsi="Arial" w:cs="Arial"/>
          <w:szCs w:val="24"/>
        </w:rPr>
        <w:t xml:space="preserve"> </w:t>
      </w:r>
      <w:r w:rsidR="009E4836" w:rsidRPr="00377565">
        <w:t>is the standard deviation of</w:t>
      </w:r>
      <w:r w:rsidR="009E4836" w:rsidRPr="00933A1D">
        <w:rPr>
          <w:rFonts w:ascii="Arial" w:hAnsi="Arial" w:cs="Arial"/>
          <w:szCs w:val="24"/>
        </w:rPr>
        <w:t xml:space="preserve"> </w:t>
      </w:r>
      <m:oMath>
        <m:sSub>
          <m:sSubPr>
            <m:ctrlPr>
              <w:rPr>
                <w:rFonts w:ascii="Cambria Math" w:hAnsi="Cambria Math" w:cs="Arial"/>
                <w:i/>
                <w:sz w:val="20"/>
              </w:rPr>
            </m:ctrlPr>
          </m:sSubPr>
          <m:e>
            <m:r>
              <w:rPr>
                <w:rFonts w:ascii="Cambria Math" w:hAnsi="Cambria Math" w:cs="Arial"/>
                <w:sz w:val="20"/>
              </w:rPr>
              <m:t>ρ</m:t>
            </m:r>
          </m:e>
          <m:sub>
            <m:r>
              <w:rPr>
                <w:rFonts w:ascii="Cambria Math" w:hAnsi="Cambria Math" w:cs="Arial"/>
                <w:sz w:val="20"/>
              </w:rPr>
              <m:t>x</m:t>
            </m:r>
          </m:sub>
        </m:sSub>
      </m:oMath>
      <w:r w:rsidR="00687675">
        <w:t xml:space="preserve">. </w:t>
      </w:r>
      <w:r w:rsidR="00BD30AB">
        <w:t xml:space="preserve">Finally, to evaluate </w:t>
      </w:r>
      <w:r w:rsidR="0081785C">
        <w:t xml:space="preserve">both </w:t>
      </w:r>
      <w:r w:rsidR="00687675" w:rsidRPr="00687675">
        <w:t>selection and measurement effects</w:t>
      </w:r>
      <w:r w:rsidR="007828AC">
        <w:t>,</w:t>
      </w:r>
      <w:r w:rsidR="00BD30AB">
        <w:t xml:space="preserve"> </w:t>
      </w:r>
      <w:r w:rsidR="00CB637A">
        <w:t>a</w:t>
      </w:r>
      <w:r w:rsidR="00B57756">
        <w:t xml:space="preserve"> </w:t>
      </w:r>
      <w:r w:rsidR="00BD30AB">
        <w:t xml:space="preserve">method </w:t>
      </w:r>
      <w:r w:rsidR="007828AC">
        <w:t xml:space="preserve">proposed by </w:t>
      </w:r>
      <w:proofErr w:type="spellStart"/>
      <w:r w:rsidR="007828AC">
        <w:t>Vannieuwenhuyze</w:t>
      </w:r>
      <w:proofErr w:type="spellEnd"/>
      <w:r w:rsidR="007828AC">
        <w:t xml:space="preserve"> et al. </w:t>
      </w:r>
      <w:r w:rsidR="007828AC" w:rsidRPr="005F2362">
        <w:t>(</w:t>
      </w:r>
      <w:r w:rsidR="005F2362" w:rsidRPr="005F2362">
        <w:t>[</w:t>
      </w:r>
      <w:r w:rsidR="003A43E1">
        <w:t>4</w:t>
      </w:r>
      <w:r w:rsidR="005F2362" w:rsidRPr="005F2362">
        <w:t>]</w:t>
      </w:r>
      <w:r w:rsidR="005F2362">
        <w:t xml:space="preserve">, </w:t>
      </w:r>
      <w:r w:rsidR="007828AC" w:rsidRPr="005F2362">
        <w:t>201</w:t>
      </w:r>
      <w:r w:rsidR="008655C1" w:rsidRPr="005F2362">
        <w:t>0</w:t>
      </w:r>
      <w:r w:rsidR="007828AC" w:rsidRPr="005F2362">
        <w:t>)</w:t>
      </w:r>
      <w:r w:rsidR="007828AC">
        <w:t xml:space="preserve"> </w:t>
      </w:r>
      <w:r w:rsidR="007828AC" w:rsidRPr="007828AC">
        <w:t>has been adopted</w:t>
      </w:r>
      <w:r w:rsidR="00CB637A">
        <w:t xml:space="preserve">, </w:t>
      </w:r>
      <w:r w:rsidR="007828AC" w:rsidRPr="002223C5">
        <w:rPr>
          <w:rFonts w:cstheme="minorHAnsi"/>
          <w:lang w:val="en-US"/>
        </w:rPr>
        <w:t xml:space="preserve">based on the probability distributions of the survey </w:t>
      </w:r>
      <w:r w:rsidR="0081785C" w:rsidRPr="002223C5">
        <w:rPr>
          <w:rFonts w:cstheme="minorHAnsi"/>
          <w:lang w:val="en-US"/>
        </w:rPr>
        <w:t xml:space="preserve">categorical </w:t>
      </w:r>
      <w:r w:rsidR="007828AC" w:rsidRPr="002223C5">
        <w:rPr>
          <w:rFonts w:cstheme="minorHAnsi"/>
          <w:lang w:val="en-US"/>
        </w:rPr>
        <w:t>variables</w:t>
      </w:r>
      <w:r w:rsidR="0081785C">
        <w:rPr>
          <w:rFonts w:cstheme="minorHAnsi"/>
          <w:lang w:val="en-US"/>
        </w:rPr>
        <w:t xml:space="preserve">, </w:t>
      </w:r>
      <w:r w:rsidR="007828AC" w:rsidRPr="002223C5">
        <w:rPr>
          <w:rFonts w:cstheme="minorHAnsi"/>
          <w:lang w:val="en-US"/>
        </w:rPr>
        <w:t>estimated from the</w:t>
      </w:r>
      <w:r w:rsidR="007828AC">
        <w:rPr>
          <w:rFonts w:cstheme="minorHAnsi"/>
          <w:lang w:val="en-US"/>
        </w:rPr>
        <w:t xml:space="preserve"> two</w:t>
      </w:r>
      <w:r w:rsidR="007828AC" w:rsidRPr="002223C5">
        <w:rPr>
          <w:rFonts w:cstheme="minorHAnsi"/>
          <w:lang w:val="en-US"/>
        </w:rPr>
        <w:t xml:space="preserve"> </w:t>
      </w:r>
      <w:r w:rsidR="007828AC">
        <w:rPr>
          <w:rFonts w:cstheme="minorHAnsi"/>
          <w:lang w:val="en-US"/>
        </w:rPr>
        <w:t xml:space="preserve">comparable </w:t>
      </w:r>
      <w:r w:rsidR="007828AC" w:rsidRPr="002223C5">
        <w:rPr>
          <w:rFonts w:cstheme="minorHAnsi"/>
          <w:lang w:val="en-US"/>
        </w:rPr>
        <w:t>respondents</w:t>
      </w:r>
      <w:r w:rsidR="0081785C">
        <w:rPr>
          <w:rFonts w:cstheme="minorHAnsi"/>
          <w:lang w:val="en-US"/>
        </w:rPr>
        <w:t>’</w:t>
      </w:r>
      <w:r w:rsidR="007828AC" w:rsidRPr="002223C5">
        <w:rPr>
          <w:rFonts w:cstheme="minorHAnsi"/>
          <w:lang w:val="en-US"/>
        </w:rPr>
        <w:t xml:space="preserve"> samples </w:t>
      </w:r>
      <w:r w:rsidR="007828AC">
        <w:rPr>
          <w:rFonts w:cstheme="minorHAnsi"/>
          <w:lang w:val="en-US"/>
        </w:rPr>
        <w:t>(</w:t>
      </w:r>
      <w:r w:rsidR="007828AC" w:rsidRPr="002223C5">
        <w:rPr>
          <w:rFonts w:cstheme="minorHAnsi"/>
          <w:lang w:val="en-US"/>
        </w:rPr>
        <w:t>SM and MM</w:t>
      </w:r>
      <w:r w:rsidR="007828AC">
        <w:rPr>
          <w:rFonts w:cstheme="minorHAnsi"/>
          <w:lang w:val="en-US"/>
        </w:rPr>
        <w:t xml:space="preserve">), in which SM sample (only PAPI technique) </w:t>
      </w:r>
      <w:r w:rsidR="007828AC" w:rsidRPr="007828AC">
        <w:rPr>
          <w:rFonts w:cstheme="minorHAnsi"/>
          <w:lang w:val="en-US"/>
        </w:rPr>
        <w:t>is taken as a benchmark</w:t>
      </w:r>
      <w:r w:rsidR="007828AC" w:rsidRPr="002223C5">
        <w:rPr>
          <w:rFonts w:cstheme="minorHAnsi"/>
          <w:lang w:val="en-US"/>
        </w:rPr>
        <w:t>.</w:t>
      </w:r>
      <w:r w:rsidR="007828AC">
        <w:rPr>
          <w:rFonts w:cstheme="minorHAnsi"/>
          <w:lang w:val="en-US"/>
        </w:rPr>
        <w:t xml:space="preserve"> </w:t>
      </w:r>
      <w:r w:rsidR="007828AC" w:rsidRPr="00365790">
        <w:rPr>
          <w:rFonts w:cstheme="minorHAnsi"/>
          <w:lang w:val="en-US"/>
        </w:rPr>
        <w:t xml:space="preserve">In order to make the SM and MM samples comparable, a calibration </w:t>
      </w:r>
      <w:r w:rsidR="00335E69">
        <w:rPr>
          <w:rFonts w:cstheme="minorHAnsi"/>
          <w:lang w:val="en-US"/>
        </w:rPr>
        <w:t>procedure</w:t>
      </w:r>
      <w:r w:rsidR="007828AC" w:rsidRPr="00365790">
        <w:rPr>
          <w:rFonts w:cstheme="minorHAnsi"/>
          <w:lang w:val="en-US"/>
        </w:rPr>
        <w:t xml:space="preserve"> </w:t>
      </w:r>
      <w:r w:rsidR="00B57756">
        <w:t>is</w:t>
      </w:r>
      <w:r w:rsidR="004558F8">
        <w:t xml:space="preserve"> </w:t>
      </w:r>
      <w:r w:rsidR="007828AC" w:rsidRPr="00365790">
        <w:rPr>
          <w:rFonts w:cstheme="minorHAnsi"/>
          <w:lang w:val="en-US"/>
        </w:rPr>
        <w:t>adopted</w:t>
      </w:r>
      <w:r w:rsidR="0081785C">
        <w:rPr>
          <w:rFonts w:cstheme="minorHAnsi"/>
          <w:lang w:val="en-US"/>
        </w:rPr>
        <w:t>,</w:t>
      </w:r>
      <w:r w:rsidR="007828AC" w:rsidRPr="00365790">
        <w:rPr>
          <w:rFonts w:cstheme="minorHAnsi"/>
          <w:lang w:val="en-US"/>
        </w:rPr>
        <w:t xml:space="preserve"> separately for the two samples</w:t>
      </w:r>
      <w:r w:rsidR="0081785C">
        <w:rPr>
          <w:rFonts w:cstheme="minorHAnsi"/>
          <w:lang w:val="en-US"/>
        </w:rPr>
        <w:t>,</w:t>
      </w:r>
      <w:r w:rsidR="007828AC" w:rsidRPr="00365790">
        <w:rPr>
          <w:rFonts w:cstheme="minorHAnsi"/>
          <w:lang w:val="en-US"/>
        </w:rPr>
        <w:t xml:space="preserve"> starting from the sampling weights.</w:t>
      </w:r>
      <w:r w:rsidR="007828AC">
        <w:rPr>
          <w:rFonts w:cstheme="minorHAnsi"/>
          <w:lang w:val="en-US"/>
        </w:rPr>
        <w:t xml:space="preserve"> </w:t>
      </w:r>
    </w:p>
    <w:p w:rsidR="00272BE6" w:rsidRDefault="009E4836" w:rsidP="00272BE6">
      <w:pPr>
        <w:spacing w:after="0"/>
      </w:pPr>
      <w:r w:rsidRPr="00D63BC7">
        <w:t xml:space="preserve">In the </w:t>
      </w:r>
      <w:r>
        <w:t>second</w:t>
      </w:r>
      <w:r w:rsidRPr="00D63BC7">
        <w:t xml:space="preserve"> level of analysis</w:t>
      </w:r>
      <w:r w:rsidR="00BD30AB">
        <w:t xml:space="preserve">, </w:t>
      </w:r>
      <w:r w:rsidR="00D63BC7" w:rsidRPr="00D63BC7">
        <w:t xml:space="preserve">mode effect in the MM sample </w:t>
      </w:r>
      <w:r w:rsidR="00FE1826">
        <w:t>has</w:t>
      </w:r>
      <w:r w:rsidR="0081785C" w:rsidRPr="00483CD5">
        <w:t xml:space="preserve"> been </w:t>
      </w:r>
      <w:r w:rsidR="00756B61">
        <w:t>assessed</w:t>
      </w:r>
      <w:r w:rsidR="00D63BC7" w:rsidRPr="00D63BC7">
        <w:t xml:space="preserve"> taking into </w:t>
      </w:r>
      <w:r w:rsidR="0081785C">
        <w:t xml:space="preserve">account </w:t>
      </w:r>
      <w:r w:rsidR="00D63BC7" w:rsidRPr="00D63BC7">
        <w:t xml:space="preserve">an appropriate theoretical reference context. Methods that make the samples of respondents web and PAPI comparable, </w:t>
      </w:r>
      <w:r w:rsidR="0081785C">
        <w:t>called</w:t>
      </w:r>
      <w:r w:rsidR="0081785C" w:rsidRPr="00D63BC7">
        <w:t xml:space="preserve"> </w:t>
      </w:r>
      <w:r w:rsidR="00D63BC7" w:rsidRPr="00D63BC7">
        <w:t>propensity score</w:t>
      </w:r>
      <w:r w:rsidR="0081785C">
        <w:t xml:space="preserve"> (PS)</w:t>
      </w:r>
      <w:r w:rsidR="003A43E1">
        <w:t xml:space="preserve"> </w:t>
      </w:r>
      <w:r w:rsidR="00D63BC7" w:rsidRPr="00D63BC7">
        <w:t>(</w:t>
      </w:r>
      <w:r w:rsidR="003A43E1">
        <w:t xml:space="preserve">[5] </w:t>
      </w:r>
      <w:r w:rsidR="00D63BC7" w:rsidRPr="00D63BC7">
        <w:t>Rosenbaum and Rubin, 1983</w:t>
      </w:r>
      <w:r w:rsidR="003A43E1">
        <w:t>)</w:t>
      </w:r>
      <w:r w:rsidR="00D63BC7" w:rsidRPr="00D63BC7">
        <w:t xml:space="preserve">, have been used to study the selection effect and the measurement effect of some target </w:t>
      </w:r>
      <w:r w:rsidR="0081785C" w:rsidRPr="00D63BC7">
        <w:t xml:space="preserve">survey </w:t>
      </w:r>
      <w:r w:rsidR="00D63BC7" w:rsidRPr="00D63BC7">
        <w:t>variables.</w:t>
      </w:r>
      <w:r w:rsidR="007828AC">
        <w:t xml:space="preserve"> </w:t>
      </w:r>
      <w:r w:rsidR="00272BE6" w:rsidRPr="00272BE6">
        <w:t xml:space="preserve">With adjustments based on PS, the confounding effects of the selection mechanism are mitigated. The application of this approach </w:t>
      </w:r>
      <w:r w:rsidR="0081785C" w:rsidRPr="00272BE6">
        <w:t>implie</w:t>
      </w:r>
      <w:r w:rsidR="0081785C">
        <w:t>s</w:t>
      </w:r>
      <w:r w:rsidR="00272BE6" w:rsidRPr="00272BE6">
        <w:t>: an estimation of the propensity score model parameters; the definition of sub</w:t>
      </w:r>
      <w:r w:rsidR="002819FB">
        <w:t>-</w:t>
      </w:r>
      <w:r w:rsidR="00272BE6" w:rsidRPr="00272BE6">
        <w:t xml:space="preserve">classification (strata) of web and PAPI respondents based on propensity score; the validation of the balancing assumption, through a </w:t>
      </w:r>
      <w:r w:rsidR="0081785C">
        <w:t>C</w:t>
      </w:r>
      <w:r w:rsidR="00272BE6" w:rsidRPr="00272BE6">
        <w:t xml:space="preserve">hi-square test of the independence between the mode choice and each </w:t>
      </w:r>
      <w:r w:rsidR="002D03B9">
        <w:t>items</w:t>
      </w:r>
      <w:r w:rsidR="0081785C">
        <w:t xml:space="preserve"> </w:t>
      </w:r>
      <w:r w:rsidR="00272BE6" w:rsidRPr="00272BE6">
        <w:t xml:space="preserve">of the covariates; for each balanced group, </w:t>
      </w:r>
      <w:r w:rsidR="0081785C">
        <w:t>calculation</w:t>
      </w:r>
      <w:r w:rsidR="00335E69">
        <w:t xml:space="preserve"> of correction factors</w:t>
      </w:r>
      <w:r w:rsidR="00272BE6" w:rsidRPr="00272BE6">
        <w:t xml:space="preserve"> that equate the weighted proportion of web respondents with the proportion of PAPI respondents in the same stratum.</w:t>
      </w:r>
      <w:r w:rsidR="00272BE6">
        <w:t xml:space="preserve"> </w:t>
      </w:r>
      <w:r w:rsidR="00272BE6" w:rsidRPr="00272BE6">
        <w:t xml:space="preserve">A </w:t>
      </w:r>
      <w:r w:rsidR="0081785C">
        <w:t>L</w:t>
      </w:r>
      <w:r w:rsidR="00272BE6" w:rsidRPr="00272BE6">
        <w:t xml:space="preserve">ogit regression model </w:t>
      </w:r>
      <w:r w:rsidR="0081785C" w:rsidRPr="00483CD5">
        <w:t xml:space="preserve">have been </w:t>
      </w:r>
      <w:r w:rsidR="00272BE6" w:rsidRPr="00272BE6">
        <w:t>used</w:t>
      </w:r>
      <w:r w:rsidR="00595E02">
        <w:t>,</w:t>
      </w:r>
      <w:r w:rsidR="00272BE6" w:rsidRPr="00272BE6">
        <w:t xml:space="preserve"> </w:t>
      </w:r>
      <w:r w:rsidR="00595E02">
        <w:t>in which</w:t>
      </w:r>
      <w:r w:rsidR="00595E02" w:rsidRPr="00272BE6">
        <w:t xml:space="preserve"> </w:t>
      </w:r>
      <w:r w:rsidR="00272BE6" w:rsidRPr="00272BE6">
        <w:t xml:space="preserve">the binary response variable is the mode choice web/PAPI. The parameters resulted significant for the following auxiliary variables: geographic region, type of municipality, household typology, income class and higher educational level. For </w:t>
      </w:r>
      <w:r w:rsidR="00272BE6" w:rsidRPr="00272BE6">
        <w:lastRenderedPageBreak/>
        <w:t xml:space="preserve">eight out of ten deciles of the </w:t>
      </w:r>
      <w:r w:rsidR="00595E02" w:rsidRPr="00272BE6">
        <w:t>predicted probabilit</w:t>
      </w:r>
      <w:r w:rsidR="00595E02">
        <w:t xml:space="preserve">y </w:t>
      </w:r>
      <w:r w:rsidR="00272BE6" w:rsidRPr="00272BE6">
        <w:t xml:space="preserve">distribution the independence hypothesis </w:t>
      </w:r>
      <w:r w:rsidR="00595E02" w:rsidRPr="00483CD5">
        <w:t xml:space="preserve">have been </w:t>
      </w:r>
      <w:r w:rsidR="00272BE6" w:rsidRPr="00272BE6">
        <w:t>accepted for all variables.</w:t>
      </w:r>
      <w:r w:rsidR="00272BE6">
        <w:t xml:space="preserve"> </w:t>
      </w:r>
      <w:r w:rsidR="00272BE6" w:rsidRPr="00272BE6">
        <w:t xml:space="preserve">For each balanced group </w:t>
      </w:r>
      <w:r w:rsidR="00272BE6" w:rsidRPr="00756B61">
        <w:rPr>
          <w:i/>
        </w:rPr>
        <w:t>k</w:t>
      </w:r>
      <w:r w:rsidR="00272BE6" w:rsidRPr="00272BE6">
        <w:t>, a correction factor of the selection effect</w:t>
      </w:r>
      <w:r w:rsidR="00272BE6" w:rsidRPr="009B7D5A">
        <w:rPr>
          <w:rFonts w:ascii="Arial" w:hAnsi="Arial" w:cs="Arial"/>
          <w:szCs w:val="24"/>
        </w:rPr>
        <w:t xml:space="preserve"> </w:t>
      </w:r>
      <w:r w:rsidR="00272BE6" w:rsidRPr="00272BE6">
        <w:t xml:space="preserve">has been calculated as </w:t>
      </w:r>
      <m:oMath>
        <m:sSub>
          <m:sSubPr>
            <m:ctrlPr>
              <w:rPr>
                <w:rFonts w:ascii="Cambria Math" w:hAnsi="Cambria Math" w:cs="Arial"/>
                <w:i/>
                <w:iCs/>
                <w:sz w:val="22"/>
                <w:szCs w:val="22"/>
              </w:rPr>
            </m:ctrlPr>
          </m:sSubPr>
          <m:e>
            <m:r>
              <w:rPr>
                <w:rFonts w:ascii="Cambria Math" w:hAnsi="Cambria Math" w:cs="Arial"/>
                <w:sz w:val="22"/>
                <w:szCs w:val="22"/>
              </w:rPr>
              <m:t>w</m:t>
            </m:r>
          </m:e>
          <m:sub>
            <m:r>
              <w:rPr>
                <w:rFonts w:ascii="Cambria Math" w:hAnsi="Cambria Math" w:cs="Arial"/>
                <w:sz w:val="22"/>
                <w:szCs w:val="22"/>
              </w:rPr>
              <m:t>k</m:t>
            </m:r>
          </m:sub>
        </m:sSub>
        <m:r>
          <w:rPr>
            <w:rFonts w:ascii="Cambria Math" w:hAnsi="Cambria Math" w:cs="Arial"/>
            <w:sz w:val="22"/>
            <w:szCs w:val="22"/>
          </w:rPr>
          <m:t>=</m:t>
        </m:r>
        <m:f>
          <m:fPr>
            <m:ctrlPr>
              <w:rPr>
                <w:rFonts w:ascii="Cambria Math" w:hAnsi="Cambria Math" w:cs="Arial"/>
                <w:i/>
                <w:iCs/>
                <w:sz w:val="22"/>
                <w:szCs w:val="22"/>
              </w:rPr>
            </m:ctrlPr>
          </m:fPr>
          <m:num>
            <m:f>
              <m:fPr>
                <m:type m:val="lin"/>
                <m:ctrlPr>
                  <w:rPr>
                    <w:rFonts w:ascii="Cambria Math" w:hAnsi="Cambria Math" w:cs="Arial"/>
                    <w:i/>
                    <w:iCs/>
                    <w:sz w:val="22"/>
                    <w:szCs w:val="22"/>
                  </w:rPr>
                </m:ctrlPr>
              </m:fPr>
              <m:num>
                <m:sSub>
                  <m:sSubPr>
                    <m:ctrlPr>
                      <w:rPr>
                        <w:rFonts w:ascii="Cambria Math" w:hAnsi="Cambria Math" w:cs="Arial"/>
                        <w:i/>
                        <w:iCs/>
                        <w:sz w:val="22"/>
                        <w:szCs w:val="22"/>
                      </w:rPr>
                    </m:ctrlPr>
                  </m:sSubPr>
                  <m:e>
                    <m:r>
                      <w:rPr>
                        <w:rFonts w:ascii="Cambria Math" w:hAnsi="Cambria Math" w:cs="Arial"/>
                        <w:sz w:val="22"/>
                        <w:szCs w:val="22"/>
                      </w:rPr>
                      <m:t>n</m:t>
                    </m:r>
                  </m:e>
                  <m:sub>
                    <m:r>
                      <w:rPr>
                        <w:rFonts w:ascii="Cambria Math" w:hAnsi="Cambria Math" w:cs="Arial"/>
                        <w:sz w:val="22"/>
                        <w:szCs w:val="22"/>
                      </w:rPr>
                      <m:t>k,papi</m:t>
                    </m:r>
                  </m:sub>
                </m:sSub>
              </m:num>
              <m:den>
                <m:sSub>
                  <m:sSubPr>
                    <m:ctrlPr>
                      <w:rPr>
                        <w:rFonts w:ascii="Cambria Math" w:hAnsi="Cambria Math" w:cs="Arial"/>
                        <w:i/>
                        <w:iCs/>
                        <w:sz w:val="22"/>
                        <w:szCs w:val="22"/>
                      </w:rPr>
                    </m:ctrlPr>
                  </m:sSubPr>
                  <m:e>
                    <m:r>
                      <w:rPr>
                        <w:rFonts w:ascii="Cambria Math" w:hAnsi="Cambria Math" w:cs="Arial"/>
                        <w:sz w:val="22"/>
                        <w:szCs w:val="22"/>
                      </w:rPr>
                      <m:t>n</m:t>
                    </m:r>
                  </m:e>
                  <m:sub>
                    <m:r>
                      <w:rPr>
                        <w:rFonts w:ascii="Cambria Math" w:hAnsi="Cambria Math" w:cs="Arial"/>
                        <w:sz w:val="22"/>
                        <w:szCs w:val="22"/>
                      </w:rPr>
                      <m:t>papi</m:t>
                    </m:r>
                  </m:sub>
                </m:sSub>
              </m:den>
            </m:f>
          </m:num>
          <m:den>
            <m:f>
              <m:fPr>
                <m:type m:val="lin"/>
                <m:ctrlPr>
                  <w:rPr>
                    <w:rFonts w:ascii="Cambria Math" w:hAnsi="Cambria Math" w:cs="Arial"/>
                    <w:i/>
                    <w:iCs/>
                    <w:sz w:val="22"/>
                    <w:szCs w:val="22"/>
                  </w:rPr>
                </m:ctrlPr>
              </m:fPr>
              <m:num>
                <m:sSub>
                  <m:sSubPr>
                    <m:ctrlPr>
                      <w:rPr>
                        <w:rFonts w:ascii="Cambria Math" w:hAnsi="Cambria Math" w:cs="Arial"/>
                        <w:i/>
                        <w:iCs/>
                        <w:sz w:val="22"/>
                        <w:szCs w:val="22"/>
                      </w:rPr>
                    </m:ctrlPr>
                  </m:sSubPr>
                  <m:e>
                    <m:r>
                      <w:rPr>
                        <w:rFonts w:ascii="Cambria Math" w:hAnsi="Cambria Math" w:cs="Arial"/>
                        <w:sz w:val="22"/>
                        <w:szCs w:val="22"/>
                      </w:rPr>
                      <m:t>n</m:t>
                    </m:r>
                  </m:e>
                  <m:sub>
                    <m:r>
                      <w:rPr>
                        <w:rFonts w:ascii="Cambria Math" w:hAnsi="Cambria Math" w:cs="Arial"/>
                        <w:sz w:val="22"/>
                        <w:szCs w:val="22"/>
                      </w:rPr>
                      <m:t>k,web</m:t>
                    </m:r>
                  </m:sub>
                </m:sSub>
              </m:num>
              <m:den>
                <m:sSub>
                  <m:sSubPr>
                    <m:ctrlPr>
                      <w:rPr>
                        <w:rFonts w:ascii="Cambria Math" w:hAnsi="Cambria Math" w:cs="Arial"/>
                        <w:i/>
                        <w:iCs/>
                        <w:sz w:val="22"/>
                        <w:szCs w:val="22"/>
                      </w:rPr>
                    </m:ctrlPr>
                  </m:sSubPr>
                  <m:e>
                    <m:r>
                      <w:rPr>
                        <w:rFonts w:ascii="Cambria Math" w:hAnsi="Cambria Math" w:cs="Arial"/>
                        <w:sz w:val="22"/>
                        <w:szCs w:val="22"/>
                      </w:rPr>
                      <m:t>n</m:t>
                    </m:r>
                  </m:e>
                  <m:sub>
                    <m:r>
                      <w:rPr>
                        <w:rFonts w:ascii="Cambria Math" w:hAnsi="Cambria Math" w:cs="Arial"/>
                        <w:sz w:val="22"/>
                        <w:szCs w:val="22"/>
                      </w:rPr>
                      <m:t>web</m:t>
                    </m:r>
                  </m:sub>
                </m:sSub>
              </m:den>
            </m:f>
          </m:den>
        </m:f>
      </m:oMath>
      <w:r w:rsidR="00272BE6" w:rsidRPr="00272BE6">
        <w:t xml:space="preserve"> (</w:t>
      </w:r>
      <w:r w:rsidR="007A342B">
        <w:t xml:space="preserve">[6] </w:t>
      </w:r>
      <w:proofErr w:type="spellStart"/>
      <w:r w:rsidR="00272BE6" w:rsidRPr="00272BE6">
        <w:t>Vandenplas</w:t>
      </w:r>
      <w:proofErr w:type="spellEnd"/>
      <w:r w:rsidR="00272BE6" w:rsidRPr="00272BE6">
        <w:t xml:space="preserve"> et al., 2016), being</w:t>
      </w:r>
      <w:r w:rsidR="00272BE6">
        <w:rPr>
          <w:rFonts w:ascii="Arial" w:eastAsiaTheme="minorEastAsia" w:hAnsi="Arial" w:cs="Arial"/>
          <w:iCs/>
          <w:szCs w:val="24"/>
        </w:rPr>
        <w:t xml:space="preserve"> </w:t>
      </w:r>
      <m:oMath>
        <m:sSub>
          <m:sSubPr>
            <m:ctrlPr>
              <w:rPr>
                <w:rFonts w:ascii="Cambria Math" w:hAnsi="Cambria Math" w:cs="Arial"/>
                <w:i/>
                <w:iCs/>
                <w:szCs w:val="24"/>
              </w:rPr>
            </m:ctrlPr>
          </m:sSubPr>
          <m:e>
            <m:r>
              <w:rPr>
                <w:rFonts w:ascii="Cambria Math" w:hAnsi="Cambria Math" w:cs="Arial"/>
                <w:szCs w:val="24"/>
              </w:rPr>
              <m:t>n</m:t>
            </m:r>
          </m:e>
          <m:sub>
            <m:r>
              <w:rPr>
                <w:rFonts w:ascii="Cambria Math" w:hAnsi="Cambria Math" w:cs="Arial"/>
                <w:szCs w:val="24"/>
              </w:rPr>
              <m:t>k,T</m:t>
            </m:r>
          </m:sub>
        </m:sSub>
      </m:oMath>
      <w:r w:rsidR="00272BE6">
        <w:rPr>
          <w:rFonts w:ascii="Arial" w:eastAsiaTheme="minorEastAsia" w:hAnsi="Arial" w:cs="Arial"/>
          <w:iCs/>
          <w:szCs w:val="24"/>
        </w:rPr>
        <w:t xml:space="preserve"> </w:t>
      </w:r>
      <w:r w:rsidR="00272BE6" w:rsidRPr="00272BE6">
        <w:t xml:space="preserve">the number of respondents to the mode </w:t>
      </w:r>
      <w:r w:rsidR="00272BE6" w:rsidRPr="00756B61">
        <w:rPr>
          <w:i/>
        </w:rPr>
        <w:t>T</w:t>
      </w:r>
      <w:r w:rsidR="00272BE6" w:rsidRPr="00272BE6">
        <w:t xml:space="preserve"> in the group </w:t>
      </w:r>
      <w:r w:rsidR="00272BE6" w:rsidRPr="00272BE6">
        <w:rPr>
          <w:i/>
        </w:rPr>
        <w:t>k</w:t>
      </w:r>
      <w:r w:rsidR="00272BE6" w:rsidRPr="00272BE6">
        <w:t>.</w:t>
      </w:r>
      <w:r w:rsidR="00285BF4">
        <w:t xml:space="preserve"> </w:t>
      </w:r>
      <w:r w:rsidR="009D30EB" w:rsidRPr="009D30EB">
        <w:t>The propensity score</w:t>
      </w:r>
      <w:r w:rsidR="009D30EB">
        <w:t>, as all</w:t>
      </w:r>
      <w:r w:rsidR="009D30EB" w:rsidRPr="009D30EB">
        <w:t xml:space="preserve"> weig</w:t>
      </w:r>
      <w:r w:rsidR="004A671A">
        <w:t>h</w:t>
      </w:r>
      <w:r w:rsidR="009D30EB" w:rsidRPr="009D30EB">
        <w:t>ing methods</w:t>
      </w:r>
      <w:r w:rsidR="009D30EB">
        <w:t>,</w:t>
      </w:r>
      <w:r w:rsidR="009D30EB" w:rsidRPr="009D30EB">
        <w:t xml:space="preserve"> can be used to correct the selection effect. </w:t>
      </w:r>
      <w:r w:rsidR="00C5295A">
        <w:t>In the analyses</w:t>
      </w:r>
      <w:r w:rsidR="00595E02">
        <w:t>,</w:t>
      </w:r>
      <w:r w:rsidR="00C5295A">
        <w:t xml:space="preserve"> this </w:t>
      </w:r>
      <w:r w:rsidR="004A671A">
        <w:t xml:space="preserve">last </w:t>
      </w:r>
      <w:r w:rsidR="00C5295A">
        <w:t xml:space="preserve">method based on the assumption </w:t>
      </w:r>
      <w:r w:rsidR="00C5295A" w:rsidRPr="009D30EB">
        <w:t>of measurement error invariance</w:t>
      </w:r>
      <w:r w:rsidR="00C5295A">
        <w:t xml:space="preserve"> over time are compared with method that not consider this assumption. </w:t>
      </w:r>
      <w:r w:rsidR="009D30EB" w:rsidRPr="009D30EB">
        <w:t xml:space="preserve">In repeated sequential mixed-mode surveys, the assumption </w:t>
      </w:r>
      <w:r w:rsidR="00C5295A">
        <w:t xml:space="preserve">is not very sustainable, </w:t>
      </w:r>
      <w:r w:rsidR="00595E02">
        <w:t xml:space="preserve">because </w:t>
      </w:r>
      <w:r w:rsidR="00C5295A">
        <w:t>t</w:t>
      </w:r>
      <w:r w:rsidR="009D30EB" w:rsidRPr="009D30EB">
        <w:t xml:space="preserve">he composition of the respondents by </w:t>
      </w:r>
      <w:r w:rsidR="00C5295A">
        <w:t>mode</w:t>
      </w:r>
      <w:r w:rsidR="009D30EB" w:rsidRPr="009D30EB">
        <w:t xml:space="preserve"> can change in the subsequent editions of the survey, leading to variations in the total measurement error.</w:t>
      </w:r>
      <w:r w:rsidR="00C5295A">
        <w:t xml:space="preserve"> To </w:t>
      </w:r>
      <w:r w:rsidR="004E6643">
        <w:t>control</w:t>
      </w:r>
      <w:r w:rsidR="00C5295A">
        <w:t xml:space="preserve"> this </w:t>
      </w:r>
      <w:r w:rsidR="004E6643">
        <w:t xml:space="preserve">aspect, </w:t>
      </w:r>
      <w:r w:rsidR="004A671A">
        <w:t xml:space="preserve">an application of the </w:t>
      </w:r>
      <w:r w:rsidR="004A671A" w:rsidRPr="00C5295A">
        <w:t>interesting method propose</w:t>
      </w:r>
      <w:r w:rsidR="004A671A">
        <w:t>d by</w:t>
      </w:r>
      <w:r w:rsidR="004A671A" w:rsidRPr="00C5295A">
        <w:t xml:space="preserve"> </w:t>
      </w:r>
      <w:proofErr w:type="spellStart"/>
      <w:r w:rsidR="00C5295A" w:rsidRPr="00C5295A">
        <w:t>Buelens</w:t>
      </w:r>
      <w:proofErr w:type="spellEnd"/>
      <w:r w:rsidR="00C5295A" w:rsidRPr="00C5295A">
        <w:t xml:space="preserve"> and Van den </w:t>
      </w:r>
      <w:proofErr w:type="spellStart"/>
      <w:r w:rsidR="00C5295A" w:rsidRPr="00C5295A">
        <w:t>Brakel</w:t>
      </w:r>
      <w:proofErr w:type="spellEnd"/>
      <w:r w:rsidR="00C5295A" w:rsidRPr="00C5295A">
        <w:t xml:space="preserve"> (</w:t>
      </w:r>
      <w:r w:rsidR="007A342B">
        <w:t xml:space="preserve">[7] </w:t>
      </w:r>
      <w:r w:rsidR="00C5295A" w:rsidRPr="00C5295A">
        <w:t>2011)</w:t>
      </w:r>
      <w:r w:rsidR="004A671A">
        <w:t xml:space="preserve">, </w:t>
      </w:r>
      <w:r w:rsidR="004E6643">
        <w:t>has been carried out</w:t>
      </w:r>
      <w:r w:rsidR="001F14BD">
        <w:t xml:space="preserve">, </w:t>
      </w:r>
      <w:r w:rsidR="00C5295A" w:rsidRPr="00C5295A">
        <w:t>aim</w:t>
      </w:r>
      <w:r w:rsidR="004A671A">
        <w:t>ing at</w:t>
      </w:r>
      <w:r w:rsidR="00595E02" w:rsidRPr="00C5295A">
        <w:t xml:space="preserve"> </w:t>
      </w:r>
      <w:r w:rsidR="00C5295A" w:rsidRPr="00C5295A">
        <w:t>keep</w:t>
      </w:r>
      <w:r w:rsidR="004A671A">
        <w:t>ing</w:t>
      </w:r>
      <w:r w:rsidR="00C5295A" w:rsidRPr="00C5295A">
        <w:t xml:space="preserve"> the measurement error constant on the various </w:t>
      </w:r>
      <w:r w:rsidR="00595E02">
        <w:t>survey</w:t>
      </w:r>
      <w:r w:rsidR="00595E02" w:rsidRPr="00C5295A">
        <w:t xml:space="preserve"> </w:t>
      </w:r>
      <w:r w:rsidR="00C5295A" w:rsidRPr="00C5295A">
        <w:t>occasions</w:t>
      </w:r>
      <w:r w:rsidR="00DD4BEF">
        <w:t xml:space="preserve">, based on </w:t>
      </w:r>
      <w:r w:rsidR="00595E02">
        <w:t xml:space="preserve">a </w:t>
      </w:r>
      <w:r w:rsidR="00C5295A" w:rsidRPr="00C5295A">
        <w:t>calibra</w:t>
      </w:r>
      <w:r w:rsidR="00DD4BEF">
        <w:t xml:space="preserve">tion procedure </w:t>
      </w:r>
      <w:r w:rsidR="00DD4BEF" w:rsidRPr="00DD4BEF">
        <w:t xml:space="preserve">that takes into account fixed levels </w:t>
      </w:r>
      <w:r w:rsidR="00DD4BEF">
        <w:t>of mode</w:t>
      </w:r>
      <w:r w:rsidR="004E6643">
        <w:t xml:space="preserve"> proportions</w:t>
      </w:r>
      <w:r w:rsidR="00C5295A" w:rsidRPr="00C5295A">
        <w:t>.</w:t>
      </w:r>
    </w:p>
    <w:p w:rsidR="00272BE6" w:rsidRDefault="00CE5EDD" w:rsidP="00272BE6">
      <w:pPr>
        <w:pStyle w:val="Titolo1"/>
        <w:tabs>
          <w:tab w:val="num" w:pos="480"/>
        </w:tabs>
        <w:ind w:left="480" w:hanging="480"/>
      </w:pPr>
      <w:r>
        <w:t>3.</w:t>
      </w:r>
      <w:r>
        <w:tab/>
      </w:r>
      <w:r w:rsidR="00812FAF">
        <w:t>Main r</w:t>
      </w:r>
      <w:r w:rsidR="00272BE6">
        <w:t>esults</w:t>
      </w:r>
    </w:p>
    <w:p w:rsidR="0075594B" w:rsidRDefault="00793C08" w:rsidP="006836E5">
      <w:pPr>
        <w:rPr>
          <w:rFonts w:cstheme="minorHAnsi"/>
        </w:rPr>
      </w:pPr>
      <w:r>
        <w:t xml:space="preserve">We present here some of the main results of the analyses carried out in the experimentation plan outlined in paragraph 2. </w:t>
      </w:r>
      <w:r w:rsidR="00812FAF">
        <w:t>T</w:t>
      </w:r>
      <w:r w:rsidR="00411C52" w:rsidRPr="00411C52">
        <w:t xml:space="preserve">he </w:t>
      </w:r>
      <w:r w:rsidR="007A6A24" w:rsidRPr="007A6A24">
        <w:t>analy</w:t>
      </w:r>
      <w:r w:rsidR="007A6A24">
        <w:t>s</w:t>
      </w:r>
      <w:r w:rsidR="007A6A24" w:rsidRPr="007A6A24">
        <w:t>es conducted on the response</w:t>
      </w:r>
      <w:r w:rsidR="007A6A24">
        <w:t xml:space="preserve"> </w:t>
      </w:r>
      <w:r w:rsidR="007A6A24" w:rsidRPr="007A6A24">
        <w:t xml:space="preserve">representativeness </w:t>
      </w:r>
      <w:r w:rsidR="007A6A24">
        <w:t>show important results</w:t>
      </w:r>
      <w:r w:rsidR="00743159">
        <w:t xml:space="preserve"> at national level</w:t>
      </w:r>
      <w:r w:rsidR="007D757B">
        <w:t>:</w:t>
      </w:r>
      <w:r w:rsidR="006009E7">
        <w:t xml:space="preserve"> </w:t>
      </w:r>
      <w:r w:rsidR="00540CC3" w:rsidRPr="007A6A24">
        <w:rPr>
          <w:i/>
        </w:rPr>
        <w:t>R</w:t>
      </w:r>
      <w:r w:rsidR="00540CC3" w:rsidRPr="00540CC3">
        <w:t xml:space="preserve">-indicator </w:t>
      </w:r>
      <w:r w:rsidR="007D757B" w:rsidRPr="00540CC3">
        <w:t>values</w:t>
      </w:r>
      <w:r w:rsidR="007D757B">
        <w:t xml:space="preserve"> </w:t>
      </w:r>
      <w:r w:rsidR="007A6A24">
        <w:t>are</w:t>
      </w:r>
      <w:r w:rsidR="007A6A24" w:rsidRPr="00540CC3">
        <w:t xml:space="preserve"> </w:t>
      </w:r>
      <w:r w:rsidR="007A6A24">
        <w:t xml:space="preserve">equal to 0.81195 and </w:t>
      </w:r>
      <w:r w:rsidR="007A6A24" w:rsidRPr="007A6A24">
        <w:t>0.85376</w:t>
      </w:r>
      <w:r w:rsidR="007D757B">
        <w:t>,</w:t>
      </w:r>
      <w:r w:rsidR="007A6A24" w:rsidRPr="007A6A24">
        <w:t xml:space="preserve"> </w:t>
      </w:r>
      <w:r w:rsidR="007A6A24">
        <w:t xml:space="preserve">respectively </w:t>
      </w:r>
      <w:r w:rsidR="00FF6799">
        <w:t>for SM</w:t>
      </w:r>
      <w:r w:rsidR="007A6A24">
        <w:t xml:space="preserve"> </w:t>
      </w:r>
      <w:r w:rsidR="00FF6799">
        <w:t>and MM</w:t>
      </w:r>
      <w:r w:rsidR="00743159">
        <w:t xml:space="preserve"> samples;</w:t>
      </w:r>
      <w:r w:rsidR="007A6A24">
        <w:t xml:space="preserve"> </w:t>
      </w:r>
      <w:r w:rsidR="007A6A24" w:rsidRPr="007A6A24">
        <w:t>MM sample of respondents deviates less from the representative response</w:t>
      </w:r>
      <w:r w:rsidR="007A6A24">
        <w:t xml:space="preserve"> with respect to the SM sample. </w:t>
      </w:r>
      <w:r w:rsidR="00743159">
        <w:t>In Table 1</w:t>
      </w:r>
      <w:r w:rsidR="007A6A24">
        <w:t xml:space="preserve"> </w:t>
      </w:r>
      <w:r w:rsidR="00B92767">
        <w:t xml:space="preserve">the results of  </w:t>
      </w:r>
      <w:r w:rsidR="007A6A24" w:rsidRPr="007A6A24">
        <w:rPr>
          <w:i/>
        </w:rPr>
        <w:t>R</w:t>
      </w:r>
      <w:r w:rsidR="007A6A24" w:rsidRPr="007A6A24">
        <w:t>-indicator</w:t>
      </w:r>
      <w:r w:rsidR="005471B0">
        <w:t>s</w:t>
      </w:r>
      <w:r w:rsidR="007A6A24">
        <w:t xml:space="preserve"> </w:t>
      </w:r>
      <w:r w:rsidR="007A6A24" w:rsidRPr="007A6A24">
        <w:t xml:space="preserve">calculated on the basis of response models defined </w:t>
      </w:r>
      <w:r w:rsidR="00743159">
        <w:t xml:space="preserve">at </w:t>
      </w:r>
      <w:r w:rsidR="007A6A24" w:rsidRPr="007A6A24">
        <w:t>geographical area</w:t>
      </w:r>
      <w:r w:rsidR="00743159">
        <w:t xml:space="preserve"> level</w:t>
      </w:r>
      <w:r w:rsidR="00B92767">
        <w:t xml:space="preserve"> are</w:t>
      </w:r>
      <w:r w:rsidR="007A6A24">
        <w:t xml:space="preserve"> </w:t>
      </w:r>
      <w:r w:rsidR="007A6A24" w:rsidRPr="00A92CCE">
        <w:rPr>
          <w:rFonts w:cstheme="minorHAnsi"/>
        </w:rPr>
        <w:t>show</w:t>
      </w:r>
      <w:r w:rsidR="00B92767">
        <w:rPr>
          <w:rFonts w:cstheme="minorHAnsi"/>
        </w:rPr>
        <w:t>n:</w:t>
      </w:r>
      <w:r w:rsidR="007A6A24" w:rsidRPr="00A92CCE">
        <w:rPr>
          <w:rFonts w:cstheme="minorHAnsi"/>
        </w:rPr>
        <w:t xml:space="preserve"> while for the North the values are similar for the </w:t>
      </w:r>
      <w:r w:rsidR="00743159">
        <w:rPr>
          <w:rFonts w:cstheme="minorHAnsi"/>
        </w:rPr>
        <w:t>SM and MM samples</w:t>
      </w:r>
      <w:r w:rsidR="007A6A24" w:rsidRPr="00A92CCE">
        <w:rPr>
          <w:rFonts w:cstheme="minorHAnsi"/>
        </w:rPr>
        <w:t>, for the other areas they are v</w:t>
      </w:r>
      <w:r w:rsidR="00743159">
        <w:rPr>
          <w:rFonts w:cstheme="minorHAnsi"/>
        </w:rPr>
        <w:t xml:space="preserve">ery different, despite </w:t>
      </w:r>
      <w:r w:rsidR="007A6A24" w:rsidRPr="00A92CCE">
        <w:rPr>
          <w:rFonts w:cstheme="minorHAnsi"/>
        </w:rPr>
        <w:t xml:space="preserve"> </w:t>
      </w:r>
      <w:r w:rsidR="00743159">
        <w:rPr>
          <w:rFonts w:cstheme="minorHAnsi"/>
        </w:rPr>
        <w:t xml:space="preserve">the </w:t>
      </w:r>
      <w:r w:rsidR="005471B0">
        <w:rPr>
          <w:rFonts w:cstheme="minorHAnsi"/>
        </w:rPr>
        <w:t xml:space="preserve">lower web response rate observed for the </w:t>
      </w:r>
      <w:r w:rsidR="005471B0" w:rsidRPr="005471B0">
        <w:rPr>
          <w:rFonts w:cstheme="minorHAnsi"/>
        </w:rPr>
        <w:t>South and Island</w:t>
      </w:r>
      <w:r w:rsidR="005471B0">
        <w:rPr>
          <w:rFonts w:cstheme="minorHAnsi"/>
        </w:rPr>
        <w:t>.</w:t>
      </w:r>
    </w:p>
    <w:p w:rsidR="00272BE6" w:rsidRPr="006836E5" w:rsidRDefault="00272BE6" w:rsidP="00272BE6">
      <w:pPr>
        <w:pStyle w:val="Didascalia"/>
        <w:rPr>
          <w:sz w:val="22"/>
          <w:szCs w:val="22"/>
          <w:highlight w:val="green"/>
        </w:rPr>
      </w:pPr>
      <w:r w:rsidRPr="006836E5">
        <w:rPr>
          <w:sz w:val="22"/>
          <w:szCs w:val="22"/>
        </w:rPr>
        <w:t xml:space="preserve">Table </w:t>
      </w:r>
      <w:r w:rsidRPr="006836E5">
        <w:rPr>
          <w:sz w:val="22"/>
          <w:szCs w:val="22"/>
        </w:rPr>
        <w:fldChar w:fldCharType="begin"/>
      </w:r>
      <w:r w:rsidRPr="006836E5">
        <w:rPr>
          <w:sz w:val="22"/>
          <w:szCs w:val="22"/>
        </w:rPr>
        <w:instrText xml:space="preserve"> SEQ Table \* ARABIC </w:instrText>
      </w:r>
      <w:r w:rsidRPr="006836E5">
        <w:rPr>
          <w:sz w:val="22"/>
          <w:szCs w:val="22"/>
        </w:rPr>
        <w:fldChar w:fldCharType="separate"/>
      </w:r>
      <w:r w:rsidR="00114420" w:rsidRPr="006836E5">
        <w:rPr>
          <w:noProof/>
          <w:sz w:val="22"/>
          <w:szCs w:val="22"/>
        </w:rPr>
        <w:t>1</w:t>
      </w:r>
      <w:r w:rsidRPr="006836E5">
        <w:rPr>
          <w:sz w:val="22"/>
          <w:szCs w:val="22"/>
        </w:rPr>
        <w:fldChar w:fldCharType="end"/>
      </w:r>
      <w:r w:rsidR="003E0FE4" w:rsidRPr="006836E5">
        <w:rPr>
          <w:sz w:val="22"/>
          <w:szCs w:val="22"/>
        </w:rPr>
        <w:t xml:space="preserve">. </w:t>
      </w:r>
      <w:r w:rsidR="003E0FE4" w:rsidRPr="006836E5">
        <w:rPr>
          <w:i/>
          <w:sz w:val="22"/>
          <w:szCs w:val="22"/>
        </w:rPr>
        <w:t>R</w:t>
      </w:r>
      <w:r w:rsidR="003E0FE4" w:rsidRPr="006836E5">
        <w:rPr>
          <w:sz w:val="22"/>
          <w:szCs w:val="22"/>
        </w:rPr>
        <w:t>-indicators in SM and MM samples in the geographical area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558"/>
        <w:gridCol w:w="1843"/>
        <w:gridCol w:w="1701"/>
        <w:gridCol w:w="1495"/>
      </w:tblGrid>
      <w:tr w:rsidR="003E0FE4" w:rsidRPr="00923850" w:rsidTr="003E0FE4">
        <w:tc>
          <w:tcPr>
            <w:tcW w:w="1266" w:type="pct"/>
            <w:shd w:val="clear" w:color="auto" w:fill="auto"/>
          </w:tcPr>
          <w:p w:rsidR="003E0FE4" w:rsidRPr="006836E5" w:rsidRDefault="003E0FE4" w:rsidP="002A7010">
            <w:pPr>
              <w:spacing w:after="0"/>
              <w:rPr>
                <w:sz w:val="20"/>
                <w:highlight w:val="green"/>
              </w:rPr>
            </w:pPr>
            <w:r w:rsidRPr="006836E5">
              <w:rPr>
                <w:rFonts w:cs="Arial"/>
                <w:bCs/>
                <w:kern w:val="28"/>
                <w:sz w:val="20"/>
                <w:lang w:eastAsia="it-IT"/>
              </w:rPr>
              <w:t>Geographical area</w:t>
            </w:r>
          </w:p>
        </w:tc>
        <w:tc>
          <w:tcPr>
            <w:tcW w:w="1925" w:type="pct"/>
            <w:gridSpan w:val="2"/>
            <w:shd w:val="clear" w:color="auto" w:fill="auto"/>
          </w:tcPr>
          <w:p w:rsidR="003E0FE4" w:rsidRPr="006836E5" w:rsidRDefault="003E0FE4" w:rsidP="003E0FE4">
            <w:pPr>
              <w:spacing w:after="0"/>
              <w:jc w:val="center"/>
              <w:rPr>
                <w:sz w:val="20"/>
                <w:highlight w:val="green"/>
              </w:rPr>
            </w:pPr>
            <w:r w:rsidRPr="006836E5">
              <w:rPr>
                <w:rFonts w:cs="Arial"/>
                <w:bCs/>
                <w:kern w:val="28"/>
                <w:sz w:val="20"/>
                <w:lang w:eastAsia="it-IT"/>
              </w:rPr>
              <w:t>SM sample</w:t>
            </w:r>
          </w:p>
        </w:tc>
        <w:tc>
          <w:tcPr>
            <w:tcW w:w="1809" w:type="pct"/>
            <w:gridSpan w:val="2"/>
            <w:shd w:val="clear" w:color="auto" w:fill="auto"/>
          </w:tcPr>
          <w:p w:rsidR="003E0FE4" w:rsidRPr="006836E5" w:rsidRDefault="003E0FE4" w:rsidP="003E0FE4">
            <w:pPr>
              <w:spacing w:after="0"/>
              <w:jc w:val="center"/>
              <w:rPr>
                <w:sz w:val="20"/>
                <w:highlight w:val="green"/>
              </w:rPr>
            </w:pPr>
            <w:r w:rsidRPr="006836E5">
              <w:rPr>
                <w:rFonts w:cs="Arial"/>
                <w:bCs/>
                <w:kern w:val="28"/>
                <w:sz w:val="20"/>
                <w:lang w:eastAsia="it-IT"/>
              </w:rPr>
              <w:t>MM sample</w:t>
            </w:r>
          </w:p>
        </w:tc>
      </w:tr>
      <w:tr w:rsidR="003E0FE4" w:rsidRPr="00923850" w:rsidTr="003E0FE4">
        <w:tc>
          <w:tcPr>
            <w:tcW w:w="1266" w:type="pct"/>
            <w:shd w:val="clear" w:color="auto" w:fill="auto"/>
          </w:tcPr>
          <w:p w:rsidR="003E0FE4" w:rsidRPr="006836E5" w:rsidRDefault="003E0FE4" w:rsidP="002A7010">
            <w:pPr>
              <w:spacing w:after="0"/>
              <w:rPr>
                <w:sz w:val="20"/>
                <w:highlight w:val="green"/>
              </w:rPr>
            </w:pPr>
          </w:p>
        </w:tc>
        <w:tc>
          <w:tcPr>
            <w:tcW w:w="882" w:type="pct"/>
            <w:shd w:val="clear" w:color="auto" w:fill="auto"/>
          </w:tcPr>
          <w:p w:rsidR="003E0FE4" w:rsidRPr="006836E5" w:rsidRDefault="003E0FE4" w:rsidP="003E0FE4">
            <w:pPr>
              <w:spacing w:after="0"/>
              <w:jc w:val="center"/>
              <w:rPr>
                <w:sz w:val="20"/>
                <w:highlight w:val="green"/>
              </w:rPr>
            </w:pPr>
            <w:r w:rsidRPr="006836E5">
              <w:rPr>
                <w:rFonts w:cs="Arial"/>
                <w:bCs/>
                <w:kern w:val="28"/>
                <w:position w:val="-10"/>
                <w:sz w:val="20"/>
                <w:lang w:val="pl-PL" w:eastAsia="it-IT"/>
              </w:rPr>
              <w:object w:dxaOrig="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pt" o:ole="">
                  <v:imagedata r:id="rId12" o:title=""/>
                </v:shape>
                <o:OLEObject Type="Embed" ProgID="Equation.3" ShapeID="_x0000_i1025" DrawAspect="Content" ObjectID="_1601120803" r:id="rId13"/>
              </w:object>
            </w:r>
          </w:p>
        </w:tc>
        <w:tc>
          <w:tcPr>
            <w:tcW w:w="1043" w:type="pct"/>
            <w:shd w:val="clear" w:color="auto" w:fill="auto"/>
          </w:tcPr>
          <w:p w:rsidR="003E0FE4" w:rsidRPr="006836E5" w:rsidRDefault="003E0FE4" w:rsidP="003E0FE4">
            <w:pPr>
              <w:spacing w:after="0"/>
              <w:jc w:val="center"/>
              <w:rPr>
                <w:sz w:val="20"/>
                <w:highlight w:val="green"/>
              </w:rPr>
            </w:pPr>
            <w:r w:rsidRPr="006836E5">
              <w:rPr>
                <w:rFonts w:cs="Arial"/>
                <w:bCs/>
                <w:kern w:val="28"/>
                <w:sz w:val="20"/>
                <w:lang w:val="pl-PL" w:eastAsia="it-IT"/>
              </w:rPr>
              <w:object w:dxaOrig="600" w:dyaOrig="340">
                <v:shape id="_x0000_i1026" type="#_x0000_t75" style="width:30pt;height:16.8pt" o:ole="">
                  <v:imagedata r:id="rId14" o:title=""/>
                </v:shape>
                <o:OLEObject Type="Embed" ProgID="Equation.3" ShapeID="_x0000_i1026" DrawAspect="Content" ObjectID="_1601120804" r:id="rId15"/>
              </w:object>
            </w:r>
          </w:p>
        </w:tc>
        <w:tc>
          <w:tcPr>
            <w:tcW w:w="963" w:type="pct"/>
            <w:shd w:val="clear" w:color="auto" w:fill="auto"/>
          </w:tcPr>
          <w:p w:rsidR="003E0FE4" w:rsidRPr="006836E5" w:rsidRDefault="003E0FE4" w:rsidP="003E0FE4">
            <w:pPr>
              <w:spacing w:after="0"/>
              <w:jc w:val="center"/>
              <w:rPr>
                <w:sz w:val="20"/>
                <w:highlight w:val="green"/>
              </w:rPr>
            </w:pPr>
            <w:r w:rsidRPr="006836E5">
              <w:rPr>
                <w:rFonts w:cs="Arial"/>
                <w:bCs/>
                <w:kern w:val="28"/>
                <w:position w:val="-10"/>
                <w:sz w:val="20"/>
                <w:lang w:val="pl-PL" w:eastAsia="it-IT"/>
              </w:rPr>
              <w:object w:dxaOrig="600" w:dyaOrig="300">
                <v:shape id="_x0000_i1027" type="#_x0000_t75" style="width:30pt;height:15pt" o:ole="">
                  <v:imagedata r:id="rId12" o:title=""/>
                </v:shape>
                <o:OLEObject Type="Embed" ProgID="Equation.3" ShapeID="_x0000_i1027" DrawAspect="Content" ObjectID="_1601120805" r:id="rId16"/>
              </w:object>
            </w:r>
          </w:p>
        </w:tc>
        <w:tc>
          <w:tcPr>
            <w:tcW w:w="846" w:type="pct"/>
            <w:shd w:val="clear" w:color="auto" w:fill="auto"/>
          </w:tcPr>
          <w:p w:rsidR="003E0FE4" w:rsidRPr="006836E5" w:rsidRDefault="003E0FE4" w:rsidP="003E0FE4">
            <w:pPr>
              <w:spacing w:after="0"/>
              <w:jc w:val="center"/>
              <w:rPr>
                <w:sz w:val="20"/>
                <w:highlight w:val="green"/>
              </w:rPr>
            </w:pPr>
            <w:r w:rsidRPr="006836E5">
              <w:rPr>
                <w:rFonts w:cs="Arial"/>
                <w:bCs/>
                <w:kern w:val="28"/>
                <w:sz w:val="20"/>
                <w:lang w:val="pl-PL" w:eastAsia="it-IT"/>
              </w:rPr>
              <w:object w:dxaOrig="600" w:dyaOrig="340">
                <v:shape id="_x0000_i1028" type="#_x0000_t75" style="width:30pt;height:16.8pt" o:ole="">
                  <v:imagedata r:id="rId14" o:title=""/>
                </v:shape>
                <o:OLEObject Type="Embed" ProgID="Equation.3" ShapeID="_x0000_i1028" DrawAspect="Content" ObjectID="_1601120806" r:id="rId17"/>
              </w:object>
            </w:r>
          </w:p>
        </w:tc>
      </w:tr>
      <w:tr w:rsidR="003E0FE4" w:rsidRPr="00923850" w:rsidTr="003E0FE4">
        <w:tc>
          <w:tcPr>
            <w:tcW w:w="1266" w:type="pct"/>
            <w:shd w:val="clear" w:color="auto" w:fill="auto"/>
          </w:tcPr>
          <w:p w:rsidR="003E0FE4" w:rsidRPr="006836E5" w:rsidRDefault="003E0FE4" w:rsidP="002A7010">
            <w:pPr>
              <w:spacing w:after="0"/>
              <w:rPr>
                <w:sz w:val="20"/>
              </w:rPr>
            </w:pPr>
            <w:r w:rsidRPr="006836E5">
              <w:rPr>
                <w:sz w:val="20"/>
              </w:rPr>
              <w:t>North</w:t>
            </w:r>
          </w:p>
        </w:tc>
        <w:tc>
          <w:tcPr>
            <w:tcW w:w="882" w:type="pct"/>
            <w:shd w:val="clear" w:color="auto" w:fill="auto"/>
          </w:tcPr>
          <w:p w:rsidR="003E0FE4" w:rsidRPr="006836E5" w:rsidRDefault="003E0FE4" w:rsidP="003E0FE4">
            <w:pPr>
              <w:spacing w:after="0"/>
              <w:jc w:val="center"/>
              <w:rPr>
                <w:sz w:val="20"/>
                <w:highlight w:val="green"/>
              </w:rPr>
            </w:pPr>
            <w:r w:rsidRPr="006836E5">
              <w:rPr>
                <w:rFonts w:cs="Arial"/>
                <w:bCs/>
                <w:kern w:val="28"/>
                <w:sz w:val="20"/>
                <w:lang w:eastAsia="it-IT"/>
              </w:rPr>
              <w:t>0.84654</w:t>
            </w:r>
          </w:p>
        </w:tc>
        <w:tc>
          <w:tcPr>
            <w:tcW w:w="1043"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0.84977</w:t>
            </w:r>
          </w:p>
        </w:tc>
        <w:tc>
          <w:tcPr>
            <w:tcW w:w="963"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0.84043</w:t>
            </w:r>
          </w:p>
        </w:tc>
        <w:tc>
          <w:tcPr>
            <w:tcW w:w="846"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0.84295</w:t>
            </w:r>
          </w:p>
        </w:tc>
      </w:tr>
      <w:tr w:rsidR="003E0FE4" w:rsidRPr="00923850" w:rsidTr="003E0FE4">
        <w:tc>
          <w:tcPr>
            <w:tcW w:w="1266" w:type="pct"/>
            <w:shd w:val="clear" w:color="auto" w:fill="auto"/>
          </w:tcPr>
          <w:p w:rsidR="003E0FE4" w:rsidRPr="006836E5" w:rsidRDefault="003E0FE4" w:rsidP="002A7010">
            <w:pPr>
              <w:spacing w:after="0"/>
              <w:rPr>
                <w:sz w:val="20"/>
              </w:rPr>
            </w:pPr>
            <w:proofErr w:type="spellStart"/>
            <w:r w:rsidRPr="006836E5">
              <w:rPr>
                <w:sz w:val="20"/>
              </w:rPr>
              <w:t>Center</w:t>
            </w:r>
            <w:proofErr w:type="spellEnd"/>
          </w:p>
        </w:tc>
        <w:tc>
          <w:tcPr>
            <w:tcW w:w="882"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0.75239</w:t>
            </w:r>
          </w:p>
        </w:tc>
        <w:tc>
          <w:tcPr>
            <w:tcW w:w="1043"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0.74822</w:t>
            </w:r>
          </w:p>
        </w:tc>
        <w:tc>
          <w:tcPr>
            <w:tcW w:w="963"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0.84160</w:t>
            </w:r>
          </w:p>
        </w:tc>
        <w:tc>
          <w:tcPr>
            <w:tcW w:w="846"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0.83563</w:t>
            </w:r>
          </w:p>
        </w:tc>
      </w:tr>
      <w:tr w:rsidR="003E0FE4" w:rsidRPr="00923850" w:rsidTr="003E0FE4">
        <w:tc>
          <w:tcPr>
            <w:tcW w:w="1266" w:type="pct"/>
            <w:shd w:val="clear" w:color="auto" w:fill="auto"/>
          </w:tcPr>
          <w:p w:rsidR="003E0FE4" w:rsidRPr="006836E5" w:rsidRDefault="003E0FE4" w:rsidP="002A7010">
            <w:pPr>
              <w:spacing w:after="0"/>
              <w:rPr>
                <w:sz w:val="20"/>
              </w:rPr>
            </w:pPr>
            <w:r w:rsidRPr="006836E5">
              <w:rPr>
                <w:sz w:val="20"/>
              </w:rPr>
              <w:t>South and Island</w:t>
            </w:r>
          </w:p>
        </w:tc>
        <w:tc>
          <w:tcPr>
            <w:tcW w:w="882"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0.83956</w:t>
            </w:r>
          </w:p>
        </w:tc>
        <w:tc>
          <w:tcPr>
            <w:tcW w:w="1043"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0.84012</w:t>
            </w:r>
          </w:p>
        </w:tc>
        <w:tc>
          <w:tcPr>
            <w:tcW w:w="963"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0.90717</w:t>
            </w:r>
          </w:p>
        </w:tc>
        <w:tc>
          <w:tcPr>
            <w:tcW w:w="846" w:type="pct"/>
            <w:shd w:val="clear" w:color="auto" w:fill="auto"/>
          </w:tcPr>
          <w:p w:rsidR="003E0FE4" w:rsidRPr="006836E5" w:rsidRDefault="003E0FE4" w:rsidP="003E0FE4">
            <w:pPr>
              <w:spacing w:after="0"/>
              <w:jc w:val="center"/>
              <w:rPr>
                <w:rFonts w:cs="Arial"/>
                <w:bCs/>
                <w:kern w:val="28"/>
                <w:sz w:val="20"/>
                <w:lang w:eastAsia="it-IT"/>
              </w:rPr>
            </w:pPr>
            <w:r w:rsidRPr="006836E5">
              <w:rPr>
                <w:rFonts w:cs="Arial"/>
                <w:bCs/>
                <w:kern w:val="28"/>
                <w:sz w:val="20"/>
                <w:lang w:eastAsia="it-IT"/>
              </w:rPr>
              <w:t>0.91357</w:t>
            </w:r>
          </w:p>
        </w:tc>
      </w:tr>
    </w:tbl>
    <w:p w:rsidR="002819FB" w:rsidRDefault="002819FB" w:rsidP="009E0B4F">
      <w:pPr>
        <w:spacing w:after="0"/>
      </w:pPr>
    </w:p>
    <w:p w:rsidR="006570EC" w:rsidRDefault="009E0B4F" w:rsidP="00272BE6">
      <w:r w:rsidRPr="009E0B4F">
        <w:t>The following table</w:t>
      </w:r>
      <w:r w:rsidR="004558F8">
        <w:t>s 2 and 3</w:t>
      </w:r>
      <w:r w:rsidRPr="009E0B4F">
        <w:t xml:space="preserve"> show</w:t>
      </w:r>
      <w:r w:rsidR="002D749B">
        <w:t xml:space="preserve">, </w:t>
      </w:r>
      <w:r w:rsidR="002D749B" w:rsidRPr="009E0B4F">
        <w:t xml:space="preserve">for </w:t>
      </w:r>
      <w:r w:rsidR="002D749B">
        <w:t>the variable</w:t>
      </w:r>
      <w:r w:rsidR="002D749B" w:rsidRPr="009E0B4F">
        <w:t xml:space="preserve"> “</w:t>
      </w:r>
      <w:r w:rsidR="002D749B" w:rsidRPr="00B5156D">
        <w:rPr>
          <w:i/>
        </w:rPr>
        <w:t>reading books in the last 12 months</w:t>
      </w:r>
      <w:r w:rsidR="002D749B" w:rsidRPr="009E0B4F">
        <w:t>”</w:t>
      </w:r>
      <w:r w:rsidR="002D749B">
        <w:t xml:space="preserve">, </w:t>
      </w:r>
      <w:r w:rsidRPr="009E0B4F">
        <w:t xml:space="preserve"> the results of the </w:t>
      </w:r>
      <w:r w:rsidR="002D749B">
        <w:t>estimation</w:t>
      </w:r>
      <w:r w:rsidR="004558F8">
        <w:t xml:space="preserve"> of selection and measurement effects</w:t>
      </w:r>
      <w:r w:rsidR="002D749B">
        <w:t xml:space="preserve"> </w:t>
      </w:r>
      <w:r w:rsidR="004558F8">
        <w:t xml:space="preserve">obtained </w:t>
      </w:r>
      <w:r w:rsidR="002D749B">
        <w:t>through</w:t>
      </w:r>
      <w:r w:rsidR="004558F8">
        <w:t xml:space="preserve"> the </w:t>
      </w:r>
      <w:r w:rsidRPr="009E0B4F">
        <w:t xml:space="preserve">application of the method </w:t>
      </w:r>
      <w:r w:rsidR="004558F8">
        <w:t xml:space="preserve">proposed by </w:t>
      </w:r>
      <w:proofErr w:type="spellStart"/>
      <w:r w:rsidR="004558F8">
        <w:t>Vannieuwenhuyze</w:t>
      </w:r>
      <w:proofErr w:type="spellEnd"/>
      <w:r w:rsidR="004558F8">
        <w:t xml:space="preserve"> et al. </w:t>
      </w:r>
      <w:r w:rsidR="004558F8" w:rsidRPr="005F2362">
        <w:t>([</w:t>
      </w:r>
      <w:r w:rsidR="004558F8">
        <w:t>4</w:t>
      </w:r>
      <w:r w:rsidR="004558F8" w:rsidRPr="005F2362">
        <w:t>]</w:t>
      </w:r>
      <w:r w:rsidR="004558F8">
        <w:t xml:space="preserve">, </w:t>
      </w:r>
      <w:r w:rsidR="004558F8" w:rsidRPr="005F2362">
        <w:t>2010)</w:t>
      </w:r>
      <w:r w:rsidR="004558F8">
        <w:t xml:space="preserve"> </w:t>
      </w:r>
      <w:r w:rsidR="002D749B">
        <w:t xml:space="preserve">and the propensity score </w:t>
      </w:r>
      <w:r w:rsidR="002D749B" w:rsidRPr="00272BE6">
        <w:t>(</w:t>
      </w:r>
      <w:r w:rsidR="002D749B">
        <w:t xml:space="preserve">[6] </w:t>
      </w:r>
      <w:proofErr w:type="spellStart"/>
      <w:r w:rsidR="002D749B" w:rsidRPr="00272BE6">
        <w:t>Vandenplas</w:t>
      </w:r>
      <w:proofErr w:type="spellEnd"/>
      <w:r w:rsidR="002D749B" w:rsidRPr="00272BE6">
        <w:t xml:space="preserve"> et al., 2016)</w:t>
      </w:r>
      <w:r>
        <w:t xml:space="preserve">. </w:t>
      </w:r>
    </w:p>
    <w:p w:rsidR="006570EC" w:rsidRPr="006836E5" w:rsidRDefault="006570EC" w:rsidP="006570EC">
      <w:pPr>
        <w:pStyle w:val="Didascalia"/>
        <w:rPr>
          <w:sz w:val="22"/>
          <w:szCs w:val="22"/>
        </w:rPr>
      </w:pPr>
      <w:r w:rsidRPr="006836E5">
        <w:rPr>
          <w:sz w:val="22"/>
          <w:szCs w:val="22"/>
        </w:rPr>
        <w:t xml:space="preserve">Table </w:t>
      </w:r>
      <w:r w:rsidR="003F3380" w:rsidRPr="006836E5">
        <w:rPr>
          <w:sz w:val="22"/>
          <w:szCs w:val="22"/>
        </w:rPr>
        <w:t>2</w:t>
      </w:r>
      <w:r w:rsidRPr="006836E5">
        <w:rPr>
          <w:sz w:val="22"/>
          <w:szCs w:val="22"/>
        </w:rPr>
        <w:t xml:space="preserve">. </w:t>
      </w:r>
      <w:r w:rsidR="009E0B4F" w:rsidRPr="006836E5">
        <w:rPr>
          <w:sz w:val="22"/>
          <w:szCs w:val="22"/>
        </w:rPr>
        <w:t>Estimate of the selection and measurement effects for “reading books in the last 12 months” variable</w:t>
      </w:r>
      <w:r w:rsidR="003F3380" w:rsidRPr="006836E5">
        <w:rPr>
          <w:sz w:val="22"/>
          <w:szCs w:val="22"/>
        </w:rPr>
        <w:t xml:space="preserve"> comparing SM and MM respondent’s samples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567"/>
        <w:gridCol w:w="2268"/>
        <w:gridCol w:w="2487"/>
      </w:tblGrid>
      <w:tr w:rsidR="005D6FFA" w:rsidRPr="00923850" w:rsidTr="007321C1">
        <w:tc>
          <w:tcPr>
            <w:tcW w:w="1421" w:type="pct"/>
          </w:tcPr>
          <w:p w:rsidR="005D6FFA" w:rsidRPr="006836E5" w:rsidRDefault="005D6FFA" w:rsidP="00D1273C">
            <w:pPr>
              <w:spacing w:after="0"/>
              <w:rPr>
                <w:sz w:val="20"/>
              </w:rPr>
            </w:pPr>
            <w:r w:rsidRPr="006836E5">
              <w:rPr>
                <w:sz w:val="20"/>
              </w:rPr>
              <w:t>Variable</w:t>
            </w:r>
          </w:p>
        </w:tc>
        <w:tc>
          <w:tcPr>
            <w:tcW w:w="887" w:type="pct"/>
            <w:shd w:val="clear" w:color="auto" w:fill="auto"/>
          </w:tcPr>
          <w:p w:rsidR="005D6FFA" w:rsidRPr="006836E5" w:rsidRDefault="005D6FFA" w:rsidP="00D1273C">
            <w:pPr>
              <w:spacing w:after="0"/>
              <w:rPr>
                <w:sz w:val="20"/>
                <w:highlight w:val="green"/>
              </w:rPr>
            </w:pPr>
            <w:r w:rsidRPr="006836E5">
              <w:rPr>
                <w:sz w:val="20"/>
              </w:rPr>
              <w:t>Category</w:t>
            </w:r>
          </w:p>
        </w:tc>
        <w:tc>
          <w:tcPr>
            <w:tcW w:w="1284" w:type="pct"/>
            <w:shd w:val="clear" w:color="auto" w:fill="auto"/>
          </w:tcPr>
          <w:p w:rsidR="005D6FFA" w:rsidRPr="006836E5" w:rsidRDefault="005D6FFA" w:rsidP="00D1273C">
            <w:pPr>
              <w:spacing w:after="0"/>
              <w:jc w:val="center"/>
              <w:rPr>
                <w:sz w:val="20"/>
              </w:rPr>
            </w:pPr>
            <w:r w:rsidRPr="006836E5">
              <w:rPr>
                <w:sz w:val="20"/>
              </w:rPr>
              <w:t>Selection effect</w:t>
            </w:r>
          </w:p>
        </w:tc>
        <w:tc>
          <w:tcPr>
            <w:tcW w:w="1408" w:type="pct"/>
            <w:shd w:val="clear" w:color="auto" w:fill="auto"/>
          </w:tcPr>
          <w:p w:rsidR="005D6FFA" w:rsidRPr="006836E5" w:rsidRDefault="005D6FFA" w:rsidP="00D1273C">
            <w:pPr>
              <w:spacing w:after="0"/>
              <w:jc w:val="center"/>
              <w:rPr>
                <w:sz w:val="20"/>
              </w:rPr>
            </w:pPr>
            <w:r w:rsidRPr="006836E5">
              <w:rPr>
                <w:sz w:val="20"/>
              </w:rPr>
              <w:t>Measurement effect</w:t>
            </w:r>
          </w:p>
        </w:tc>
      </w:tr>
      <w:tr w:rsidR="005D6FFA" w:rsidRPr="00923850" w:rsidTr="007321C1">
        <w:tc>
          <w:tcPr>
            <w:tcW w:w="1421" w:type="pct"/>
            <w:vMerge w:val="restart"/>
          </w:tcPr>
          <w:p w:rsidR="005D6FFA" w:rsidRPr="006836E5" w:rsidRDefault="005D6FFA" w:rsidP="009E0B4F">
            <w:pPr>
              <w:spacing w:after="0"/>
              <w:rPr>
                <w:sz w:val="20"/>
              </w:rPr>
            </w:pPr>
            <w:r w:rsidRPr="006836E5">
              <w:rPr>
                <w:sz w:val="20"/>
              </w:rPr>
              <w:t xml:space="preserve">Reading books </w:t>
            </w:r>
          </w:p>
          <w:p w:rsidR="005D6FFA" w:rsidRPr="006836E5" w:rsidRDefault="005D6FFA" w:rsidP="009E0B4F">
            <w:pPr>
              <w:spacing w:after="0"/>
              <w:rPr>
                <w:sz w:val="20"/>
              </w:rPr>
            </w:pPr>
            <w:r w:rsidRPr="006836E5">
              <w:rPr>
                <w:sz w:val="20"/>
              </w:rPr>
              <w:t xml:space="preserve">in the last </w:t>
            </w:r>
          </w:p>
          <w:p w:rsidR="005D6FFA" w:rsidRPr="006836E5" w:rsidRDefault="005D6FFA" w:rsidP="009E0B4F">
            <w:pPr>
              <w:spacing w:after="0"/>
              <w:rPr>
                <w:sz w:val="20"/>
              </w:rPr>
            </w:pPr>
            <w:r w:rsidRPr="006836E5">
              <w:rPr>
                <w:sz w:val="20"/>
              </w:rPr>
              <w:t>12 months</w:t>
            </w:r>
          </w:p>
        </w:tc>
        <w:tc>
          <w:tcPr>
            <w:tcW w:w="887" w:type="pct"/>
            <w:shd w:val="clear" w:color="auto" w:fill="auto"/>
          </w:tcPr>
          <w:p w:rsidR="005D6FFA" w:rsidRPr="006836E5" w:rsidRDefault="005D6FFA" w:rsidP="009E0B4F">
            <w:pPr>
              <w:spacing w:after="0"/>
              <w:rPr>
                <w:sz w:val="20"/>
              </w:rPr>
            </w:pPr>
            <w:r w:rsidRPr="006836E5">
              <w:rPr>
                <w:sz w:val="20"/>
              </w:rPr>
              <w:t>No</w:t>
            </w:r>
          </w:p>
        </w:tc>
        <w:tc>
          <w:tcPr>
            <w:tcW w:w="1284" w:type="pct"/>
            <w:shd w:val="clear" w:color="auto" w:fill="auto"/>
          </w:tcPr>
          <w:p w:rsidR="005D6FFA" w:rsidRPr="006836E5" w:rsidRDefault="005D6FFA" w:rsidP="00D1273C">
            <w:pPr>
              <w:spacing w:after="0"/>
              <w:jc w:val="center"/>
              <w:rPr>
                <w:rFonts w:cs="Arial"/>
                <w:bCs/>
                <w:kern w:val="28"/>
                <w:sz w:val="20"/>
                <w:lang w:eastAsia="it-IT"/>
              </w:rPr>
            </w:pPr>
            <w:r w:rsidRPr="006836E5">
              <w:rPr>
                <w:rFonts w:cs="Arial"/>
                <w:bCs/>
                <w:kern w:val="28"/>
                <w:sz w:val="20"/>
                <w:lang w:eastAsia="it-IT"/>
              </w:rPr>
              <w:t>0,1478</w:t>
            </w:r>
          </w:p>
        </w:tc>
        <w:tc>
          <w:tcPr>
            <w:tcW w:w="1408" w:type="pct"/>
            <w:shd w:val="clear" w:color="auto" w:fill="auto"/>
          </w:tcPr>
          <w:p w:rsidR="005D6FFA" w:rsidRPr="006836E5" w:rsidRDefault="005D6FFA" w:rsidP="00D1273C">
            <w:pPr>
              <w:spacing w:after="0"/>
              <w:jc w:val="center"/>
              <w:rPr>
                <w:rFonts w:cs="Arial"/>
                <w:bCs/>
                <w:kern w:val="28"/>
                <w:sz w:val="20"/>
                <w:lang w:eastAsia="it-IT"/>
              </w:rPr>
            </w:pPr>
            <w:r w:rsidRPr="006836E5">
              <w:rPr>
                <w:rFonts w:cs="Arial"/>
                <w:bCs/>
                <w:kern w:val="28"/>
                <w:sz w:val="20"/>
                <w:lang w:eastAsia="it-IT"/>
              </w:rPr>
              <w:t>-0,0727</w:t>
            </w:r>
          </w:p>
        </w:tc>
      </w:tr>
      <w:tr w:rsidR="005D6FFA" w:rsidRPr="00923850" w:rsidTr="007321C1">
        <w:tc>
          <w:tcPr>
            <w:tcW w:w="1421" w:type="pct"/>
            <w:vMerge/>
          </w:tcPr>
          <w:p w:rsidR="005D6FFA" w:rsidRPr="006836E5" w:rsidRDefault="005D6FFA" w:rsidP="00D1273C">
            <w:pPr>
              <w:spacing w:after="0"/>
              <w:rPr>
                <w:sz w:val="20"/>
              </w:rPr>
            </w:pPr>
          </w:p>
        </w:tc>
        <w:tc>
          <w:tcPr>
            <w:tcW w:w="887" w:type="pct"/>
            <w:shd w:val="clear" w:color="auto" w:fill="auto"/>
          </w:tcPr>
          <w:p w:rsidR="005D6FFA" w:rsidRPr="006836E5" w:rsidRDefault="005D6FFA" w:rsidP="00D1273C">
            <w:pPr>
              <w:spacing w:after="0"/>
              <w:rPr>
                <w:sz w:val="20"/>
              </w:rPr>
            </w:pPr>
            <w:r w:rsidRPr="006836E5">
              <w:rPr>
                <w:sz w:val="20"/>
              </w:rPr>
              <w:t>Yes</w:t>
            </w:r>
          </w:p>
        </w:tc>
        <w:tc>
          <w:tcPr>
            <w:tcW w:w="1284" w:type="pct"/>
            <w:shd w:val="clear" w:color="auto" w:fill="auto"/>
          </w:tcPr>
          <w:p w:rsidR="005D6FFA" w:rsidRPr="006836E5" w:rsidRDefault="005D6FFA" w:rsidP="00D1273C">
            <w:pPr>
              <w:spacing w:after="0"/>
              <w:jc w:val="center"/>
              <w:rPr>
                <w:rFonts w:cs="Arial"/>
                <w:bCs/>
                <w:kern w:val="28"/>
                <w:sz w:val="20"/>
                <w:lang w:eastAsia="it-IT"/>
              </w:rPr>
            </w:pPr>
            <w:r w:rsidRPr="006836E5">
              <w:rPr>
                <w:rFonts w:cs="Arial"/>
                <w:bCs/>
                <w:kern w:val="28"/>
                <w:sz w:val="20"/>
                <w:lang w:eastAsia="it-IT"/>
              </w:rPr>
              <w:t>-0,1767</w:t>
            </w:r>
          </w:p>
        </w:tc>
        <w:tc>
          <w:tcPr>
            <w:tcW w:w="1408" w:type="pct"/>
            <w:shd w:val="clear" w:color="auto" w:fill="auto"/>
          </w:tcPr>
          <w:p w:rsidR="005D6FFA" w:rsidRPr="006836E5" w:rsidRDefault="005D6FFA" w:rsidP="00D1273C">
            <w:pPr>
              <w:spacing w:after="0"/>
              <w:jc w:val="center"/>
              <w:rPr>
                <w:rFonts w:cs="Arial"/>
                <w:bCs/>
                <w:kern w:val="28"/>
                <w:sz w:val="20"/>
                <w:lang w:eastAsia="it-IT"/>
              </w:rPr>
            </w:pPr>
            <w:r w:rsidRPr="006836E5">
              <w:rPr>
                <w:rFonts w:cs="Arial"/>
                <w:bCs/>
                <w:kern w:val="28"/>
                <w:sz w:val="20"/>
                <w:lang w:eastAsia="it-IT"/>
              </w:rPr>
              <w:t>0,0416</w:t>
            </w:r>
          </w:p>
        </w:tc>
      </w:tr>
      <w:tr w:rsidR="005D6FFA" w:rsidRPr="00923850" w:rsidTr="007321C1">
        <w:tc>
          <w:tcPr>
            <w:tcW w:w="1421" w:type="pct"/>
            <w:vMerge/>
          </w:tcPr>
          <w:p w:rsidR="005D6FFA" w:rsidRPr="006836E5" w:rsidRDefault="005D6FFA" w:rsidP="00D1273C">
            <w:pPr>
              <w:spacing w:after="0"/>
              <w:rPr>
                <w:sz w:val="20"/>
              </w:rPr>
            </w:pPr>
          </w:p>
        </w:tc>
        <w:tc>
          <w:tcPr>
            <w:tcW w:w="887" w:type="pct"/>
            <w:shd w:val="clear" w:color="auto" w:fill="auto"/>
          </w:tcPr>
          <w:p w:rsidR="005D6FFA" w:rsidRPr="006836E5" w:rsidRDefault="005D6FFA" w:rsidP="00D1273C">
            <w:pPr>
              <w:spacing w:after="0"/>
              <w:rPr>
                <w:sz w:val="20"/>
              </w:rPr>
            </w:pPr>
            <w:r w:rsidRPr="006836E5">
              <w:rPr>
                <w:sz w:val="20"/>
              </w:rPr>
              <w:t>NR</w:t>
            </w:r>
          </w:p>
        </w:tc>
        <w:tc>
          <w:tcPr>
            <w:tcW w:w="1284" w:type="pct"/>
            <w:shd w:val="clear" w:color="auto" w:fill="auto"/>
          </w:tcPr>
          <w:p w:rsidR="005D6FFA" w:rsidRPr="006836E5" w:rsidRDefault="005D6FFA" w:rsidP="00D1273C">
            <w:pPr>
              <w:spacing w:after="0"/>
              <w:jc w:val="center"/>
              <w:rPr>
                <w:rFonts w:cs="Arial"/>
                <w:bCs/>
                <w:kern w:val="28"/>
                <w:sz w:val="20"/>
                <w:lang w:eastAsia="it-IT"/>
              </w:rPr>
            </w:pPr>
            <w:r w:rsidRPr="006836E5">
              <w:rPr>
                <w:rFonts w:cs="Arial"/>
                <w:bCs/>
                <w:kern w:val="28"/>
                <w:sz w:val="20"/>
                <w:lang w:eastAsia="it-IT"/>
              </w:rPr>
              <w:t>0,0288</w:t>
            </w:r>
          </w:p>
        </w:tc>
        <w:tc>
          <w:tcPr>
            <w:tcW w:w="1408" w:type="pct"/>
            <w:shd w:val="clear" w:color="auto" w:fill="auto"/>
          </w:tcPr>
          <w:p w:rsidR="005D6FFA" w:rsidRPr="006836E5" w:rsidRDefault="005D6FFA" w:rsidP="00D1273C">
            <w:pPr>
              <w:spacing w:after="0"/>
              <w:jc w:val="center"/>
              <w:rPr>
                <w:rFonts w:cs="Arial"/>
                <w:bCs/>
                <w:kern w:val="28"/>
                <w:sz w:val="20"/>
                <w:lang w:eastAsia="it-IT"/>
              </w:rPr>
            </w:pPr>
            <w:r w:rsidRPr="006836E5">
              <w:rPr>
                <w:rFonts w:cs="Arial"/>
                <w:bCs/>
                <w:kern w:val="28"/>
                <w:sz w:val="20"/>
                <w:lang w:eastAsia="it-IT"/>
              </w:rPr>
              <w:t>0,0311</w:t>
            </w:r>
          </w:p>
        </w:tc>
      </w:tr>
    </w:tbl>
    <w:p w:rsidR="003F3380" w:rsidRPr="006836E5" w:rsidRDefault="003F3380" w:rsidP="00D2703E">
      <w:pPr>
        <w:pStyle w:val="Didascalia"/>
        <w:spacing w:before="240"/>
        <w:rPr>
          <w:sz w:val="22"/>
          <w:szCs w:val="22"/>
        </w:rPr>
      </w:pPr>
      <w:r w:rsidRPr="006836E5">
        <w:rPr>
          <w:sz w:val="22"/>
          <w:szCs w:val="22"/>
        </w:rPr>
        <w:t>Table 3. Estimate of the selection and measurement effects for “reading books in the last 12 months” variable in MM respondent’s sample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096"/>
        <w:gridCol w:w="1215"/>
        <w:gridCol w:w="1215"/>
        <w:gridCol w:w="1215"/>
        <w:gridCol w:w="1215"/>
        <w:gridCol w:w="1523"/>
      </w:tblGrid>
      <w:tr w:rsidR="003F3380" w:rsidRPr="00923850" w:rsidTr="00271864">
        <w:tc>
          <w:tcPr>
            <w:tcW w:w="766" w:type="pct"/>
            <w:vAlign w:val="center"/>
          </w:tcPr>
          <w:p w:rsidR="003F3380" w:rsidRPr="006836E5" w:rsidRDefault="003F3380" w:rsidP="002544B8">
            <w:pPr>
              <w:spacing w:after="0"/>
              <w:rPr>
                <w:sz w:val="20"/>
              </w:rPr>
            </w:pPr>
            <w:r w:rsidRPr="006836E5">
              <w:rPr>
                <w:sz w:val="20"/>
              </w:rPr>
              <w:t>Variable</w:t>
            </w:r>
          </w:p>
        </w:tc>
        <w:tc>
          <w:tcPr>
            <w:tcW w:w="620" w:type="pct"/>
            <w:shd w:val="clear" w:color="auto" w:fill="auto"/>
            <w:vAlign w:val="center"/>
          </w:tcPr>
          <w:p w:rsidR="003F3380" w:rsidRPr="006836E5" w:rsidRDefault="003F3380" w:rsidP="002544B8">
            <w:pPr>
              <w:spacing w:after="0"/>
              <w:rPr>
                <w:sz w:val="20"/>
                <w:highlight w:val="green"/>
              </w:rPr>
            </w:pPr>
            <w:r w:rsidRPr="006836E5">
              <w:rPr>
                <w:sz w:val="20"/>
              </w:rPr>
              <w:t>Category</w:t>
            </w:r>
          </w:p>
        </w:tc>
        <w:tc>
          <w:tcPr>
            <w:tcW w:w="688" w:type="pct"/>
          </w:tcPr>
          <w:p w:rsidR="003F3380" w:rsidRPr="006836E5" w:rsidRDefault="003F3380" w:rsidP="002544B8">
            <w:pPr>
              <w:spacing w:after="0"/>
              <w:jc w:val="center"/>
              <w:rPr>
                <w:sz w:val="20"/>
              </w:rPr>
            </w:pPr>
            <w:r w:rsidRPr="006836E5">
              <w:rPr>
                <w:sz w:val="20"/>
              </w:rPr>
              <w:t>Weighted Web mean</w:t>
            </w:r>
          </w:p>
        </w:tc>
        <w:tc>
          <w:tcPr>
            <w:tcW w:w="688" w:type="pct"/>
          </w:tcPr>
          <w:p w:rsidR="00EF0B22" w:rsidRPr="006836E5" w:rsidRDefault="00EF0B22" w:rsidP="002544B8">
            <w:pPr>
              <w:spacing w:after="0"/>
              <w:jc w:val="center"/>
              <w:rPr>
                <w:sz w:val="20"/>
              </w:rPr>
            </w:pPr>
            <w:r w:rsidRPr="006836E5">
              <w:rPr>
                <w:sz w:val="20"/>
              </w:rPr>
              <w:t xml:space="preserve">Web </w:t>
            </w:r>
          </w:p>
          <w:p w:rsidR="003F3380" w:rsidRPr="006836E5" w:rsidRDefault="00EF0B22" w:rsidP="002544B8">
            <w:pPr>
              <w:spacing w:after="0"/>
              <w:jc w:val="center"/>
              <w:rPr>
                <w:sz w:val="20"/>
              </w:rPr>
            </w:pPr>
            <w:r w:rsidRPr="006836E5">
              <w:rPr>
                <w:sz w:val="20"/>
              </w:rPr>
              <w:t>mean</w:t>
            </w:r>
          </w:p>
        </w:tc>
        <w:tc>
          <w:tcPr>
            <w:tcW w:w="688" w:type="pct"/>
          </w:tcPr>
          <w:p w:rsidR="003F3380" w:rsidRPr="006836E5" w:rsidRDefault="00EF0B22" w:rsidP="002544B8">
            <w:pPr>
              <w:spacing w:after="0"/>
              <w:jc w:val="center"/>
              <w:rPr>
                <w:sz w:val="20"/>
              </w:rPr>
            </w:pPr>
            <w:r w:rsidRPr="006836E5">
              <w:rPr>
                <w:sz w:val="20"/>
              </w:rPr>
              <w:t>PAPI mean</w:t>
            </w:r>
          </w:p>
        </w:tc>
        <w:tc>
          <w:tcPr>
            <w:tcW w:w="688" w:type="pct"/>
            <w:shd w:val="clear" w:color="auto" w:fill="auto"/>
          </w:tcPr>
          <w:p w:rsidR="003F3380" w:rsidRPr="006836E5" w:rsidRDefault="003F3380" w:rsidP="002544B8">
            <w:pPr>
              <w:spacing w:after="0"/>
              <w:jc w:val="center"/>
              <w:rPr>
                <w:sz w:val="20"/>
              </w:rPr>
            </w:pPr>
            <w:r w:rsidRPr="006836E5">
              <w:rPr>
                <w:sz w:val="20"/>
              </w:rPr>
              <w:t>Selection effect</w:t>
            </w:r>
          </w:p>
        </w:tc>
        <w:tc>
          <w:tcPr>
            <w:tcW w:w="862" w:type="pct"/>
            <w:shd w:val="clear" w:color="auto" w:fill="auto"/>
          </w:tcPr>
          <w:p w:rsidR="003F3380" w:rsidRPr="006836E5" w:rsidRDefault="003F3380" w:rsidP="002544B8">
            <w:pPr>
              <w:spacing w:after="0"/>
              <w:jc w:val="center"/>
              <w:rPr>
                <w:sz w:val="20"/>
              </w:rPr>
            </w:pPr>
            <w:r w:rsidRPr="006836E5">
              <w:rPr>
                <w:sz w:val="20"/>
              </w:rPr>
              <w:t>Measurement effect</w:t>
            </w:r>
          </w:p>
        </w:tc>
      </w:tr>
      <w:tr w:rsidR="00EF0B22" w:rsidRPr="00923850" w:rsidTr="00F74B71">
        <w:tc>
          <w:tcPr>
            <w:tcW w:w="766" w:type="pct"/>
            <w:vMerge w:val="restart"/>
          </w:tcPr>
          <w:p w:rsidR="00EF0B22" w:rsidRPr="006836E5" w:rsidRDefault="00EF0B22" w:rsidP="002544B8">
            <w:pPr>
              <w:spacing w:after="0"/>
              <w:rPr>
                <w:sz w:val="20"/>
              </w:rPr>
            </w:pPr>
            <w:r w:rsidRPr="006836E5">
              <w:rPr>
                <w:sz w:val="20"/>
              </w:rPr>
              <w:t>Reading books (last</w:t>
            </w:r>
          </w:p>
          <w:p w:rsidR="00EF0B22" w:rsidRPr="006836E5" w:rsidRDefault="00EF0B22" w:rsidP="002544B8">
            <w:pPr>
              <w:spacing w:after="0"/>
              <w:rPr>
                <w:sz w:val="20"/>
              </w:rPr>
            </w:pPr>
            <w:r w:rsidRPr="006836E5">
              <w:rPr>
                <w:sz w:val="20"/>
              </w:rPr>
              <w:t>12 months)</w:t>
            </w:r>
          </w:p>
        </w:tc>
        <w:tc>
          <w:tcPr>
            <w:tcW w:w="620" w:type="pct"/>
            <w:shd w:val="clear" w:color="auto" w:fill="auto"/>
          </w:tcPr>
          <w:p w:rsidR="00EF0B22" w:rsidRPr="006836E5" w:rsidRDefault="00EF0B22" w:rsidP="002544B8">
            <w:pPr>
              <w:spacing w:after="0"/>
              <w:rPr>
                <w:sz w:val="20"/>
              </w:rPr>
            </w:pPr>
            <w:r w:rsidRPr="006836E5">
              <w:rPr>
                <w:sz w:val="20"/>
              </w:rPr>
              <w:t>No</w:t>
            </w:r>
          </w:p>
        </w:tc>
        <w:tc>
          <w:tcPr>
            <w:tcW w:w="688" w:type="pct"/>
            <w:vAlign w:val="bottom"/>
          </w:tcPr>
          <w:p w:rsidR="00EF0B22" w:rsidRPr="006836E5" w:rsidRDefault="00EF0B22" w:rsidP="00EF0B22">
            <w:pPr>
              <w:spacing w:after="0"/>
              <w:jc w:val="right"/>
              <w:rPr>
                <w:sz w:val="20"/>
              </w:rPr>
            </w:pPr>
            <w:r w:rsidRPr="006836E5">
              <w:rPr>
                <w:sz w:val="20"/>
              </w:rPr>
              <w:t>0.485</w:t>
            </w:r>
          </w:p>
        </w:tc>
        <w:tc>
          <w:tcPr>
            <w:tcW w:w="688" w:type="pct"/>
            <w:vAlign w:val="bottom"/>
          </w:tcPr>
          <w:p w:rsidR="00EF0B22" w:rsidRPr="006836E5" w:rsidRDefault="00EF0B22" w:rsidP="00EF0B22">
            <w:pPr>
              <w:spacing w:after="0"/>
              <w:jc w:val="right"/>
              <w:rPr>
                <w:sz w:val="20"/>
              </w:rPr>
            </w:pPr>
            <w:r w:rsidRPr="006836E5">
              <w:rPr>
                <w:sz w:val="20"/>
              </w:rPr>
              <w:t>0.451</w:t>
            </w:r>
          </w:p>
        </w:tc>
        <w:tc>
          <w:tcPr>
            <w:tcW w:w="688" w:type="pct"/>
            <w:vAlign w:val="bottom"/>
          </w:tcPr>
          <w:p w:rsidR="00EF0B22" w:rsidRPr="006836E5" w:rsidRDefault="00EF0B22" w:rsidP="00EF0B22">
            <w:pPr>
              <w:spacing w:after="0"/>
              <w:jc w:val="right"/>
              <w:rPr>
                <w:sz w:val="20"/>
              </w:rPr>
            </w:pPr>
            <w:r w:rsidRPr="006836E5">
              <w:rPr>
                <w:sz w:val="20"/>
              </w:rPr>
              <w:t>0.618</w:t>
            </w:r>
          </w:p>
        </w:tc>
        <w:tc>
          <w:tcPr>
            <w:tcW w:w="688" w:type="pct"/>
            <w:shd w:val="clear" w:color="auto" w:fill="auto"/>
            <w:vAlign w:val="bottom"/>
          </w:tcPr>
          <w:p w:rsidR="00EF0B22" w:rsidRPr="006836E5" w:rsidRDefault="00EF0B22" w:rsidP="00EF0B22">
            <w:pPr>
              <w:spacing w:after="0"/>
              <w:jc w:val="right"/>
              <w:rPr>
                <w:sz w:val="20"/>
              </w:rPr>
            </w:pPr>
            <w:r w:rsidRPr="006836E5">
              <w:rPr>
                <w:sz w:val="20"/>
              </w:rPr>
              <w:t>0.034</w:t>
            </w:r>
          </w:p>
        </w:tc>
        <w:tc>
          <w:tcPr>
            <w:tcW w:w="862" w:type="pct"/>
            <w:shd w:val="clear" w:color="auto" w:fill="auto"/>
            <w:vAlign w:val="bottom"/>
          </w:tcPr>
          <w:p w:rsidR="00EF0B22" w:rsidRPr="006836E5" w:rsidRDefault="00EF0B22" w:rsidP="00EF0B22">
            <w:pPr>
              <w:spacing w:after="0"/>
              <w:jc w:val="right"/>
              <w:rPr>
                <w:sz w:val="20"/>
              </w:rPr>
            </w:pPr>
            <w:r w:rsidRPr="006836E5">
              <w:rPr>
                <w:sz w:val="20"/>
              </w:rPr>
              <w:t>-0.132</w:t>
            </w:r>
          </w:p>
        </w:tc>
      </w:tr>
      <w:tr w:rsidR="00EF0B22" w:rsidRPr="00923850" w:rsidTr="00F74B71">
        <w:tc>
          <w:tcPr>
            <w:tcW w:w="766" w:type="pct"/>
            <w:vMerge/>
          </w:tcPr>
          <w:p w:rsidR="00EF0B22" w:rsidRPr="006836E5" w:rsidRDefault="00EF0B22" w:rsidP="002544B8">
            <w:pPr>
              <w:spacing w:after="0"/>
              <w:rPr>
                <w:sz w:val="20"/>
              </w:rPr>
            </w:pPr>
          </w:p>
        </w:tc>
        <w:tc>
          <w:tcPr>
            <w:tcW w:w="620" w:type="pct"/>
            <w:shd w:val="clear" w:color="auto" w:fill="auto"/>
          </w:tcPr>
          <w:p w:rsidR="00EF0B22" w:rsidRPr="006836E5" w:rsidRDefault="00EF0B22" w:rsidP="002544B8">
            <w:pPr>
              <w:spacing w:after="0"/>
              <w:rPr>
                <w:sz w:val="20"/>
              </w:rPr>
            </w:pPr>
            <w:r w:rsidRPr="006836E5">
              <w:rPr>
                <w:sz w:val="20"/>
              </w:rPr>
              <w:t>Yes</w:t>
            </w:r>
          </w:p>
        </w:tc>
        <w:tc>
          <w:tcPr>
            <w:tcW w:w="688" w:type="pct"/>
            <w:vAlign w:val="bottom"/>
          </w:tcPr>
          <w:p w:rsidR="00EF0B22" w:rsidRPr="006836E5" w:rsidRDefault="00EF0B22" w:rsidP="00EF0B22">
            <w:pPr>
              <w:spacing w:after="0"/>
              <w:jc w:val="right"/>
              <w:rPr>
                <w:sz w:val="20"/>
              </w:rPr>
            </w:pPr>
            <w:r w:rsidRPr="006836E5">
              <w:rPr>
                <w:sz w:val="20"/>
              </w:rPr>
              <w:t>0.432</w:t>
            </w:r>
          </w:p>
        </w:tc>
        <w:tc>
          <w:tcPr>
            <w:tcW w:w="688" w:type="pct"/>
            <w:vAlign w:val="bottom"/>
          </w:tcPr>
          <w:p w:rsidR="00EF0B22" w:rsidRPr="006836E5" w:rsidRDefault="00EF0B22" w:rsidP="00EF0B22">
            <w:pPr>
              <w:spacing w:after="0"/>
              <w:jc w:val="right"/>
              <w:rPr>
                <w:sz w:val="20"/>
              </w:rPr>
            </w:pPr>
            <w:r w:rsidRPr="006836E5">
              <w:rPr>
                <w:sz w:val="20"/>
              </w:rPr>
              <w:t>0.508</w:t>
            </w:r>
          </w:p>
        </w:tc>
        <w:tc>
          <w:tcPr>
            <w:tcW w:w="688" w:type="pct"/>
            <w:vAlign w:val="bottom"/>
          </w:tcPr>
          <w:p w:rsidR="00EF0B22" w:rsidRPr="006836E5" w:rsidRDefault="00EF0B22" w:rsidP="00EF0B22">
            <w:pPr>
              <w:spacing w:after="0"/>
              <w:jc w:val="right"/>
              <w:rPr>
                <w:sz w:val="20"/>
              </w:rPr>
            </w:pPr>
            <w:r w:rsidRPr="006836E5">
              <w:rPr>
                <w:sz w:val="20"/>
              </w:rPr>
              <w:t>0.347</w:t>
            </w:r>
          </w:p>
        </w:tc>
        <w:tc>
          <w:tcPr>
            <w:tcW w:w="688" w:type="pct"/>
            <w:shd w:val="clear" w:color="auto" w:fill="auto"/>
            <w:vAlign w:val="bottom"/>
          </w:tcPr>
          <w:p w:rsidR="00EF0B22" w:rsidRPr="006836E5" w:rsidRDefault="00EF0B22" w:rsidP="00EF0B22">
            <w:pPr>
              <w:spacing w:after="0"/>
              <w:jc w:val="right"/>
              <w:rPr>
                <w:sz w:val="20"/>
              </w:rPr>
            </w:pPr>
            <w:r w:rsidRPr="006836E5">
              <w:rPr>
                <w:sz w:val="20"/>
              </w:rPr>
              <w:t>-0.075</w:t>
            </w:r>
          </w:p>
        </w:tc>
        <w:tc>
          <w:tcPr>
            <w:tcW w:w="862" w:type="pct"/>
            <w:shd w:val="clear" w:color="auto" w:fill="auto"/>
            <w:vAlign w:val="bottom"/>
          </w:tcPr>
          <w:p w:rsidR="00EF0B22" w:rsidRPr="006836E5" w:rsidRDefault="00EF0B22" w:rsidP="00EF0B22">
            <w:pPr>
              <w:spacing w:after="0"/>
              <w:jc w:val="right"/>
              <w:rPr>
                <w:sz w:val="20"/>
              </w:rPr>
            </w:pPr>
            <w:r w:rsidRPr="006836E5">
              <w:rPr>
                <w:sz w:val="20"/>
              </w:rPr>
              <w:t>0.085</w:t>
            </w:r>
          </w:p>
        </w:tc>
      </w:tr>
      <w:tr w:rsidR="00EF0B22" w:rsidRPr="00923850" w:rsidTr="00F74B71">
        <w:tc>
          <w:tcPr>
            <w:tcW w:w="766" w:type="pct"/>
            <w:vMerge/>
          </w:tcPr>
          <w:p w:rsidR="00EF0B22" w:rsidRPr="006836E5" w:rsidRDefault="00EF0B22" w:rsidP="002544B8">
            <w:pPr>
              <w:spacing w:after="0"/>
              <w:rPr>
                <w:sz w:val="20"/>
              </w:rPr>
            </w:pPr>
          </w:p>
        </w:tc>
        <w:tc>
          <w:tcPr>
            <w:tcW w:w="620" w:type="pct"/>
            <w:shd w:val="clear" w:color="auto" w:fill="auto"/>
          </w:tcPr>
          <w:p w:rsidR="00EF0B22" w:rsidRPr="006836E5" w:rsidRDefault="00EF0B22" w:rsidP="002544B8">
            <w:pPr>
              <w:spacing w:after="0"/>
              <w:rPr>
                <w:sz w:val="20"/>
              </w:rPr>
            </w:pPr>
            <w:r w:rsidRPr="006836E5">
              <w:rPr>
                <w:sz w:val="20"/>
              </w:rPr>
              <w:t>NR</w:t>
            </w:r>
          </w:p>
        </w:tc>
        <w:tc>
          <w:tcPr>
            <w:tcW w:w="688" w:type="pct"/>
            <w:vAlign w:val="bottom"/>
          </w:tcPr>
          <w:p w:rsidR="00EF0B22" w:rsidRPr="006836E5" w:rsidRDefault="00EF0B22" w:rsidP="00EF0B22">
            <w:pPr>
              <w:spacing w:after="0"/>
              <w:jc w:val="right"/>
              <w:rPr>
                <w:sz w:val="20"/>
              </w:rPr>
            </w:pPr>
            <w:r w:rsidRPr="006836E5">
              <w:rPr>
                <w:sz w:val="20"/>
              </w:rPr>
              <w:t>0.043</w:t>
            </w:r>
          </w:p>
        </w:tc>
        <w:tc>
          <w:tcPr>
            <w:tcW w:w="688" w:type="pct"/>
            <w:vAlign w:val="bottom"/>
          </w:tcPr>
          <w:p w:rsidR="00EF0B22" w:rsidRPr="006836E5" w:rsidRDefault="00EF0B22" w:rsidP="00EF0B22">
            <w:pPr>
              <w:spacing w:after="0"/>
              <w:jc w:val="right"/>
              <w:rPr>
                <w:sz w:val="20"/>
              </w:rPr>
            </w:pPr>
            <w:r w:rsidRPr="006836E5">
              <w:rPr>
                <w:sz w:val="20"/>
              </w:rPr>
              <w:t>0.041</w:t>
            </w:r>
          </w:p>
        </w:tc>
        <w:tc>
          <w:tcPr>
            <w:tcW w:w="688" w:type="pct"/>
            <w:vAlign w:val="bottom"/>
          </w:tcPr>
          <w:p w:rsidR="00EF0B22" w:rsidRPr="006836E5" w:rsidRDefault="00EF0B22" w:rsidP="00EF0B22">
            <w:pPr>
              <w:spacing w:after="0"/>
              <w:jc w:val="right"/>
              <w:rPr>
                <w:sz w:val="20"/>
              </w:rPr>
            </w:pPr>
            <w:r w:rsidRPr="006836E5">
              <w:rPr>
                <w:sz w:val="20"/>
              </w:rPr>
              <w:t>0.035</w:t>
            </w:r>
          </w:p>
        </w:tc>
        <w:tc>
          <w:tcPr>
            <w:tcW w:w="688" w:type="pct"/>
            <w:shd w:val="clear" w:color="auto" w:fill="auto"/>
            <w:vAlign w:val="bottom"/>
          </w:tcPr>
          <w:p w:rsidR="00EF0B22" w:rsidRPr="006836E5" w:rsidRDefault="00EF0B22" w:rsidP="00EF0B22">
            <w:pPr>
              <w:spacing w:after="0"/>
              <w:jc w:val="right"/>
              <w:rPr>
                <w:sz w:val="20"/>
              </w:rPr>
            </w:pPr>
            <w:r w:rsidRPr="006836E5">
              <w:rPr>
                <w:sz w:val="20"/>
              </w:rPr>
              <w:t>0.002</w:t>
            </w:r>
          </w:p>
        </w:tc>
        <w:tc>
          <w:tcPr>
            <w:tcW w:w="862" w:type="pct"/>
            <w:shd w:val="clear" w:color="auto" w:fill="auto"/>
            <w:vAlign w:val="bottom"/>
          </w:tcPr>
          <w:p w:rsidR="00EF0B22" w:rsidRPr="006836E5" w:rsidRDefault="00EF0B22" w:rsidP="00EF0B22">
            <w:pPr>
              <w:spacing w:after="0"/>
              <w:jc w:val="right"/>
              <w:rPr>
                <w:sz w:val="20"/>
              </w:rPr>
            </w:pPr>
            <w:r w:rsidRPr="006836E5">
              <w:rPr>
                <w:sz w:val="20"/>
              </w:rPr>
              <w:t>0.007</w:t>
            </w:r>
          </w:p>
        </w:tc>
      </w:tr>
    </w:tbl>
    <w:p w:rsidR="003F3380" w:rsidRDefault="003F3380" w:rsidP="003F3380">
      <w:pPr>
        <w:spacing w:after="0"/>
      </w:pPr>
    </w:p>
    <w:p w:rsidR="002D749B" w:rsidRDefault="00354D36" w:rsidP="00B3625C">
      <w:r>
        <w:t>T</w:t>
      </w:r>
      <w:r w:rsidR="001755EB">
        <w:t xml:space="preserve">he two results are quite similar and show the existence of </w:t>
      </w:r>
      <w:r w:rsidR="000A53C4">
        <w:t>both a selection and a</w:t>
      </w:r>
      <w:r w:rsidR="001755EB">
        <w:t xml:space="preserve"> measurement effect</w:t>
      </w:r>
      <w:r w:rsidR="000A53C4">
        <w:t xml:space="preserve"> in the same direction</w:t>
      </w:r>
      <w:r w:rsidR="002D749B" w:rsidRPr="009E0B4F">
        <w:t>.</w:t>
      </w:r>
    </w:p>
    <w:p w:rsidR="00285BF4" w:rsidRDefault="00285BF4" w:rsidP="00B3625C">
      <w:pPr>
        <w:rPr>
          <w:rFonts w:cstheme="minorHAnsi"/>
          <w:lang w:val="en-US"/>
        </w:rPr>
      </w:pPr>
      <w:r>
        <w:t>Finally</w:t>
      </w:r>
      <w:r w:rsidR="002446A6">
        <w:t>,</w:t>
      </w:r>
      <w:r>
        <w:t xml:space="preserve"> </w:t>
      </w:r>
      <w:r w:rsidR="004E6643">
        <w:t xml:space="preserve">Table 4 shows the comparison of the </w:t>
      </w:r>
      <w:r w:rsidR="002446A6">
        <w:t xml:space="preserve">estimates </w:t>
      </w:r>
      <w:r w:rsidR="004E6643">
        <w:t xml:space="preserve">for “Reading books” </w:t>
      </w:r>
      <w:r w:rsidR="002446A6">
        <w:t xml:space="preserve">deriving </w:t>
      </w:r>
      <w:r w:rsidR="00FF6799">
        <w:t>from</w:t>
      </w:r>
      <w:r w:rsidR="002446A6">
        <w:t xml:space="preserve"> </w:t>
      </w:r>
      <w:r w:rsidR="00271864">
        <w:t xml:space="preserve">the application of </w:t>
      </w:r>
      <w:r w:rsidR="00610715">
        <w:t xml:space="preserve">different </w:t>
      </w:r>
      <w:r w:rsidR="00271864">
        <w:t>methods</w:t>
      </w:r>
      <w:r w:rsidR="00610715">
        <w:t xml:space="preserve">. These methods </w:t>
      </w:r>
      <w:r w:rsidR="004E6643">
        <w:t>are based on</w:t>
      </w:r>
      <w:r w:rsidR="00610715">
        <w:t xml:space="preserve"> calibration procedures </w:t>
      </w:r>
      <w:r w:rsidR="004E6643">
        <w:t>with respect to</w:t>
      </w:r>
      <w:r w:rsidR="00610715">
        <w:t xml:space="preserve"> </w:t>
      </w:r>
      <w:r w:rsidR="00610715" w:rsidRPr="00380FC8">
        <w:rPr>
          <w:rFonts w:cstheme="minorHAnsi"/>
          <w:lang w:val="en-US"/>
        </w:rPr>
        <w:t xml:space="preserve">distributions </w:t>
      </w:r>
      <w:r w:rsidR="00610715">
        <w:rPr>
          <w:rFonts w:cstheme="minorHAnsi"/>
          <w:lang w:val="en-US"/>
        </w:rPr>
        <w:t xml:space="preserve">of </w:t>
      </w:r>
      <w:r w:rsidR="00610715" w:rsidRPr="00380FC8">
        <w:rPr>
          <w:rFonts w:cstheme="minorHAnsi"/>
          <w:lang w:val="en-US"/>
        </w:rPr>
        <w:t xml:space="preserve">the </w:t>
      </w:r>
      <w:r w:rsidR="00610715">
        <w:rPr>
          <w:rFonts w:cstheme="minorHAnsi"/>
          <w:lang w:val="en-US"/>
        </w:rPr>
        <w:t xml:space="preserve">same </w:t>
      </w:r>
      <w:r w:rsidR="00610715" w:rsidRPr="00182DAD">
        <w:rPr>
          <w:rFonts w:cstheme="minorHAnsi"/>
          <w:lang w:val="en-US"/>
        </w:rPr>
        <w:t>socio-demographic</w:t>
      </w:r>
      <w:r w:rsidR="00610715">
        <w:rPr>
          <w:rFonts w:cstheme="minorHAnsi"/>
          <w:lang w:val="en-US"/>
        </w:rPr>
        <w:t xml:space="preserve"> </w:t>
      </w:r>
      <w:r w:rsidR="004E6643">
        <w:rPr>
          <w:rFonts w:cstheme="minorHAnsi"/>
          <w:lang w:val="en-US"/>
        </w:rPr>
        <w:t xml:space="preserve">totals </w:t>
      </w:r>
      <w:r w:rsidR="00610715">
        <w:rPr>
          <w:rFonts w:cstheme="minorHAnsi"/>
          <w:lang w:val="en-US"/>
        </w:rPr>
        <w:t xml:space="preserve">(age class, sex, </w:t>
      </w:r>
      <w:r w:rsidR="00610715" w:rsidRPr="00540CC3">
        <w:t>educational level</w:t>
      </w:r>
      <w:r w:rsidR="00610715">
        <w:t>)</w:t>
      </w:r>
      <w:r w:rsidR="00371181">
        <w:t xml:space="preserve"> at geographical area level</w:t>
      </w:r>
      <w:r w:rsidR="00610715">
        <w:rPr>
          <w:rFonts w:cstheme="minorHAnsi"/>
          <w:lang w:val="en-US"/>
        </w:rPr>
        <w:t>, but</w:t>
      </w:r>
      <w:r w:rsidR="00610715" w:rsidRPr="00380FC8">
        <w:rPr>
          <w:rFonts w:cstheme="minorHAnsi"/>
          <w:lang w:val="en-US"/>
        </w:rPr>
        <w:t xml:space="preserve"> </w:t>
      </w:r>
      <w:r w:rsidR="00A560C2">
        <w:rPr>
          <w:rFonts w:cstheme="minorHAnsi"/>
          <w:lang w:val="en-US"/>
        </w:rPr>
        <w:t>differ for</w:t>
      </w:r>
      <w:r w:rsidR="00610715">
        <w:t xml:space="preserve"> </w:t>
      </w:r>
      <w:r w:rsidR="00A560C2">
        <w:t>other</w:t>
      </w:r>
      <w:r w:rsidR="00610715">
        <w:t xml:space="preserve"> </w:t>
      </w:r>
      <w:r w:rsidR="00610715" w:rsidRPr="00E477CD">
        <w:t>constraints</w:t>
      </w:r>
      <w:r w:rsidR="00610715">
        <w:t xml:space="preserve"> or </w:t>
      </w:r>
      <w:r w:rsidR="00A560C2">
        <w:t>for</w:t>
      </w:r>
      <w:r w:rsidR="00610715">
        <w:t xml:space="preserve"> </w:t>
      </w:r>
      <w:r w:rsidR="00A560C2">
        <w:t>the sampling</w:t>
      </w:r>
      <w:r w:rsidR="00610715">
        <w:t xml:space="preserve"> </w:t>
      </w:r>
      <w:r w:rsidR="00610715" w:rsidRPr="002446A6">
        <w:t>weight</w:t>
      </w:r>
      <w:r w:rsidR="004E6643">
        <w:t>s</w:t>
      </w:r>
      <w:r w:rsidR="00610715" w:rsidRPr="002446A6">
        <w:t xml:space="preserve"> </w:t>
      </w:r>
      <w:r w:rsidR="00A560C2">
        <w:t>used in the procedure</w:t>
      </w:r>
      <w:r w:rsidR="00623012">
        <w:rPr>
          <w:rFonts w:cstheme="minorHAnsi"/>
          <w:lang w:val="en-US"/>
        </w:rPr>
        <w:t xml:space="preserve">: 1) only </w:t>
      </w:r>
      <w:r w:rsidR="00623012" w:rsidRPr="00182DAD">
        <w:rPr>
          <w:rFonts w:cstheme="minorHAnsi"/>
          <w:lang w:val="en-US"/>
        </w:rPr>
        <w:t>socio-demographic</w:t>
      </w:r>
      <w:r w:rsidR="00623012">
        <w:rPr>
          <w:rFonts w:cstheme="minorHAnsi"/>
          <w:lang w:val="en-US"/>
        </w:rPr>
        <w:t>s</w:t>
      </w:r>
      <w:r w:rsidR="00623012">
        <w:t xml:space="preserve">; 2) </w:t>
      </w:r>
      <w:r w:rsidR="00623012" w:rsidRPr="00182DAD">
        <w:rPr>
          <w:rFonts w:cstheme="minorHAnsi"/>
          <w:lang w:val="en-US"/>
        </w:rPr>
        <w:t>socio-demographic</w:t>
      </w:r>
      <w:r w:rsidR="00623012">
        <w:rPr>
          <w:rFonts w:cstheme="minorHAnsi"/>
          <w:lang w:val="en-US"/>
        </w:rPr>
        <w:t xml:space="preserve">s and observed </w:t>
      </w:r>
      <w:r w:rsidR="00623012">
        <w:t>fixed levels of mode</w:t>
      </w:r>
      <w:r w:rsidR="00371181">
        <w:t xml:space="preserve"> proportions</w:t>
      </w:r>
      <w:r w:rsidR="00623012">
        <w:rPr>
          <w:rFonts w:cstheme="minorHAnsi"/>
          <w:lang w:val="en-US"/>
        </w:rPr>
        <w:t xml:space="preserve"> by six municipal t</w:t>
      </w:r>
      <w:r w:rsidR="00A560C2">
        <w:rPr>
          <w:rFonts w:cstheme="minorHAnsi"/>
          <w:lang w:val="en-US"/>
        </w:rPr>
        <w:t>y</w:t>
      </w:r>
      <w:r w:rsidR="00116E8A">
        <w:rPr>
          <w:rFonts w:cstheme="minorHAnsi"/>
          <w:lang w:val="en-US"/>
        </w:rPr>
        <w:t>pologies</w:t>
      </w:r>
      <w:r w:rsidR="00623012">
        <w:rPr>
          <w:rFonts w:cstheme="minorHAnsi"/>
          <w:lang w:val="en-US"/>
        </w:rPr>
        <w:t>;</w:t>
      </w:r>
      <w:r w:rsidR="0097347B">
        <w:rPr>
          <w:rFonts w:cstheme="minorHAnsi"/>
          <w:lang w:val="en-US"/>
        </w:rPr>
        <w:t xml:space="preserve"> 3) </w:t>
      </w:r>
      <w:r w:rsidR="0097347B" w:rsidRPr="00182DAD">
        <w:rPr>
          <w:rFonts w:cstheme="minorHAnsi"/>
          <w:lang w:val="en-US"/>
        </w:rPr>
        <w:t>socio-demographic</w:t>
      </w:r>
      <w:r w:rsidR="0097347B">
        <w:rPr>
          <w:rFonts w:cstheme="minorHAnsi"/>
          <w:lang w:val="en-US"/>
        </w:rPr>
        <w:t xml:space="preserve">s and </w:t>
      </w:r>
      <w:r w:rsidR="0097347B" w:rsidRPr="0097347B">
        <w:rPr>
          <w:rFonts w:cstheme="minorHAnsi"/>
          <w:lang w:val="en-US"/>
        </w:rPr>
        <w:t>hypothesized</w:t>
      </w:r>
      <w:r w:rsidR="0097347B">
        <w:rPr>
          <w:rFonts w:cstheme="minorHAnsi"/>
          <w:lang w:val="en-US"/>
        </w:rPr>
        <w:t xml:space="preserve"> </w:t>
      </w:r>
      <w:r w:rsidR="0097347B">
        <w:t>fixed levels of mode</w:t>
      </w:r>
      <w:r w:rsidR="0097347B">
        <w:rPr>
          <w:rFonts w:cstheme="minorHAnsi"/>
          <w:lang w:val="en-US"/>
        </w:rPr>
        <w:t xml:space="preserve"> </w:t>
      </w:r>
      <w:r w:rsidR="00371181">
        <w:rPr>
          <w:rFonts w:cstheme="minorHAnsi"/>
          <w:lang w:val="en-US"/>
        </w:rPr>
        <w:t xml:space="preserve">proportions </w:t>
      </w:r>
      <w:r w:rsidR="0097347B">
        <w:rPr>
          <w:rFonts w:cstheme="minorHAnsi"/>
          <w:lang w:val="en-US"/>
        </w:rPr>
        <w:t>by six municipal t</w:t>
      </w:r>
      <w:r w:rsidR="00A560C2">
        <w:rPr>
          <w:rFonts w:cstheme="minorHAnsi"/>
          <w:lang w:val="en-US"/>
        </w:rPr>
        <w:t>y</w:t>
      </w:r>
      <w:r w:rsidR="00371181">
        <w:rPr>
          <w:rFonts w:cstheme="minorHAnsi"/>
          <w:lang w:val="en-US"/>
        </w:rPr>
        <w:t>pologies</w:t>
      </w:r>
      <w:r w:rsidR="0097347B">
        <w:rPr>
          <w:rFonts w:cstheme="minorHAnsi"/>
          <w:lang w:val="en-US"/>
        </w:rPr>
        <w:t xml:space="preserve">; 4) </w:t>
      </w:r>
      <w:r w:rsidR="0097347B" w:rsidRPr="00182DAD">
        <w:rPr>
          <w:rFonts w:cstheme="minorHAnsi"/>
          <w:lang w:val="en-US"/>
        </w:rPr>
        <w:t>socio-demographic</w:t>
      </w:r>
      <w:r w:rsidR="0097347B">
        <w:rPr>
          <w:rFonts w:cstheme="minorHAnsi"/>
          <w:lang w:val="en-US"/>
        </w:rPr>
        <w:t xml:space="preserve">s </w:t>
      </w:r>
      <w:r w:rsidR="00371181">
        <w:rPr>
          <w:rFonts w:cstheme="minorHAnsi"/>
          <w:lang w:val="en-US"/>
        </w:rPr>
        <w:t>with</w:t>
      </w:r>
      <w:r w:rsidR="0097347B">
        <w:rPr>
          <w:rFonts w:cstheme="minorHAnsi"/>
          <w:lang w:val="en-US"/>
        </w:rPr>
        <w:t xml:space="preserve"> </w:t>
      </w:r>
      <w:r w:rsidR="00A560C2">
        <w:t>sampling</w:t>
      </w:r>
      <w:r w:rsidR="0097347B" w:rsidRPr="002446A6">
        <w:t xml:space="preserve"> weight</w:t>
      </w:r>
      <w:r w:rsidR="00E86FC3">
        <w:t>s</w:t>
      </w:r>
      <w:r w:rsidR="0097347B">
        <w:t xml:space="preserve"> corrected</w:t>
      </w:r>
      <w:r w:rsidR="00A560C2">
        <w:t xml:space="preserve"> </w:t>
      </w:r>
      <w:r w:rsidR="00A560C2" w:rsidRPr="002446A6">
        <w:t xml:space="preserve">for the </w:t>
      </w:r>
      <w:r w:rsidR="00A560C2">
        <w:t xml:space="preserve">web </w:t>
      </w:r>
      <w:r w:rsidR="00A560C2" w:rsidRPr="002446A6">
        <w:t>selection effect</w:t>
      </w:r>
      <w:r w:rsidR="00E86FC3">
        <w:t xml:space="preserve"> through</w:t>
      </w:r>
      <w:r w:rsidR="00371181">
        <w:t xml:space="preserve"> correction factors</w:t>
      </w:r>
      <w:r w:rsidR="00E86FC3">
        <w:t xml:space="preserve"> </w:t>
      </w:r>
      <m:oMath>
        <m:sSub>
          <m:sSubPr>
            <m:ctrlPr>
              <w:rPr>
                <w:rFonts w:ascii="Cambria Math" w:hAnsi="Cambria Math" w:cs="Arial"/>
                <w:i/>
                <w:iCs/>
                <w:sz w:val="22"/>
                <w:szCs w:val="22"/>
              </w:rPr>
            </m:ctrlPr>
          </m:sSubPr>
          <m:e>
            <m:r>
              <w:rPr>
                <w:rFonts w:ascii="Cambria Math" w:hAnsi="Cambria Math" w:cs="Arial"/>
                <w:sz w:val="22"/>
                <w:szCs w:val="22"/>
              </w:rPr>
              <m:t>w</m:t>
            </m:r>
          </m:e>
          <m:sub>
            <m:r>
              <w:rPr>
                <w:rFonts w:ascii="Cambria Math" w:hAnsi="Cambria Math" w:cs="Arial"/>
                <w:sz w:val="22"/>
                <w:szCs w:val="22"/>
              </w:rPr>
              <m:t>k</m:t>
            </m:r>
          </m:sub>
        </m:sSub>
      </m:oMath>
      <w:r w:rsidR="0097347B">
        <w:t>.</w:t>
      </w:r>
      <w:r w:rsidR="00A560C2">
        <w:t xml:space="preserve"> </w:t>
      </w:r>
    </w:p>
    <w:p w:rsidR="000D3637" w:rsidRPr="006836E5" w:rsidRDefault="000D3637" w:rsidP="000D3637">
      <w:pPr>
        <w:pStyle w:val="Didascalia"/>
        <w:rPr>
          <w:sz w:val="22"/>
          <w:szCs w:val="22"/>
        </w:rPr>
      </w:pPr>
      <w:r w:rsidRPr="006836E5">
        <w:rPr>
          <w:sz w:val="22"/>
          <w:szCs w:val="22"/>
        </w:rPr>
        <w:t xml:space="preserve">Table 4. Estimate of “reading books in the last 12 months” variable with different </w:t>
      </w:r>
      <w:r w:rsidR="0097347B" w:rsidRPr="006836E5">
        <w:rPr>
          <w:sz w:val="22"/>
          <w:szCs w:val="22"/>
        </w:rPr>
        <w:t>methods</w:t>
      </w:r>
      <w:r w:rsidRPr="006836E5">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171"/>
        <w:gridCol w:w="1629"/>
        <w:gridCol w:w="1470"/>
        <w:gridCol w:w="1466"/>
        <w:gridCol w:w="1466"/>
      </w:tblGrid>
      <w:tr w:rsidR="00271864" w:rsidRPr="00923850" w:rsidTr="00371181">
        <w:tc>
          <w:tcPr>
            <w:tcW w:w="923" w:type="pct"/>
            <w:vMerge w:val="restart"/>
            <w:vAlign w:val="center"/>
          </w:tcPr>
          <w:p w:rsidR="00271864" w:rsidRPr="006836E5" w:rsidRDefault="00271864" w:rsidP="002544B8">
            <w:pPr>
              <w:spacing w:after="0"/>
              <w:rPr>
                <w:sz w:val="20"/>
              </w:rPr>
            </w:pPr>
            <w:r w:rsidRPr="006836E5">
              <w:rPr>
                <w:sz w:val="20"/>
              </w:rPr>
              <w:t>Variable</w:t>
            </w:r>
          </w:p>
        </w:tc>
        <w:tc>
          <w:tcPr>
            <w:tcW w:w="663" w:type="pct"/>
            <w:vMerge w:val="restart"/>
            <w:vAlign w:val="center"/>
          </w:tcPr>
          <w:p w:rsidR="00271864" w:rsidRPr="006836E5" w:rsidRDefault="00271864" w:rsidP="002544B8">
            <w:pPr>
              <w:spacing w:after="0"/>
              <w:rPr>
                <w:sz w:val="20"/>
              </w:rPr>
            </w:pPr>
            <w:r w:rsidRPr="006836E5">
              <w:rPr>
                <w:sz w:val="20"/>
              </w:rPr>
              <w:t>Category</w:t>
            </w:r>
          </w:p>
        </w:tc>
        <w:tc>
          <w:tcPr>
            <w:tcW w:w="3414" w:type="pct"/>
            <w:gridSpan w:val="4"/>
          </w:tcPr>
          <w:p w:rsidR="00271864" w:rsidRPr="006836E5" w:rsidRDefault="00271864" w:rsidP="000D3637">
            <w:pPr>
              <w:spacing w:after="0"/>
              <w:jc w:val="center"/>
              <w:rPr>
                <w:sz w:val="20"/>
              </w:rPr>
            </w:pPr>
            <w:r w:rsidRPr="006836E5">
              <w:rPr>
                <w:sz w:val="20"/>
              </w:rPr>
              <w:t>Estimate (%)</w:t>
            </w:r>
          </w:p>
        </w:tc>
      </w:tr>
      <w:tr w:rsidR="00271864" w:rsidRPr="00923850" w:rsidTr="00371181">
        <w:tc>
          <w:tcPr>
            <w:tcW w:w="923" w:type="pct"/>
            <w:vMerge/>
          </w:tcPr>
          <w:p w:rsidR="00271864" w:rsidRPr="006836E5" w:rsidRDefault="00271864" w:rsidP="002544B8">
            <w:pPr>
              <w:spacing w:after="0"/>
              <w:rPr>
                <w:sz w:val="20"/>
              </w:rPr>
            </w:pPr>
          </w:p>
        </w:tc>
        <w:tc>
          <w:tcPr>
            <w:tcW w:w="663" w:type="pct"/>
            <w:vMerge/>
            <w:shd w:val="clear" w:color="auto" w:fill="auto"/>
          </w:tcPr>
          <w:p w:rsidR="00271864" w:rsidRPr="006836E5" w:rsidRDefault="00271864" w:rsidP="002544B8">
            <w:pPr>
              <w:spacing w:after="0"/>
              <w:rPr>
                <w:sz w:val="20"/>
                <w:highlight w:val="green"/>
              </w:rPr>
            </w:pPr>
          </w:p>
        </w:tc>
        <w:tc>
          <w:tcPr>
            <w:tcW w:w="922" w:type="pct"/>
          </w:tcPr>
          <w:p w:rsidR="00271864" w:rsidRPr="006836E5" w:rsidRDefault="00271864" w:rsidP="00371181">
            <w:pPr>
              <w:spacing w:after="0"/>
              <w:jc w:val="right"/>
              <w:rPr>
                <w:sz w:val="20"/>
              </w:rPr>
            </w:pPr>
            <w:r w:rsidRPr="006836E5">
              <w:rPr>
                <w:sz w:val="20"/>
              </w:rPr>
              <w:t>Meth. 1</w:t>
            </w:r>
          </w:p>
        </w:tc>
        <w:tc>
          <w:tcPr>
            <w:tcW w:w="832" w:type="pct"/>
          </w:tcPr>
          <w:p w:rsidR="00271864" w:rsidRPr="006836E5" w:rsidRDefault="00271864" w:rsidP="00371181">
            <w:pPr>
              <w:spacing w:after="0"/>
              <w:jc w:val="right"/>
              <w:rPr>
                <w:sz w:val="20"/>
              </w:rPr>
            </w:pPr>
            <w:r w:rsidRPr="006836E5">
              <w:rPr>
                <w:sz w:val="20"/>
              </w:rPr>
              <w:t>Meth. 2</w:t>
            </w:r>
          </w:p>
        </w:tc>
        <w:tc>
          <w:tcPr>
            <w:tcW w:w="830" w:type="pct"/>
          </w:tcPr>
          <w:p w:rsidR="00271864" w:rsidRPr="006836E5" w:rsidRDefault="00271864" w:rsidP="00371181">
            <w:pPr>
              <w:spacing w:after="0"/>
              <w:jc w:val="right"/>
              <w:rPr>
                <w:sz w:val="20"/>
              </w:rPr>
            </w:pPr>
            <w:r w:rsidRPr="006836E5">
              <w:rPr>
                <w:sz w:val="20"/>
              </w:rPr>
              <w:t>Meth. 3</w:t>
            </w:r>
          </w:p>
        </w:tc>
        <w:tc>
          <w:tcPr>
            <w:tcW w:w="830" w:type="pct"/>
            <w:shd w:val="clear" w:color="auto" w:fill="auto"/>
          </w:tcPr>
          <w:p w:rsidR="00271864" w:rsidRPr="006836E5" w:rsidRDefault="00271864" w:rsidP="00371181">
            <w:pPr>
              <w:spacing w:after="0"/>
              <w:jc w:val="right"/>
              <w:rPr>
                <w:sz w:val="20"/>
              </w:rPr>
            </w:pPr>
            <w:r w:rsidRPr="006836E5">
              <w:rPr>
                <w:sz w:val="20"/>
              </w:rPr>
              <w:t>Meth. 4</w:t>
            </w:r>
          </w:p>
        </w:tc>
      </w:tr>
      <w:tr w:rsidR="00271864" w:rsidRPr="00923850" w:rsidTr="00371181">
        <w:tc>
          <w:tcPr>
            <w:tcW w:w="923" w:type="pct"/>
            <w:vMerge w:val="restart"/>
          </w:tcPr>
          <w:p w:rsidR="00271864" w:rsidRPr="006836E5" w:rsidRDefault="00271864" w:rsidP="00371181">
            <w:pPr>
              <w:spacing w:after="0"/>
              <w:jc w:val="left"/>
              <w:rPr>
                <w:sz w:val="20"/>
              </w:rPr>
            </w:pPr>
            <w:r w:rsidRPr="006836E5">
              <w:rPr>
                <w:sz w:val="20"/>
              </w:rPr>
              <w:t>Reading books (last</w:t>
            </w:r>
          </w:p>
          <w:p w:rsidR="00271864" w:rsidRPr="006836E5" w:rsidRDefault="00271864" w:rsidP="002544B8">
            <w:pPr>
              <w:spacing w:after="0"/>
              <w:rPr>
                <w:sz w:val="20"/>
              </w:rPr>
            </w:pPr>
            <w:r w:rsidRPr="006836E5">
              <w:rPr>
                <w:sz w:val="20"/>
              </w:rPr>
              <w:t>12 months)</w:t>
            </w:r>
          </w:p>
        </w:tc>
        <w:tc>
          <w:tcPr>
            <w:tcW w:w="663" w:type="pct"/>
            <w:shd w:val="clear" w:color="auto" w:fill="auto"/>
          </w:tcPr>
          <w:p w:rsidR="00271864" w:rsidRPr="006836E5" w:rsidRDefault="00271864" w:rsidP="002544B8">
            <w:pPr>
              <w:spacing w:after="0"/>
              <w:rPr>
                <w:sz w:val="20"/>
              </w:rPr>
            </w:pPr>
            <w:r w:rsidRPr="006836E5">
              <w:rPr>
                <w:sz w:val="20"/>
              </w:rPr>
              <w:t>No</w:t>
            </w:r>
          </w:p>
        </w:tc>
        <w:tc>
          <w:tcPr>
            <w:tcW w:w="922" w:type="pct"/>
            <w:vAlign w:val="bottom"/>
          </w:tcPr>
          <w:p w:rsidR="00271864" w:rsidRPr="006836E5" w:rsidRDefault="00271864" w:rsidP="002544B8">
            <w:pPr>
              <w:spacing w:after="0"/>
              <w:jc w:val="right"/>
              <w:rPr>
                <w:sz w:val="20"/>
              </w:rPr>
            </w:pPr>
            <w:r w:rsidRPr="006836E5">
              <w:rPr>
                <w:sz w:val="20"/>
              </w:rPr>
              <w:t>59,82</w:t>
            </w:r>
          </w:p>
        </w:tc>
        <w:tc>
          <w:tcPr>
            <w:tcW w:w="832" w:type="pct"/>
            <w:vAlign w:val="bottom"/>
          </w:tcPr>
          <w:p w:rsidR="00271864" w:rsidRPr="006836E5" w:rsidRDefault="00271864" w:rsidP="002544B8">
            <w:pPr>
              <w:spacing w:after="0"/>
              <w:jc w:val="right"/>
              <w:rPr>
                <w:sz w:val="20"/>
              </w:rPr>
            </w:pPr>
            <w:r w:rsidRPr="006836E5">
              <w:rPr>
                <w:sz w:val="20"/>
              </w:rPr>
              <w:t>58,88</w:t>
            </w:r>
          </w:p>
        </w:tc>
        <w:tc>
          <w:tcPr>
            <w:tcW w:w="830" w:type="pct"/>
            <w:vAlign w:val="bottom"/>
          </w:tcPr>
          <w:p w:rsidR="00271864" w:rsidRPr="006836E5" w:rsidRDefault="00271864" w:rsidP="002544B8">
            <w:pPr>
              <w:spacing w:after="0"/>
              <w:jc w:val="right"/>
              <w:rPr>
                <w:sz w:val="20"/>
              </w:rPr>
            </w:pPr>
            <w:r w:rsidRPr="006836E5">
              <w:rPr>
                <w:sz w:val="20"/>
              </w:rPr>
              <w:t>58,54</w:t>
            </w:r>
          </w:p>
        </w:tc>
        <w:tc>
          <w:tcPr>
            <w:tcW w:w="830" w:type="pct"/>
            <w:shd w:val="clear" w:color="auto" w:fill="auto"/>
            <w:vAlign w:val="bottom"/>
          </w:tcPr>
          <w:p w:rsidR="00271864" w:rsidRPr="006836E5" w:rsidRDefault="00271864" w:rsidP="002544B8">
            <w:pPr>
              <w:spacing w:after="0"/>
              <w:jc w:val="right"/>
              <w:rPr>
                <w:sz w:val="20"/>
              </w:rPr>
            </w:pPr>
            <w:r w:rsidRPr="006836E5">
              <w:rPr>
                <w:sz w:val="20"/>
              </w:rPr>
              <w:t>59,81</w:t>
            </w:r>
          </w:p>
        </w:tc>
      </w:tr>
      <w:tr w:rsidR="00271864" w:rsidRPr="00923850" w:rsidTr="00371181">
        <w:tc>
          <w:tcPr>
            <w:tcW w:w="923" w:type="pct"/>
            <w:vMerge/>
          </w:tcPr>
          <w:p w:rsidR="00271864" w:rsidRPr="006836E5" w:rsidRDefault="00271864" w:rsidP="002544B8">
            <w:pPr>
              <w:spacing w:after="0"/>
              <w:rPr>
                <w:sz w:val="20"/>
              </w:rPr>
            </w:pPr>
          </w:p>
        </w:tc>
        <w:tc>
          <w:tcPr>
            <w:tcW w:w="663" w:type="pct"/>
            <w:shd w:val="clear" w:color="auto" w:fill="auto"/>
          </w:tcPr>
          <w:p w:rsidR="00271864" w:rsidRPr="006836E5" w:rsidRDefault="00271864" w:rsidP="002544B8">
            <w:pPr>
              <w:spacing w:after="0"/>
              <w:rPr>
                <w:sz w:val="20"/>
              </w:rPr>
            </w:pPr>
            <w:r w:rsidRPr="006836E5">
              <w:rPr>
                <w:sz w:val="20"/>
              </w:rPr>
              <w:t>Yes</w:t>
            </w:r>
          </w:p>
        </w:tc>
        <w:tc>
          <w:tcPr>
            <w:tcW w:w="922" w:type="pct"/>
            <w:vAlign w:val="bottom"/>
          </w:tcPr>
          <w:p w:rsidR="00271864" w:rsidRPr="006836E5" w:rsidRDefault="00271864" w:rsidP="002544B8">
            <w:pPr>
              <w:spacing w:after="0"/>
              <w:jc w:val="right"/>
              <w:rPr>
                <w:sz w:val="20"/>
              </w:rPr>
            </w:pPr>
            <w:r w:rsidRPr="006836E5">
              <w:rPr>
                <w:sz w:val="20"/>
              </w:rPr>
              <w:t>36,51</w:t>
            </w:r>
          </w:p>
        </w:tc>
        <w:tc>
          <w:tcPr>
            <w:tcW w:w="832" w:type="pct"/>
            <w:vAlign w:val="bottom"/>
          </w:tcPr>
          <w:p w:rsidR="00271864" w:rsidRPr="006836E5" w:rsidRDefault="00271864" w:rsidP="002544B8">
            <w:pPr>
              <w:spacing w:after="0"/>
              <w:jc w:val="right"/>
              <w:rPr>
                <w:sz w:val="20"/>
              </w:rPr>
            </w:pPr>
            <w:r w:rsidRPr="006836E5">
              <w:rPr>
                <w:sz w:val="20"/>
              </w:rPr>
              <w:t>37,47</w:t>
            </w:r>
          </w:p>
        </w:tc>
        <w:tc>
          <w:tcPr>
            <w:tcW w:w="830" w:type="pct"/>
            <w:vAlign w:val="bottom"/>
          </w:tcPr>
          <w:p w:rsidR="00271864" w:rsidRPr="006836E5" w:rsidRDefault="00271864" w:rsidP="002544B8">
            <w:pPr>
              <w:spacing w:after="0"/>
              <w:jc w:val="right"/>
              <w:rPr>
                <w:sz w:val="20"/>
              </w:rPr>
            </w:pPr>
            <w:r w:rsidRPr="006836E5">
              <w:rPr>
                <w:sz w:val="20"/>
              </w:rPr>
              <w:t>37,76</w:t>
            </w:r>
          </w:p>
        </w:tc>
        <w:tc>
          <w:tcPr>
            <w:tcW w:w="830" w:type="pct"/>
            <w:shd w:val="clear" w:color="auto" w:fill="auto"/>
            <w:vAlign w:val="bottom"/>
          </w:tcPr>
          <w:p w:rsidR="00271864" w:rsidRPr="006836E5" w:rsidRDefault="00271864" w:rsidP="002544B8">
            <w:pPr>
              <w:spacing w:after="0"/>
              <w:jc w:val="right"/>
              <w:rPr>
                <w:sz w:val="20"/>
              </w:rPr>
            </w:pPr>
            <w:r w:rsidRPr="006836E5">
              <w:rPr>
                <w:sz w:val="20"/>
              </w:rPr>
              <w:t>36,46</w:t>
            </w:r>
          </w:p>
        </w:tc>
      </w:tr>
      <w:tr w:rsidR="00271864" w:rsidRPr="00923850" w:rsidTr="00371181">
        <w:tc>
          <w:tcPr>
            <w:tcW w:w="923" w:type="pct"/>
            <w:vMerge/>
          </w:tcPr>
          <w:p w:rsidR="00271864" w:rsidRPr="006836E5" w:rsidRDefault="00271864" w:rsidP="002544B8">
            <w:pPr>
              <w:spacing w:after="0"/>
              <w:rPr>
                <w:sz w:val="20"/>
              </w:rPr>
            </w:pPr>
          </w:p>
        </w:tc>
        <w:tc>
          <w:tcPr>
            <w:tcW w:w="663" w:type="pct"/>
            <w:shd w:val="clear" w:color="auto" w:fill="auto"/>
          </w:tcPr>
          <w:p w:rsidR="00271864" w:rsidRPr="006836E5" w:rsidRDefault="00271864" w:rsidP="002544B8">
            <w:pPr>
              <w:spacing w:after="0"/>
              <w:rPr>
                <w:sz w:val="20"/>
              </w:rPr>
            </w:pPr>
            <w:r w:rsidRPr="006836E5">
              <w:rPr>
                <w:sz w:val="20"/>
              </w:rPr>
              <w:t>NR</w:t>
            </w:r>
          </w:p>
        </w:tc>
        <w:tc>
          <w:tcPr>
            <w:tcW w:w="922" w:type="pct"/>
            <w:vAlign w:val="bottom"/>
          </w:tcPr>
          <w:p w:rsidR="00271864" w:rsidRPr="006836E5" w:rsidRDefault="00271864" w:rsidP="002544B8">
            <w:pPr>
              <w:spacing w:after="0"/>
              <w:jc w:val="right"/>
              <w:rPr>
                <w:sz w:val="20"/>
              </w:rPr>
            </w:pPr>
            <w:r w:rsidRPr="006836E5">
              <w:rPr>
                <w:sz w:val="20"/>
              </w:rPr>
              <w:t>3,67</w:t>
            </w:r>
          </w:p>
        </w:tc>
        <w:tc>
          <w:tcPr>
            <w:tcW w:w="832" w:type="pct"/>
            <w:vAlign w:val="bottom"/>
          </w:tcPr>
          <w:p w:rsidR="00271864" w:rsidRPr="006836E5" w:rsidRDefault="00271864" w:rsidP="002544B8">
            <w:pPr>
              <w:spacing w:after="0"/>
              <w:jc w:val="right"/>
              <w:rPr>
                <w:sz w:val="20"/>
              </w:rPr>
            </w:pPr>
            <w:r w:rsidRPr="006836E5">
              <w:rPr>
                <w:sz w:val="20"/>
              </w:rPr>
              <w:t>3,65</w:t>
            </w:r>
          </w:p>
        </w:tc>
        <w:tc>
          <w:tcPr>
            <w:tcW w:w="830" w:type="pct"/>
            <w:vAlign w:val="bottom"/>
          </w:tcPr>
          <w:p w:rsidR="00271864" w:rsidRPr="006836E5" w:rsidRDefault="00271864" w:rsidP="002544B8">
            <w:pPr>
              <w:spacing w:after="0"/>
              <w:jc w:val="right"/>
              <w:rPr>
                <w:sz w:val="20"/>
              </w:rPr>
            </w:pPr>
            <w:r w:rsidRPr="006836E5">
              <w:rPr>
                <w:sz w:val="20"/>
              </w:rPr>
              <w:t>3,70</w:t>
            </w:r>
          </w:p>
        </w:tc>
        <w:tc>
          <w:tcPr>
            <w:tcW w:w="830" w:type="pct"/>
            <w:shd w:val="clear" w:color="auto" w:fill="auto"/>
            <w:vAlign w:val="bottom"/>
          </w:tcPr>
          <w:p w:rsidR="00271864" w:rsidRPr="006836E5" w:rsidRDefault="00271864" w:rsidP="002544B8">
            <w:pPr>
              <w:spacing w:after="0"/>
              <w:jc w:val="right"/>
              <w:rPr>
                <w:sz w:val="20"/>
              </w:rPr>
            </w:pPr>
            <w:r w:rsidRPr="006836E5">
              <w:rPr>
                <w:sz w:val="20"/>
              </w:rPr>
              <w:t>3,73</w:t>
            </w:r>
          </w:p>
        </w:tc>
      </w:tr>
    </w:tbl>
    <w:p w:rsidR="000D3637" w:rsidRDefault="000D3637" w:rsidP="002446A6">
      <w:pPr>
        <w:spacing w:after="0"/>
        <w:rPr>
          <w:rFonts w:cstheme="minorHAnsi"/>
          <w:lang w:val="en-US"/>
        </w:rPr>
      </w:pPr>
    </w:p>
    <w:p w:rsidR="00637F81" w:rsidRDefault="00371181" w:rsidP="00FC0ABA">
      <w:r>
        <w:t xml:space="preserve">What emerges from the table is that the two calibrations including the constraints with respect to fixed level of mode proportions (methods 2 and 3) determine a difference in the estimate of about one percentage point. </w:t>
      </w:r>
    </w:p>
    <w:p w:rsidR="008655C1" w:rsidRDefault="00371181" w:rsidP="00FC0ABA">
      <w:r>
        <w:t>T</w:t>
      </w:r>
      <w:r w:rsidR="00FC0ABA">
        <w:t>he</w:t>
      </w:r>
      <w:r>
        <w:t xml:space="preserve"> </w:t>
      </w:r>
      <w:r w:rsidR="00FC0ABA">
        <w:t xml:space="preserve">results presented in this abstract would </w:t>
      </w:r>
      <w:r>
        <w:t>need a significance assessment</w:t>
      </w:r>
      <w:r w:rsidR="00FC0ABA">
        <w:t xml:space="preserve">, based </w:t>
      </w:r>
      <w:r w:rsidR="00664AFE">
        <w:t>on tests or replication methods, which are in progress.</w:t>
      </w:r>
    </w:p>
    <w:p w:rsidR="00272BE6" w:rsidRDefault="00272BE6" w:rsidP="00272BE6">
      <w:pPr>
        <w:pStyle w:val="Titolo1"/>
        <w:ind w:left="480" w:hanging="480"/>
      </w:pPr>
      <w:r>
        <w:t>References</w:t>
      </w:r>
      <w:r w:rsidR="002446A6" w:rsidRPr="002446A6">
        <w:t xml:space="preserve"> </w:t>
      </w:r>
    </w:p>
    <w:p w:rsidR="002E34A9" w:rsidRDefault="008655C1" w:rsidP="00FB0435">
      <w:pPr>
        <w:pStyle w:val="Paragrafoelenco"/>
        <w:numPr>
          <w:ilvl w:val="0"/>
          <w:numId w:val="20"/>
        </w:numPr>
        <w:spacing w:after="0" w:line="240" w:lineRule="auto"/>
        <w:ind w:left="357" w:hanging="357"/>
        <w:jc w:val="both"/>
        <w:rPr>
          <w:rFonts w:ascii="Times New Roman" w:eastAsia="Times New Roman" w:hAnsi="Times New Roman" w:cs="Times New Roman"/>
          <w:sz w:val="24"/>
          <w:szCs w:val="20"/>
        </w:rPr>
      </w:pPr>
      <w:r w:rsidRPr="002E34A9">
        <w:rPr>
          <w:rFonts w:ascii="Times New Roman" w:eastAsia="Times New Roman" w:hAnsi="Times New Roman" w:cs="Times New Roman"/>
          <w:sz w:val="24"/>
          <w:szCs w:val="20"/>
        </w:rPr>
        <w:t xml:space="preserve">E. </w:t>
      </w:r>
      <w:r w:rsidR="002E34A9" w:rsidRPr="002E34A9">
        <w:rPr>
          <w:rFonts w:ascii="Times New Roman" w:eastAsia="Times New Roman" w:hAnsi="Times New Roman" w:cs="Times New Roman"/>
          <w:sz w:val="24"/>
          <w:szCs w:val="20"/>
        </w:rPr>
        <w:t xml:space="preserve">de </w:t>
      </w:r>
      <w:proofErr w:type="spellStart"/>
      <w:r w:rsidR="002E34A9" w:rsidRPr="002E34A9">
        <w:rPr>
          <w:rFonts w:ascii="Times New Roman" w:eastAsia="Times New Roman" w:hAnsi="Times New Roman" w:cs="Times New Roman"/>
          <w:sz w:val="24"/>
          <w:szCs w:val="20"/>
        </w:rPr>
        <w:t>Leeuw</w:t>
      </w:r>
      <w:proofErr w:type="spellEnd"/>
      <w:r w:rsidR="002E34A9" w:rsidRPr="002E34A9">
        <w:rPr>
          <w:rFonts w:ascii="Times New Roman" w:eastAsia="Times New Roman" w:hAnsi="Times New Roman" w:cs="Times New Roman"/>
          <w:sz w:val="24"/>
          <w:szCs w:val="20"/>
        </w:rPr>
        <w:t>, To mix or not to Mix D</w:t>
      </w:r>
      <w:r>
        <w:rPr>
          <w:rFonts w:ascii="Times New Roman" w:eastAsia="Times New Roman" w:hAnsi="Times New Roman" w:cs="Times New Roman"/>
          <w:sz w:val="24"/>
          <w:szCs w:val="20"/>
        </w:rPr>
        <w:t>ata Collection Modes in Surveys,</w:t>
      </w:r>
      <w:r w:rsidR="002E34A9" w:rsidRPr="002E34A9">
        <w:rPr>
          <w:rFonts w:ascii="Times New Roman" w:eastAsia="Times New Roman" w:hAnsi="Times New Roman" w:cs="Times New Roman"/>
          <w:sz w:val="24"/>
          <w:szCs w:val="20"/>
        </w:rPr>
        <w:t xml:space="preserve"> Journ</w:t>
      </w:r>
      <w:r>
        <w:rPr>
          <w:rFonts w:ascii="Times New Roman" w:eastAsia="Times New Roman" w:hAnsi="Times New Roman" w:cs="Times New Roman"/>
          <w:sz w:val="24"/>
          <w:szCs w:val="20"/>
        </w:rPr>
        <w:t xml:space="preserve">al of </w:t>
      </w:r>
      <w:bookmarkStart w:id="0" w:name="_GoBack"/>
      <w:bookmarkEnd w:id="0"/>
      <w:r>
        <w:rPr>
          <w:rFonts w:ascii="Times New Roman" w:eastAsia="Times New Roman" w:hAnsi="Times New Roman" w:cs="Times New Roman"/>
          <w:sz w:val="24"/>
          <w:szCs w:val="20"/>
        </w:rPr>
        <w:t>Official Statistics 21(2)</w:t>
      </w:r>
      <w:r w:rsidR="002E34A9" w:rsidRPr="002E34A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(2005) pp. </w:t>
      </w:r>
      <w:r w:rsidR="002E34A9" w:rsidRPr="002E34A9">
        <w:rPr>
          <w:rFonts w:ascii="Times New Roman" w:eastAsia="Times New Roman" w:hAnsi="Times New Roman" w:cs="Times New Roman"/>
          <w:sz w:val="24"/>
          <w:szCs w:val="20"/>
        </w:rPr>
        <w:t>233-55.</w:t>
      </w:r>
    </w:p>
    <w:p w:rsidR="008655C1" w:rsidRPr="00285BF4" w:rsidRDefault="008655C1" w:rsidP="00FB0435">
      <w:pPr>
        <w:pStyle w:val="Paragrafoelenco"/>
        <w:numPr>
          <w:ilvl w:val="0"/>
          <w:numId w:val="20"/>
        </w:numPr>
        <w:spacing w:after="0" w:line="240" w:lineRule="auto"/>
        <w:ind w:left="357" w:hanging="357"/>
        <w:jc w:val="both"/>
        <w:rPr>
          <w:rFonts w:ascii="Times New Roman" w:eastAsia="Times New Roman" w:hAnsi="Times New Roman" w:cs="Times New Roman"/>
          <w:sz w:val="24"/>
          <w:szCs w:val="20"/>
        </w:rPr>
      </w:pPr>
      <w:r w:rsidRPr="00285BF4">
        <w:rPr>
          <w:rFonts w:ascii="Times New Roman" w:eastAsia="Times New Roman" w:hAnsi="Times New Roman" w:cs="Times New Roman"/>
          <w:sz w:val="24"/>
          <w:szCs w:val="20"/>
        </w:rPr>
        <w:t>P.</w:t>
      </w:r>
      <w:r>
        <w:rPr>
          <w:rFonts w:ascii="Times New Roman" w:eastAsia="Times New Roman" w:hAnsi="Times New Roman" w:cs="Times New Roman"/>
          <w:sz w:val="24"/>
          <w:szCs w:val="20"/>
        </w:rPr>
        <w:t xml:space="preserve"> Martin</w:t>
      </w:r>
      <w:r w:rsidRPr="00285BF4">
        <w:rPr>
          <w:rFonts w:ascii="Times New Roman" w:eastAsia="Times New Roman" w:hAnsi="Times New Roman" w:cs="Times New Roman"/>
          <w:sz w:val="24"/>
          <w:szCs w:val="20"/>
        </w:rPr>
        <w:t xml:space="preserve"> and P.</w:t>
      </w:r>
      <w:r>
        <w:rPr>
          <w:rFonts w:ascii="Times New Roman" w:eastAsia="Times New Roman" w:hAnsi="Times New Roman" w:cs="Times New Roman"/>
          <w:sz w:val="24"/>
          <w:szCs w:val="20"/>
        </w:rPr>
        <w:t xml:space="preserve"> Lynn,</w:t>
      </w:r>
      <w:r w:rsidRPr="00285BF4">
        <w:rPr>
          <w:rFonts w:ascii="Times New Roman" w:eastAsia="Times New Roman" w:hAnsi="Times New Roman" w:cs="Times New Roman"/>
          <w:sz w:val="24"/>
          <w:szCs w:val="20"/>
        </w:rPr>
        <w:t xml:space="preserve"> The effects of mixed mode survey designs on simple and complex analyses. Centre for Comparative Social Surveys. W</w:t>
      </w:r>
      <w:r>
        <w:rPr>
          <w:rFonts w:ascii="Times New Roman" w:eastAsia="Times New Roman" w:hAnsi="Times New Roman" w:cs="Times New Roman"/>
          <w:sz w:val="24"/>
          <w:szCs w:val="20"/>
        </w:rPr>
        <w:t>orking Paper Series. Paper n.04</w:t>
      </w:r>
      <w:r w:rsidRPr="00285B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Pr="00285BF4">
        <w:rPr>
          <w:rFonts w:ascii="Times New Roman" w:eastAsia="Times New Roman" w:hAnsi="Times New Roman" w:cs="Times New Roman"/>
          <w:sz w:val="24"/>
          <w:szCs w:val="20"/>
        </w:rPr>
        <w:t>2011</w:t>
      </w:r>
      <w:r>
        <w:rPr>
          <w:rFonts w:ascii="Times New Roman" w:eastAsia="Times New Roman" w:hAnsi="Times New Roman" w:cs="Times New Roman"/>
          <w:sz w:val="24"/>
          <w:szCs w:val="20"/>
        </w:rPr>
        <w:t>)</w:t>
      </w:r>
      <w:r w:rsidRPr="00285BF4">
        <w:rPr>
          <w:rFonts w:ascii="Times New Roman" w:eastAsia="Times New Roman" w:hAnsi="Times New Roman" w:cs="Times New Roman"/>
          <w:sz w:val="24"/>
          <w:szCs w:val="20"/>
        </w:rPr>
        <w:t>.</w:t>
      </w:r>
    </w:p>
    <w:p w:rsidR="008655C1" w:rsidRPr="00285BF4" w:rsidRDefault="008655C1" w:rsidP="00FB0435">
      <w:pPr>
        <w:pStyle w:val="Paragrafoelenco"/>
        <w:numPr>
          <w:ilvl w:val="0"/>
          <w:numId w:val="20"/>
        </w:numPr>
        <w:spacing w:after="0" w:line="240" w:lineRule="auto"/>
        <w:ind w:left="357" w:hanging="357"/>
        <w:jc w:val="both"/>
        <w:rPr>
          <w:rFonts w:ascii="Times New Roman" w:eastAsia="Times New Roman" w:hAnsi="Times New Roman" w:cs="Times New Roman"/>
          <w:sz w:val="24"/>
          <w:szCs w:val="20"/>
        </w:rPr>
      </w:pPr>
      <w:r w:rsidRPr="00285BF4">
        <w:rPr>
          <w:rFonts w:ascii="Times New Roman" w:eastAsia="Times New Roman" w:hAnsi="Times New Roman" w:cs="Times New Roman"/>
          <w:sz w:val="24"/>
          <w:szCs w:val="20"/>
        </w:rPr>
        <w:t>B.</w:t>
      </w:r>
      <w:r>
        <w:rPr>
          <w:rFonts w:ascii="Times New Roman" w:eastAsia="Times New Roman" w:hAnsi="Times New Roman" w:cs="Times New Roman"/>
          <w:sz w:val="24"/>
          <w:szCs w:val="20"/>
        </w:rPr>
        <w:t xml:space="preserve"> Schouten,</w:t>
      </w:r>
      <w:r w:rsidRPr="00285BF4">
        <w:rPr>
          <w:rFonts w:ascii="Times New Roman" w:eastAsia="Times New Roman" w:hAnsi="Times New Roman" w:cs="Times New Roman"/>
          <w:sz w:val="24"/>
          <w:szCs w:val="20"/>
        </w:rPr>
        <w:t xml:space="preserve"> N.</w:t>
      </w:r>
      <w:r>
        <w:rPr>
          <w:rFonts w:ascii="Times New Roman" w:eastAsia="Times New Roman" w:hAnsi="Times New Roman" w:cs="Times New Roman"/>
          <w:sz w:val="24"/>
          <w:szCs w:val="20"/>
        </w:rPr>
        <w:t xml:space="preserve"> </w:t>
      </w:r>
      <w:proofErr w:type="spellStart"/>
      <w:r w:rsidRPr="00285BF4">
        <w:rPr>
          <w:rFonts w:ascii="Times New Roman" w:eastAsia="Times New Roman" w:hAnsi="Times New Roman" w:cs="Times New Roman"/>
          <w:sz w:val="24"/>
          <w:szCs w:val="20"/>
        </w:rPr>
        <w:t>Shlomo</w:t>
      </w:r>
      <w:proofErr w:type="spellEnd"/>
      <w:r w:rsidRPr="00285BF4">
        <w:rPr>
          <w:rFonts w:ascii="Times New Roman" w:eastAsia="Times New Roman" w:hAnsi="Times New Roman" w:cs="Times New Roman"/>
          <w:sz w:val="24"/>
          <w:szCs w:val="20"/>
        </w:rPr>
        <w:t xml:space="preserve">, and C. Skinner, Indicators for Monitoring and Improving </w:t>
      </w:r>
      <w:proofErr w:type="spellStart"/>
      <w:r w:rsidRPr="00285BF4">
        <w:rPr>
          <w:rFonts w:ascii="Times New Roman" w:eastAsia="Times New Roman" w:hAnsi="Times New Roman" w:cs="Times New Roman"/>
          <w:sz w:val="24"/>
          <w:szCs w:val="20"/>
        </w:rPr>
        <w:t>Representativity</w:t>
      </w:r>
      <w:proofErr w:type="spellEnd"/>
      <w:r w:rsidRPr="00285BF4">
        <w:rPr>
          <w:rFonts w:ascii="Times New Roman" w:eastAsia="Times New Roman" w:hAnsi="Times New Roman" w:cs="Times New Roman"/>
          <w:sz w:val="24"/>
          <w:szCs w:val="20"/>
        </w:rPr>
        <w:t xml:space="preserve"> of Response. Journal of Official Statistics 27</w:t>
      </w:r>
      <w:r>
        <w:rPr>
          <w:rFonts w:ascii="Times New Roman" w:eastAsia="Times New Roman" w:hAnsi="Times New Roman" w:cs="Times New Roman"/>
          <w:sz w:val="24"/>
          <w:szCs w:val="20"/>
        </w:rPr>
        <w:t xml:space="preserve"> (2011),</w:t>
      </w:r>
      <w:r w:rsidRPr="00285B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pp. </w:t>
      </w:r>
      <w:r w:rsidRPr="00285BF4">
        <w:rPr>
          <w:rFonts w:ascii="Times New Roman" w:eastAsia="Times New Roman" w:hAnsi="Times New Roman" w:cs="Times New Roman"/>
          <w:sz w:val="24"/>
          <w:szCs w:val="20"/>
        </w:rPr>
        <w:t>231–253.</w:t>
      </w:r>
    </w:p>
    <w:p w:rsidR="008655C1" w:rsidRDefault="008655C1" w:rsidP="00FB0435">
      <w:pPr>
        <w:pStyle w:val="Text1"/>
        <w:numPr>
          <w:ilvl w:val="0"/>
          <w:numId w:val="20"/>
        </w:numPr>
        <w:spacing w:after="0"/>
        <w:ind w:left="357" w:hanging="357"/>
      </w:pPr>
      <w:r w:rsidRPr="00285BF4">
        <w:t xml:space="preserve">J. T. A </w:t>
      </w:r>
      <w:proofErr w:type="spellStart"/>
      <w:r w:rsidRPr="00285BF4">
        <w:t>Vannieuwenhuyze</w:t>
      </w:r>
      <w:proofErr w:type="spellEnd"/>
      <w:r w:rsidRPr="00285BF4">
        <w:t>, G.</w:t>
      </w:r>
      <w:r>
        <w:t xml:space="preserve"> </w:t>
      </w:r>
      <w:proofErr w:type="spellStart"/>
      <w:r>
        <w:t>Loosveldt</w:t>
      </w:r>
      <w:proofErr w:type="spellEnd"/>
      <w:r w:rsidRPr="00285BF4">
        <w:t xml:space="preserve"> and </w:t>
      </w:r>
      <w:r>
        <w:t>G.</w:t>
      </w:r>
      <w:r w:rsidRPr="00285BF4">
        <w:t xml:space="preserve"> </w:t>
      </w:r>
      <w:proofErr w:type="spellStart"/>
      <w:r w:rsidRPr="00285BF4">
        <w:t>Molenberghs</w:t>
      </w:r>
      <w:proofErr w:type="spellEnd"/>
      <w:r w:rsidRPr="00285BF4">
        <w:t xml:space="preserve">, A Method for Evaluating Mode Effects in Mixed-mode Surveys. </w:t>
      </w:r>
      <w:r w:rsidRPr="008655C1">
        <w:rPr>
          <w:iCs/>
        </w:rPr>
        <w:t>Public Opinion Quarterly</w:t>
      </w:r>
      <w:r w:rsidRPr="00285BF4">
        <w:t xml:space="preserve">, </w:t>
      </w:r>
      <w:r w:rsidR="00FB0435">
        <w:t>74(</w:t>
      </w:r>
      <w:r w:rsidRPr="00285BF4">
        <w:t>5</w:t>
      </w:r>
      <w:r w:rsidR="00FB0435">
        <w:t>)</w:t>
      </w:r>
      <w:r w:rsidRPr="00285BF4">
        <w:t xml:space="preserve"> </w:t>
      </w:r>
      <w:r>
        <w:t>(</w:t>
      </w:r>
      <w:r w:rsidRPr="00285BF4">
        <w:t>2010</w:t>
      </w:r>
      <w:r>
        <w:t>)</w:t>
      </w:r>
      <w:r w:rsidRPr="00285BF4">
        <w:t xml:space="preserve">, </w:t>
      </w:r>
      <w:r>
        <w:t>pp.</w:t>
      </w:r>
      <w:r w:rsidRPr="00285BF4">
        <w:t xml:space="preserve"> 1027–1045</w:t>
      </w:r>
      <w:r>
        <w:t>.</w:t>
      </w:r>
    </w:p>
    <w:p w:rsidR="003A43E1" w:rsidRPr="00285BF4" w:rsidRDefault="003A43E1" w:rsidP="003A43E1">
      <w:pPr>
        <w:pStyle w:val="Paragrafoelenco"/>
        <w:numPr>
          <w:ilvl w:val="0"/>
          <w:numId w:val="20"/>
        </w:numPr>
        <w:spacing w:after="0" w:line="240" w:lineRule="auto"/>
        <w:ind w:left="357" w:hanging="357"/>
        <w:jc w:val="both"/>
        <w:rPr>
          <w:rFonts w:ascii="Times New Roman" w:eastAsia="Times New Roman" w:hAnsi="Times New Roman" w:cs="Times New Roman"/>
          <w:sz w:val="24"/>
          <w:szCs w:val="20"/>
        </w:rPr>
      </w:pPr>
      <w:r w:rsidRPr="00285BF4">
        <w:rPr>
          <w:rFonts w:ascii="Times New Roman" w:eastAsia="Times New Roman" w:hAnsi="Times New Roman" w:cs="Times New Roman"/>
          <w:sz w:val="24"/>
          <w:szCs w:val="20"/>
        </w:rPr>
        <w:t xml:space="preserve">P. R. </w:t>
      </w:r>
      <w:r>
        <w:rPr>
          <w:rFonts w:ascii="Times New Roman" w:eastAsia="Times New Roman" w:hAnsi="Times New Roman" w:cs="Times New Roman"/>
          <w:sz w:val="24"/>
          <w:szCs w:val="20"/>
        </w:rPr>
        <w:t>Rosenbaum</w:t>
      </w:r>
      <w:r w:rsidRPr="00285BF4">
        <w:rPr>
          <w:rFonts w:ascii="Times New Roman" w:eastAsia="Times New Roman" w:hAnsi="Times New Roman" w:cs="Times New Roman"/>
          <w:sz w:val="24"/>
          <w:szCs w:val="20"/>
        </w:rPr>
        <w:t xml:space="preserve"> and D. B. </w:t>
      </w:r>
      <w:r>
        <w:rPr>
          <w:rFonts w:ascii="Times New Roman" w:eastAsia="Times New Roman" w:hAnsi="Times New Roman" w:cs="Times New Roman"/>
          <w:sz w:val="24"/>
          <w:szCs w:val="20"/>
        </w:rPr>
        <w:t>Rubin,</w:t>
      </w:r>
      <w:r w:rsidRPr="00285BF4">
        <w:rPr>
          <w:rFonts w:ascii="Times New Roman" w:eastAsia="Times New Roman" w:hAnsi="Times New Roman" w:cs="Times New Roman"/>
          <w:sz w:val="24"/>
          <w:szCs w:val="20"/>
        </w:rPr>
        <w:t xml:space="preserve"> The Central Role of the Propensity Score in Observational Stu</w:t>
      </w:r>
      <w:r>
        <w:rPr>
          <w:rFonts w:ascii="Times New Roman" w:eastAsia="Times New Roman" w:hAnsi="Times New Roman" w:cs="Times New Roman"/>
          <w:sz w:val="24"/>
          <w:szCs w:val="20"/>
        </w:rPr>
        <w:t>dies for Causal Effects,</w:t>
      </w:r>
      <w:r w:rsidRPr="00285BF4">
        <w:rPr>
          <w:rFonts w:ascii="Times New Roman" w:eastAsia="Times New Roman" w:hAnsi="Times New Roman" w:cs="Times New Roman"/>
          <w:sz w:val="24"/>
          <w:szCs w:val="20"/>
        </w:rPr>
        <w:t xml:space="preserve"> </w:t>
      </w:r>
      <w:proofErr w:type="spellStart"/>
      <w:r w:rsidRPr="00285BF4">
        <w:rPr>
          <w:rFonts w:ascii="Times New Roman" w:eastAsia="Times New Roman" w:hAnsi="Times New Roman" w:cs="Times New Roman"/>
          <w:sz w:val="24"/>
          <w:szCs w:val="20"/>
        </w:rPr>
        <w:t>Bi</w:t>
      </w:r>
      <w:r>
        <w:rPr>
          <w:rFonts w:ascii="Times New Roman" w:eastAsia="Times New Roman" w:hAnsi="Times New Roman" w:cs="Times New Roman"/>
          <w:sz w:val="24"/>
          <w:szCs w:val="20"/>
        </w:rPr>
        <w:t>ometrika</w:t>
      </w:r>
      <w:proofErr w:type="spellEnd"/>
      <w:r>
        <w:rPr>
          <w:rFonts w:ascii="Times New Roman" w:eastAsia="Times New Roman" w:hAnsi="Times New Roman" w:cs="Times New Roman"/>
          <w:sz w:val="24"/>
          <w:szCs w:val="20"/>
        </w:rPr>
        <w:t>, 70 (1) (</w:t>
      </w:r>
      <w:r w:rsidRPr="00285BF4">
        <w:rPr>
          <w:rFonts w:ascii="Times New Roman" w:eastAsia="Times New Roman" w:hAnsi="Times New Roman" w:cs="Times New Roman"/>
          <w:sz w:val="24"/>
          <w:szCs w:val="20"/>
        </w:rPr>
        <w:t>1983), pp. 41-55.</w:t>
      </w:r>
    </w:p>
    <w:p w:rsidR="00D2703E" w:rsidRPr="00D2703E" w:rsidRDefault="007A342B" w:rsidP="005A4590">
      <w:pPr>
        <w:pStyle w:val="Paragrafoelenco"/>
        <w:numPr>
          <w:ilvl w:val="0"/>
          <w:numId w:val="20"/>
        </w:numPr>
        <w:spacing w:after="0" w:line="240" w:lineRule="auto"/>
        <w:ind w:left="357" w:hanging="357"/>
        <w:jc w:val="both"/>
      </w:pPr>
      <w:proofErr w:type="spellStart"/>
      <w:r w:rsidRPr="00D2703E">
        <w:rPr>
          <w:rFonts w:ascii="Times New Roman" w:eastAsia="Times New Roman" w:hAnsi="Times New Roman" w:cs="Times New Roman"/>
          <w:sz w:val="24"/>
          <w:szCs w:val="20"/>
        </w:rPr>
        <w:t>C.Vandenplas</w:t>
      </w:r>
      <w:proofErr w:type="spellEnd"/>
      <w:r w:rsidRPr="00D2703E">
        <w:rPr>
          <w:rFonts w:ascii="Times New Roman" w:eastAsia="Times New Roman" w:hAnsi="Times New Roman" w:cs="Times New Roman"/>
          <w:sz w:val="24"/>
          <w:szCs w:val="20"/>
        </w:rPr>
        <w:t xml:space="preserve">, G. </w:t>
      </w:r>
      <w:proofErr w:type="spellStart"/>
      <w:r w:rsidRPr="00D2703E">
        <w:rPr>
          <w:rFonts w:ascii="Times New Roman" w:eastAsia="Times New Roman" w:hAnsi="Times New Roman" w:cs="Times New Roman"/>
          <w:sz w:val="24"/>
          <w:szCs w:val="20"/>
        </w:rPr>
        <w:t>Loosveldt</w:t>
      </w:r>
      <w:proofErr w:type="spellEnd"/>
      <w:r w:rsidRPr="00D2703E">
        <w:rPr>
          <w:rFonts w:ascii="Times New Roman" w:eastAsia="Times New Roman" w:hAnsi="Times New Roman" w:cs="Times New Roman"/>
          <w:sz w:val="24"/>
          <w:szCs w:val="20"/>
        </w:rPr>
        <w:t xml:space="preserve"> and J. T. A. </w:t>
      </w:r>
      <w:proofErr w:type="spellStart"/>
      <w:r w:rsidRPr="00D2703E">
        <w:rPr>
          <w:rFonts w:ascii="Times New Roman" w:eastAsia="Times New Roman" w:hAnsi="Times New Roman" w:cs="Times New Roman"/>
          <w:sz w:val="24"/>
          <w:szCs w:val="20"/>
        </w:rPr>
        <w:t>Vannieuwenhuyze</w:t>
      </w:r>
      <w:proofErr w:type="spellEnd"/>
      <w:r w:rsidRPr="00D2703E">
        <w:rPr>
          <w:rFonts w:ascii="Times New Roman" w:eastAsia="Times New Roman" w:hAnsi="Times New Roman" w:cs="Times New Roman"/>
          <w:sz w:val="24"/>
          <w:szCs w:val="20"/>
        </w:rPr>
        <w:t>, Assessing the use of mode preference as a covariate for the estimation of measurement effects between modes. A sequential mixed mode experiment. Method, data, Analyses 10(2) (2016), pp. 119-142.</w:t>
      </w:r>
    </w:p>
    <w:p w:rsidR="005A4590" w:rsidRDefault="003B78C4" w:rsidP="005A4590">
      <w:pPr>
        <w:pStyle w:val="Paragrafoelenco"/>
        <w:numPr>
          <w:ilvl w:val="0"/>
          <w:numId w:val="20"/>
        </w:numPr>
        <w:spacing w:after="0" w:line="240" w:lineRule="auto"/>
        <w:ind w:left="357" w:hanging="357"/>
        <w:jc w:val="both"/>
      </w:pPr>
      <w:r w:rsidRPr="00D2703E">
        <w:rPr>
          <w:rFonts w:ascii="Times New Roman" w:eastAsia="Times New Roman" w:hAnsi="Times New Roman" w:cs="Times New Roman"/>
          <w:sz w:val="24"/>
          <w:szCs w:val="20"/>
        </w:rPr>
        <w:t xml:space="preserve">B. </w:t>
      </w:r>
      <w:proofErr w:type="spellStart"/>
      <w:r w:rsidRPr="00D2703E">
        <w:rPr>
          <w:rFonts w:ascii="Times New Roman" w:eastAsia="Times New Roman" w:hAnsi="Times New Roman" w:cs="Times New Roman"/>
          <w:sz w:val="24"/>
          <w:szCs w:val="20"/>
        </w:rPr>
        <w:t>Buelens</w:t>
      </w:r>
      <w:proofErr w:type="spellEnd"/>
      <w:r w:rsidR="00285BF4" w:rsidRPr="00D2703E">
        <w:rPr>
          <w:rFonts w:ascii="Times New Roman" w:eastAsia="Times New Roman" w:hAnsi="Times New Roman" w:cs="Times New Roman"/>
          <w:sz w:val="24"/>
          <w:szCs w:val="20"/>
        </w:rPr>
        <w:t xml:space="preserve"> and </w:t>
      </w:r>
      <w:r w:rsidRPr="00D2703E">
        <w:rPr>
          <w:rFonts w:ascii="Times New Roman" w:eastAsia="Times New Roman" w:hAnsi="Times New Roman" w:cs="Times New Roman"/>
          <w:sz w:val="24"/>
          <w:szCs w:val="20"/>
        </w:rPr>
        <w:t xml:space="preserve">J. A. </w:t>
      </w:r>
      <w:r w:rsidR="00285BF4" w:rsidRPr="00D2703E">
        <w:rPr>
          <w:rFonts w:ascii="Times New Roman" w:eastAsia="Times New Roman" w:hAnsi="Times New Roman" w:cs="Times New Roman"/>
          <w:sz w:val="24"/>
          <w:szCs w:val="20"/>
        </w:rPr>
        <w:t xml:space="preserve">Van den </w:t>
      </w:r>
      <w:proofErr w:type="spellStart"/>
      <w:r w:rsidR="00285BF4" w:rsidRPr="00D2703E">
        <w:rPr>
          <w:rFonts w:ascii="Times New Roman" w:eastAsia="Times New Roman" w:hAnsi="Times New Roman" w:cs="Times New Roman"/>
          <w:sz w:val="24"/>
          <w:szCs w:val="20"/>
        </w:rPr>
        <w:t>Brakel</w:t>
      </w:r>
      <w:proofErr w:type="spellEnd"/>
      <w:r w:rsidR="00285BF4" w:rsidRPr="00D2703E">
        <w:rPr>
          <w:rFonts w:ascii="Times New Roman" w:eastAsia="Times New Roman" w:hAnsi="Times New Roman" w:cs="Times New Roman"/>
          <w:sz w:val="24"/>
          <w:szCs w:val="20"/>
        </w:rPr>
        <w:t xml:space="preserve">, Measurement </w:t>
      </w:r>
      <w:r w:rsidRPr="00D2703E">
        <w:rPr>
          <w:rFonts w:ascii="Times New Roman" w:eastAsia="Times New Roman" w:hAnsi="Times New Roman" w:cs="Times New Roman"/>
          <w:sz w:val="24"/>
          <w:szCs w:val="20"/>
        </w:rPr>
        <w:t>error calibration in mixed-mode,</w:t>
      </w:r>
      <w:r w:rsidR="00285BF4" w:rsidRPr="00D2703E">
        <w:rPr>
          <w:rFonts w:ascii="Times New Roman" w:eastAsia="Times New Roman" w:hAnsi="Times New Roman" w:cs="Times New Roman"/>
          <w:sz w:val="24"/>
          <w:szCs w:val="20"/>
        </w:rPr>
        <w:t xml:space="preserve"> Sociological meth</w:t>
      </w:r>
      <w:r w:rsidRPr="00D2703E">
        <w:rPr>
          <w:rFonts w:ascii="Times New Roman" w:eastAsia="Times New Roman" w:hAnsi="Times New Roman" w:cs="Times New Roman"/>
          <w:sz w:val="24"/>
          <w:szCs w:val="20"/>
        </w:rPr>
        <w:t>ods &amp; Research, 4483</w:t>
      </w:r>
      <w:r w:rsidR="008655C1" w:rsidRPr="00D2703E">
        <w:rPr>
          <w:rFonts w:ascii="Times New Roman" w:eastAsia="Times New Roman" w:hAnsi="Times New Roman" w:cs="Times New Roman"/>
          <w:sz w:val="24"/>
          <w:szCs w:val="20"/>
        </w:rPr>
        <w:t xml:space="preserve"> (2015)</w:t>
      </w:r>
      <w:r w:rsidRPr="00D2703E">
        <w:rPr>
          <w:rFonts w:ascii="Times New Roman" w:eastAsia="Times New Roman" w:hAnsi="Times New Roman" w:cs="Times New Roman"/>
          <w:sz w:val="24"/>
          <w:szCs w:val="20"/>
        </w:rPr>
        <w:t>,</w:t>
      </w:r>
      <w:r w:rsidR="00337CF2" w:rsidRPr="00D2703E">
        <w:rPr>
          <w:rFonts w:ascii="Times New Roman" w:eastAsia="Times New Roman" w:hAnsi="Times New Roman" w:cs="Times New Roman"/>
          <w:sz w:val="24"/>
          <w:szCs w:val="20"/>
        </w:rPr>
        <w:t xml:space="preserve"> pp</w:t>
      </w:r>
      <w:r w:rsidR="00285BF4" w:rsidRPr="00D2703E">
        <w:rPr>
          <w:rFonts w:ascii="Times New Roman" w:eastAsia="Times New Roman" w:hAnsi="Times New Roman" w:cs="Times New Roman"/>
          <w:sz w:val="24"/>
          <w:szCs w:val="20"/>
        </w:rPr>
        <w:t xml:space="preserve"> 391-426.</w:t>
      </w:r>
    </w:p>
    <w:sectPr w:rsidR="005A4590" w:rsidSect="00BC6AFE">
      <w:footerReference w:type="default" r:id="rId18"/>
      <w:headerReference w:type="first" r:id="rId19"/>
      <w:footerReference w:type="first" r:id="rId20"/>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F7" w:rsidRDefault="006D4AF7" w:rsidP="00BC6AFE">
      <w:pPr>
        <w:spacing w:after="0"/>
      </w:pPr>
      <w:r>
        <w:separator/>
      </w:r>
    </w:p>
  </w:endnote>
  <w:endnote w:type="continuationSeparator" w:id="0">
    <w:p w:rsidR="006D4AF7" w:rsidRDefault="006D4AF7"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jc w:val="center"/>
    </w:pPr>
    <w:r>
      <w:fldChar w:fldCharType="begin"/>
    </w:r>
    <w:r>
      <w:instrText>PAGE</w:instrText>
    </w:r>
    <w:r>
      <w:fldChar w:fldCharType="separate"/>
    </w:r>
    <w:r w:rsidR="009373D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F7" w:rsidRDefault="006D4AF7" w:rsidP="00BC6AFE">
      <w:pPr>
        <w:spacing w:after="0"/>
      </w:pPr>
      <w:r>
        <w:separator/>
      </w:r>
    </w:p>
  </w:footnote>
  <w:footnote w:type="continuationSeparator" w:id="0">
    <w:p w:rsidR="006D4AF7" w:rsidRDefault="006D4AF7"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C67FC3"/>
    <w:multiLevelType w:val="hybridMultilevel"/>
    <w:tmpl w:val="F5069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9">
    <w:nsid w:val="36133EEF"/>
    <w:multiLevelType w:val="hybridMultilevel"/>
    <w:tmpl w:val="279AAE9C"/>
    <w:lvl w:ilvl="0" w:tplc="26CE18F2">
      <w:start w:val="1"/>
      <w:numFmt w:val="bullet"/>
      <w:lvlText w:val=""/>
      <w:lvlJc w:val="left"/>
      <w:pPr>
        <w:tabs>
          <w:tab w:val="num" w:pos="720"/>
        </w:tabs>
        <w:ind w:left="720" w:hanging="360"/>
      </w:pPr>
      <w:rPr>
        <w:rFonts w:ascii="Wingdings" w:hAnsi="Wingdings" w:hint="default"/>
      </w:rPr>
    </w:lvl>
    <w:lvl w:ilvl="1" w:tplc="77464E5C" w:tentative="1">
      <w:start w:val="1"/>
      <w:numFmt w:val="bullet"/>
      <w:lvlText w:val=""/>
      <w:lvlJc w:val="left"/>
      <w:pPr>
        <w:tabs>
          <w:tab w:val="num" w:pos="1440"/>
        </w:tabs>
        <w:ind w:left="1440" w:hanging="360"/>
      </w:pPr>
      <w:rPr>
        <w:rFonts w:ascii="Wingdings" w:hAnsi="Wingdings" w:hint="default"/>
      </w:rPr>
    </w:lvl>
    <w:lvl w:ilvl="2" w:tplc="AC7CAE8E" w:tentative="1">
      <w:start w:val="1"/>
      <w:numFmt w:val="bullet"/>
      <w:lvlText w:val=""/>
      <w:lvlJc w:val="left"/>
      <w:pPr>
        <w:tabs>
          <w:tab w:val="num" w:pos="2160"/>
        </w:tabs>
        <w:ind w:left="2160" w:hanging="360"/>
      </w:pPr>
      <w:rPr>
        <w:rFonts w:ascii="Wingdings" w:hAnsi="Wingdings" w:hint="default"/>
      </w:rPr>
    </w:lvl>
    <w:lvl w:ilvl="3" w:tplc="2F0680EE" w:tentative="1">
      <w:start w:val="1"/>
      <w:numFmt w:val="bullet"/>
      <w:lvlText w:val=""/>
      <w:lvlJc w:val="left"/>
      <w:pPr>
        <w:tabs>
          <w:tab w:val="num" w:pos="2880"/>
        </w:tabs>
        <w:ind w:left="2880" w:hanging="360"/>
      </w:pPr>
      <w:rPr>
        <w:rFonts w:ascii="Wingdings" w:hAnsi="Wingdings" w:hint="default"/>
      </w:rPr>
    </w:lvl>
    <w:lvl w:ilvl="4" w:tplc="8F961124" w:tentative="1">
      <w:start w:val="1"/>
      <w:numFmt w:val="bullet"/>
      <w:lvlText w:val=""/>
      <w:lvlJc w:val="left"/>
      <w:pPr>
        <w:tabs>
          <w:tab w:val="num" w:pos="3600"/>
        </w:tabs>
        <w:ind w:left="3600" w:hanging="360"/>
      </w:pPr>
      <w:rPr>
        <w:rFonts w:ascii="Wingdings" w:hAnsi="Wingdings" w:hint="default"/>
      </w:rPr>
    </w:lvl>
    <w:lvl w:ilvl="5" w:tplc="DBF269D0" w:tentative="1">
      <w:start w:val="1"/>
      <w:numFmt w:val="bullet"/>
      <w:lvlText w:val=""/>
      <w:lvlJc w:val="left"/>
      <w:pPr>
        <w:tabs>
          <w:tab w:val="num" w:pos="4320"/>
        </w:tabs>
        <w:ind w:left="4320" w:hanging="360"/>
      </w:pPr>
      <w:rPr>
        <w:rFonts w:ascii="Wingdings" w:hAnsi="Wingdings" w:hint="default"/>
      </w:rPr>
    </w:lvl>
    <w:lvl w:ilvl="6" w:tplc="E9CA7122" w:tentative="1">
      <w:start w:val="1"/>
      <w:numFmt w:val="bullet"/>
      <w:lvlText w:val=""/>
      <w:lvlJc w:val="left"/>
      <w:pPr>
        <w:tabs>
          <w:tab w:val="num" w:pos="5040"/>
        </w:tabs>
        <w:ind w:left="5040" w:hanging="360"/>
      </w:pPr>
      <w:rPr>
        <w:rFonts w:ascii="Wingdings" w:hAnsi="Wingdings" w:hint="default"/>
      </w:rPr>
    </w:lvl>
    <w:lvl w:ilvl="7" w:tplc="8B0498D4" w:tentative="1">
      <w:start w:val="1"/>
      <w:numFmt w:val="bullet"/>
      <w:lvlText w:val=""/>
      <w:lvlJc w:val="left"/>
      <w:pPr>
        <w:tabs>
          <w:tab w:val="num" w:pos="5760"/>
        </w:tabs>
        <w:ind w:left="5760" w:hanging="360"/>
      </w:pPr>
      <w:rPr>
        <w:rFonts w:ascii="Wingdings" w:hAnsi="Wingdings" w:hint="default"/>
      </w:rPr>
    </w:lvl>
    <w:lvl w:ilvl="8" w:tplc="862848D8" w:tentative="1">
      <w:start w:val="1"/>
      <w:numFmt w:val="bullet"/>
      <w:lvlText w:val=""/>
      <w:lvlJc w:val="left"/>
      <w:pPr>
        <w:tabs>
          <w:tab w:val="num" w:pos="6480"/>
        </w:tabs>
        <w:ind w:left="6480" w:hanging="360"/>
      </w:pPr>
      <w:rPr>
        <w:rFonts w:ascii="Wingdings" w:hAnsi="Wingdings" w:hint="default"/>
      </w:r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3BDF1866"/>
    <w:multiLevelType w:val="hybridMultilevel"/>
    <w:tmpl w:val="6CEE6EE4"/>
    <w:lvl w:ilvl="0" w:tplc="F9F864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E51CBC"/>
    <w:multiLevelType w:val="hybridMultilevel"/>
    <w:tmpl w:val="E46C99FE"/>
    <w:lvl w:ilvl="0" w:tplc="4920AEF0">
      <w:start w:val="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7"/>
  </w:num>
  <w:num w:numId="4">
    <w:abstractNumId w:val="18"/>
  </w:num>
  <w:num w:numId="5">
    <w:abstractNumId w:val="10"/>
  </w:num>
  <w:num w:numId="6">
    <w:abstractNumId w:val="8"/>
  </w:num>
  <w:num w:numId="7">
    <w:abstractNumId w:val="6"/>
  </w:num>
  <w:num w:numId="8">
    <w:abstractNumId w:val="5"/>
  </w:num>
  <w:num w:numId="9">
    <w:abstractNumId w:val="19"/>
  </w:num>
  <w:num w:numId="10">
    <w:abstractNumId w:val="21"/>
  </w:num>
  <w:num w:numId="11">
    <w:abstractNumId w:val="20"/>
  </w:num>
  <w:num w:numId="12">
    <w:abstractNumId w:val="22"/>
  </w:num>
  <w:num w:numId="13">
    <w:abstractNumId w:val="7"/>
  </w:num>
  <w:num w:numId="14">
    <w:abstractNumId w:val="13"/>
  </w:num>
  <w:num w:numId="15">
    <w:abstractNumId w:val="15"/>
  </w:num>
  <w:num w:numId="16">
    <w:abstractNumId w:val="14"/>
  </w:num>
  <w:num w:numId="17">
    <w:abstractNumId w:val="2"/>
  </w:num>
  <w:num w:numId="18">
    <w:abstractNumId w:val="16"/>
  </w:num>
  <w:num w:numId="19">
    <w:abstractNumId w:val="17"/>
  </w:num>
  <w:num w:numId="20">
    <w:abstractNumId w:val="3"/>
  </w:num>
  <w:num w:numId="21">
    <w:abstractNumId w:val="4"/>
  </w:num>
  <w:num w:numId="22">
    <w:abstractNumId w:val="12"/>
  </w:num>
  <w:num w:numId="23">
    <w:abstractNumId w:val="11"/>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07276"/>
    <w:rsid w:val="000642A1"/>
    <w:rsid w:val="00080CA4"/>
    <w:rsid w:val="000A0A05"/>
    <w:rsid w:val="000A53C4"/>
    <w:rsid w:val="000B1C9A"/>
    <w:rsid w:val="000B77EC"/>
    <w:rsid w:val="000D3637"/>
    <w:rsid w:val="000E5D82"/>
    <w:rsid w:val="000F7438"/>
    <w:rsid w:val="00114420"/>
    <w:rsid w:val="00115D23"/>
    <w:rsid w:val="00116E8A"/>
    <w:rsid w:val="00127067"/>
    <w:rsid w:val="001755EB"/>
    <w:rsid w:val="001857CF"/>
    <w:rsid w:val="001A4061"/>
    <w:rsid w:val="001A70B7"/>
    <w:rsid w:val="001B07A9"/>
    <w:rsid w:val="001B50CE"/>
    <w:rsid w:val="001F14BD"/>
    <w:rsid w:val="002009B1"/>
    <w:rsid w:val="002012A8"/>
    <w:rsid w:val="00210F53"/>
    <w:rsid w:val="00217303"/>
    <w:rsid w:val="00227D45"/>
    <w:rsid w:val="00243A2C"/>
    <w:rsid w:val="002446A6"/>
    <w:rsid w:val="00263812"/>
    <w:rsid w:val="00270713"/>
    <w:rsid w:val="00271864"/>
    <w:rsid w:val="00272BE6"/>
    <w:rsid w:val="002819FB"/>
    <w:rsid w:val="00285BF4"/>
    <w:rsid w:val="002D03B9"/>
    <w:rsid w:val="002D31DF"/>
    <w:rsid w:val="002D5E12"/>
    <w:rsid w:val="002D749B"/>
    <w:rsid w:val="002E34A9"/>
    <w:rsid w:val="00304C9B"/>
    <w:rsid w:val="0031436C"/>
    <w:rsid w:val="00331665"/>
    <w:rsid w:val="00332D6F"/>
    <w:rsid w:val="00335E69"/>
    <w:rsid w:val="00337CF2"/>
    <w:rsid w:val="00345094"/>
    <w:rsid w:val="00354D36"/>
    <w:rsid w:val="003670DB"/>
    <w:rsid w:val="00371181"/>
    <w:rsid w:val="00373120"/>
    <w:rsid w:val="0037392F"/>
    <w:rsid w:val="00377565"/>
    <w:rsid w:val="003A43E1"/>
    <w:rsid w:val="003B78C4"/>
    <w:rsid w:val="003C374E"/>
    <w:rsid w:val="003D30B8"/>
    <w:rsid w:val="003E0FE4"/>
    <w:rsid w:val="003F3380"/>
    <w:rsid w:val="00402689"/>
    <w:rsid w:val="004034BD"/>
    <w:rsid w:val="00411C52"/>
    <w:rsid w:val="00423858"/>
    <w:rsid w:val="00433223"/>
    <w:rsid w:val="004430F7"/>
    <w:rsid w:val="004558F8"/>
    <w:rsid w:val="00483CD5"/>
    <w:rsid w:val="004A671A"/>
    <w:rsid w:val="004B504C"/>
    <w:rsid w:val="004B5177"/>
    <w:rsid w:val="004D4702"/>
    <w:rsid w:val="004D5F07"/>
    <w:rsid w:val="004E6643"/>
    <w:rsid w:val="00501EBB"/>
    <w:rsid w:val="00534E02"/>
    <w:rsid w:val="005350C1"/>
    <w:rsid w:val="00540CC3"/>
    <w:rsid w:val="005471B0"/>
    <w:rsid w:val="00555718"/>
    <w:rsid w:val="00564055"/>
    <w:rsid w:val="00573E28"/>
    <w:rsid w:val="00595E02"/>
    <w:rsid w:val="005A4590"/>
    <w:rsid w:val="005B4EA5"/>
    <w:rsid w:val="005D6FFA"/>
    <w:rsid w:val="005D7494"/>
    <w:rsid w:val="005F2362"/>
    <w:rsid w:val="006009E7"/>
    <w:rsid w:val="00610715"/>
    <w:rsid w:val="00615F15"/>
    <w:rsid w:val="006200EE"/>
    <w:rsid w:val="00623012"/>
    <w:rsid w:val="006312AF"/>
    <w:rsid w:val="00637F81"/>
    <w:rsid w:val="00642F08"/>
    <w:rsid w:val="0065363E"/>
    <w:rsid w:val="006570EC"/>
    <w:rsid w:val="00664AFE"/>
    <w:rsid w:val="00667491"/>
    <w:rsid w:val="006836E5"/>
    <w:rsid w:val="006875D6"/>
    <w:rsid w:val="00687675"/>
    <w:rsid w:val="00690C1F"/>
    <w:rsid w:val="006B7A02"/>
    <w:rsid w:val="006D4AF7"/>
    <w:rsid w:val="006E6444"/>
    <w:rsid w:val="00707D30"/>
    <w:rsid w:val="007218FC"/>
    <w:rsid w:val="007321C1"/>
    <w:rsid w:val="00743159"/>
    <w:rsid w:val="0075594B"/>
    <w:rsid w:val="00756B61"/>
    <w:rsid w:val="007828AC"/>
    <w:rsid w:val="00793C08"/>
    <w:rsid w:val="007A342B"/>
    <w:rsid w:val="007A6A24"/>
    <w:rsid w:val="007D757B"/>
    <w:rsid w:val="007F2FF1"/>
    <w:rsid w:val="00812FAF"/>
    <w:rsid w:val="0081785C"/>
    <w:rsid w:val="00820BDC"/>
    <w:rsid w:val="00823FAA"/>
    <w:rsid w:val="00826CBC"/>
    <w:rsid w:val="00827453"/>
    <w:rsid w:val="0085232D"/>
    <w:rsid w:val="008655C1"/>
    <w:rsid w:val="0087197F"/>
    <w:rsid w:val="008847C3"/>
    <w:rsid w:val="008A057E"/>
    <w:rsid w:val="008A644E"/>
    <w:rsid w:val="008A75D0"/>
    <w:rsid w:val="008E29ED"/>
    <w:rsid w:val="008F67BC"/>
    <w:rsid w:val="00923850"/>
    <w:rsid w:val="00936663"/>
    <w:rsid w:val="009373DF"/>
    <w:rsid w:val="0096348C"/>
    <w:rsid w:val="0097347B"/>
    <w:rsid w:val="00975F8C"/>
    <w:rsid w:val="009A41E5"/>
    <w:rsid w:val="009B1D4E"/>
    <w:rsid w:val="009B4EE0"/>
    <w:rsid w:val="009D30EB"/>
    <w:rsid w:val="009D7C51"/>
    <w:rsid w:val="009E0B4F"/>
    <w:rsid w:val="009E4836"/>
    <w:rsid w:val="00A17E8C"/>
    <w:rsid w:val="00A3055E"/>
    <w:rsid w:val="00A41D3E"/>
    <w:rsid w:val="00A560C2"/>
    <w:rsid w:val="00A603C3"/>
    <w:rsid w:val="00A76D66"/>
    <w:rsid w:val="00AB4423"/>
    <w:rsid w:val="00B34BD1"/>
    <w:rsid w:val="00B3625C"/>
    <w:rsid w:val="00B5156D"/>
    <w:rsid w:val="00B52970"/>
    <w:rsid w:val="00B57756"/>
    <w:rsid w:val="00B92767"/>
    <w:rsid w:val="00B9406C"/>
    <w:rsid w:val="00B9492F"/>
    <w:rsid w:val="00B955BF"/>
    <w:rsid w:val="00BC17F5"/>
    <w:rsid w:val="00BC6AFE"/>
    <w:rsid w:val="00BD30AB"/>
    <w:rsid w:val="00BF37C7"/>
    <w:rsid w:val="00C172E1"/>
    <w:rsid w:val="00C36E6A"/>
    <w:rsid w:val="00C5295A"/>
    <w:rsid w:val="00C54711"/>
    <w:rsid w:val="00C770AD"/>
    <w:rsid w:val="00C940DE"/>
    <w:rsid w:val="00CB637A"/>
    <w:rsid w:val="00CD543B"/>
    <w:rsid w:val="00CD5E30"/>
    <w:rsid w:val="00CE5EDD"/>
    <w:rsid w:val="00CF4637"/>
    <w:rsid w:val="00D07276"/>
    <w:rsid w:val="00D24082"/>
    <w:rsid w:val="00D2703E"/>
    <w:rsid w:val="00D52EA1"/>
    <w:rsid w:val="00D63BC7"/>
    <w:rsid w:val="00D94ED0"/>
    <w:rsid w:val="00D957EE"/>
    <w:rsid w:val="00DB573E"/>
    <w:rsid w:val="00DB601E"/>
    <w:rsid w:val="00DD4BEF"/>
    <w:rsid w:val="00E477CD"/>
    <w:rsid w:val="00E86FC3"/>
    <w:rsid w:val="00EB6BF8"/>
    <w:rsid w:val="00EC7A02"/>
    <w:rsid w:val="00ED77A9"/>
    <w:rsid w:val="00EF0B22"/>
    <w:rsid w:val="00F23F09"/>
    <w:rsid w:val="00F250E3"/>
    <w:rsid w:val="00F7149D"/>
    <w:rsid w:val="00FA137A"/>
    <w:rsid w:val="00FB0435"/>
    <w:rsid w:val="00FC0ABA"/>
    <w:rsid w:val="00FC219C"/>
    <w:rsid w:val="00FE1826"/>
    <w:rsid w:val="00FE43EE"/>
    <w:rsid w:val="00FE5D93"/>
    <w:rsid w:val="00FF6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spacing w:before="240"/>
      <w:outlineLvl w:val="0"/>
    </w:pPr>
    <w:rPr>
      <w:b/>
      <w:smallCaps/>
    </w:rPr>
  </w:style>
  <w:style w:type="paragraph" w:styleId="Titolo2">
    <w:name w:val="heading 2"/>
    <w:basedOn w:val="Normale"/>
    <w:next w:val="Text2"/>
    <w:link w:val="Titolo2Carattere"/>
    <w:qFormat/>
    <w:pPr>
      <w:keepNext/>
      <w:outlineLvl w:val="1"/>
    </w:pPr>
    <w:rPr>
      <w:b/>
    </w:rPr>
  </w:style>
  <w:style w:type="paragraph" w:styleId="Titolo3">
    <w:name w:val="heading 3"/>
    <w:basedOn w:val="Normale"/>
    <w:next w:val="Text3"/>
    <w:qFormat/>
    <w:pPr>
      <w:keepNext/>
      <w:outlineLvl w:val="2"/>
    </w:pPr>
    <w:rPr>
      <w:i/>
    </w:rPr>
  </w:style>
  <w:style w:type="paragraph" w:styleId="Titolo4">
    <w:name w:val="heading 4"/>
    <w:basedOn w:val="Normale"/>
    <w:next w:val="Text4"/>
    <w:qFormat/>
    <w:pPr>
      <w:keepNext/>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val="en-GB"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3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0C1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C1F"/>
    <w:rPr>
      <w:rFonts w:ascii="Tahoma" w:hAnsi="Tahoma" w:cs="Tahoma"/>
      <w:sz w:val="16"/>
      <w:szCs w:val="16"/>
      <w:lang w:val="en-GB" w:eastAsia="en-US"/>
    </w:rPr>
  </w:style>
  <w:style w:type="paragraph" w:styleId="Paragrafoelenco">
    <w:name w:val="List Paragraph"/>
    <w:basedOn w:val="Normale"/>
    <w:uiPriority w:val="34"/>
    <w:qFormat/>
    <w:rsid w:val="006570EC"/>
    <w:pPr>
      <w:spacing w:after="160" w:line="259" w:lineRule="auto"/>
      <w:ind w:left="720"/>
      <w:contextualSpacing/>
      <w:jc w:val="left"/>
    </w:pPr>
    <w:rPr>
      <w:rFonts w:asciiTheme="minorHAnsi" w:eastAsiaTheme="minorEastAsia" w:hAnsiTheme="minorHAnsi" w:cstheme="minorBidi"/>
      <w:sz w:val="22"/>
      <w:szCs w:val="22"/>
    </w:rPr>
  </w:style>
  <w:style w:type="paragraph" w:customStyle="1" w:styleId="Ann16Tavolafiancata">
    <w:name w:val="Ann_16_Tavola fiancata"/>
    <w:basedOn w:val="Normale"/>
    <w:next w:val="Normale"/>
    <w:rsid w:val="009E0B4F"/>
    <w:pPr>
      <w:tabs>
        <w:tab w:val="right" w:leader="dot" w:pos="7371"/>
      </w:tabs>
      <w:spacing w:after="0"/>
      <w:ind w:firstLine="397"/>
      <w:outlineLvl w:val="0"/>
    </w:pPr>
    <w:rPr>
      <w:rFonts w:ascii="Arial" w:hAnsi="Arial"/>
      <w:bCs/>
      <w:kern w:val="28"/>
      <w:sz w:val="14"/>
      <w:szCs w:val="14"/>
      <w:lang w:val="it-IT" w:eastAsia="it-IT"/>
    </w:rPr>
  </w:style>
  <w:style w:type="character" w:styleId="Enfasicorsivo">
    <w:name w:val="Emphasis"/>
    <w:basedOn w:val="Carpredefinitoparagrafo"/>
    <w:uiPriority w:val="20"/>
    <w:qFormat/>
    <w:rsid w:val="00285BF4"/>
    <w:rPr>
      <w:i/>
      <w:iCs/>
    </w:rPr>
  </w:style>
  <w:style w:type="paragraph" w:styleId="Nessunaspaziatura">
    <w:name w:val="No Spacing"/>
    <w:uiPriority w:val="1"/>
    <w:qFormat/>
    <w:rsid w:val="005D6FFA"/>
    <w:rPr>
      <w:rFonts w:asciiTheme="minorHAnsi" w:eastAsiaTheme="minorEastAsia" w:hAnsiTheme="minorHAnsi" w:cstheme="minorBidi"/>
      <w:sz w:val="22"/>
      <w:szCs w:val="22"/>
      <w:lang w:val="en-GB" w:eastAsia="en-US"/>
    </w:rPr>
  </w:style>
  <w:style w:type="character" w:styleId="Rimandocommento">
    <w:name w:val="annotation reference"/>
    <w:basedOn w:val="Carpredefinitoparagrafo"/>
    <w:uiPriority w:val="99"/>
    <w:semiHidden/>
    <w:unhideWhenUsed/>
    <w:rsid w:val="000A0A05"/>
    <w:rPr>
      <w:sz w:val="16"/>
      <w:szCs w:val="16"/>
    </w:rPr>
  </w:style>
  <w:style w:type="paragraph" w:styleId="Soggettocommento">
    <w:name w:val="annotation subject"/>
    <w:basedOn w:val="Testocommento"/>
    <w:next w:val="Testocommento"/>
    <w:link w:val="SoggettocommentoCarattere"/>
    <w:uiPriority w:val="99"/>
    <w:semiHidden/>
    <w:unhideWhenUsed/>
    <w:rsid w:val="000A0A05"/>
    <w:rPr>
      <w:b/>
      <w:bCs/>
    </w:rPr>
  </w:style>
  <w:style w:type="character" w:customStyle="1" w:styleId="TestocommentoCarattere">
    <w:name w:val="Testo commento Carattere"/>
    <w:basedOn w:val="Carpredefinitoparagrafo"/>
    <w:link w:val="Testocommento"/>
    <w:semiHidden/>
    <w:rsid w:val="000A0A05"/>
    <w:rPr>
      <w:lang w:val="en-GB" w:eastAsia="en-US"/>
    </w:rPr>
  </w:style>
  <w:style w:type="character" w:customStyle="1" w:styleId="SoggettocommentoCarattere">
    <w:name w:val="Soggetto commento Carattere"/>
    <w:basedOn w:val="TestocommentoCarattere"/>
    <w:link w:val="Soggettocommento"/>
    <w:uiPriority w:val="99"/>
    <w:semiHidden/>
    <w:rsid w:val="000A0A05"/>
    <w:rPr>
      <w:b/>
      <w:bCs/>
      <w:lang w:val="en-GB" w:eastAsia="en-US"/>
    </w:rPr>
  </w:style>
  <w:style w:type="paragraph" w:styleId="Revisione">
    <w:name w:val="Revision"/>
    <w:hidden/>
    <w:uiPriority w:val="99"/>
    <w:semiHidden/>
    <w:rsid w:val="00B34BD1"/>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spacing w:before="240"/>
      <w:outlineLvl w:val="0"/>
    </w:pPr>
    <w:rPr>
      <w:b/>
      <w:smallCaps/>
    </w:rPr>
  </w:style>
  <w:style w:type="paragraph" w:styleId="Titolo2">
    <w:name w:val="heading 2"/>
    <w:basedOn w:val="Normale"/>
    <w:next w:val="Text2"/>
    <w:link w:val="Titolo2Carattere"/>
    <w:qFormat/>
    <w:pPr>
      <w:keepNext/>
      <w:outlineLvl w:val="1"/>
    </w:pPr>
    <w:rPr>
      <w:b/>
    </w:rPr>
  </w:style>
  <w:style w:type="paragraph" w:styleId="Titolo3">
    <w:name w:val="heading 3"/>
    <w:basedOn w:val="Normale"/>
    <w:next w:val="Text3"/>
    <w:qFormat/>
    <w:pPr>
      <w:keepNext/>
      <w:outlineLvl w:val="2"/>
    </w:pPr>
    <w:rPr>
      <w:i/>
    </w:rPr>
  </w:style>
  <w:style w:type="paragraph" w:styleId="Titolo4">
    <w:name w:val="heading 4"/>
    <w:basedOn w:val="Normale"/>
    <w:next w:val="Text4"/>
    <w:qFormat/>
    <w:pPr>
      <w:keepNext/>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val="en-GB"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3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0C1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C1F"/>
    <w:rPr>
      <w:rFonts w:ascii="Tahoma" w:hAnsi="Tahoma" w:cs="Tahoma"/>
      <w:sz w:val="16"/>
      <w:szCs w:val="16"/>
      <w:lang w:val="en-GB" w:eastAsia="en-US"/>
    </w:rPr>
  </w:style>
  <w:style w:type="paragraph" w:styleId="Paragrafoelenco">
    <w:name w:val="List Paragraph"/>
    <w:basedOn w:val="Normale"/>
    <w:uiPriority w:val="34"/>
    <w:qFormat/>
    <w:rsid w:val="006570EC"/>
    <w:pPr>
      <w:spacing w:after="160" w:line="259" w:lineRule="auto"/>
      <w:ind w:left="720"/>
      <w:contextualSpacing/>
      <w:jc w:val="left"/>
    </w:pPr>
    <w:rPr>
      <w:rFonts w:asciiTheme="minorHAnsi" w:eastAsiaTheme="minorEastAsia" w:hAnsiTheme="minorHAnsi" w:cstheme="minorBidi"/>
      <w:sz w:val="22"/>
      <w:szCs w:val="22"/>
    </w:rPr>
  </w:style>
  <w:style w:type="paragraph" w:customStyle="1" w:styleId="Ann16Tavolafiancata">
    <w:name w:val="Ann_16_Tavola fiancata"/>
    <w:basedOn w:val="Normale"/>
    <w:next w:val="Normale"/>
    <w:rsid w:val="009E0B4F"/>
    <w:pPr>
      <w:tabs>
        <w:tab w:val="right" w:leader="dot" w:pos="7371"/>
      </w:tabs>
      <w:spacing w:after="0"/>
      <w:ind w:firstLine="397"/>
      <w:outlineLvl w:val="0"/>
    </w:pPr>
    <w:rPr>
      <w:rFonts w:ascii="Arial" w:hAnsi="Arial"/>
      <w:bCs/>
      <w:kern w:val="28"/>
      <w:sz w:val="14"/>
      <w:szCs w:val="14"/>
      <w:lang w:val="it-IT" w:eastAsia="it-IT"/>
    </w:rPr>
  </w:style>
  <w:style w:type="character" w:styleId="Enfasicorsivo">
    <w:name w:val="Emphasis"/>
    <w:basedOn w:val="Carpredefinitoparagrafo"/>
    <w:uiPriority w:val="20"/>
    <w:qFormat/>
    <w:rsid w:val="00285BF4"/>
    <w:rPr>
      <w:i/>
      <w:iCs/>
    </w:rPr>
  </w:style>
  <w:style w:type="paragraph" w:styleId="Nessunaspaziatura">
    <w:name w:val="No Spacing"/>
    <w:uiPriority w:val="1"/>
    <w:qFormat/>
    <w:rsid w:val="005D6FFA"/>
    <w:rPr>
      <w:rFonts w:asciiTheme="minorHAnsi" w:eastAsiaTheme="minorEastAsia" w:hAnsiTheme="minorHAnsi" w:cstheme="minorBidi"/>
      <w:sz w:val="22"/>
      <w:szCs w:val="22"/>
      <w:lang w:val="en-GB" w:eastAsia="en-US"/>
    </w:rPr>
  </w:style>
  <w:style w:type="character" w:styleId="Rimandocommento">
    <w:name w:val="annotation reference"/>
    <w:basedOn w:val="Carpredefinitoparagrafo"/>
    <w:uiPriority w:val="99"/>
    <w:semiHidden/>
    <w:unhideWhenUsed/>
    <w:rsid w:val="000A0A05"/>
    <w:rPr>
      <w:sz w:val="16"/>
      <w:szCs w:val="16"/>
    </w:rPr>
  </w:style>
  <w:style w:type="paragraph" w:styleId="Soggettocommento">
    <w:name w:val="annotation subject"/>
    <w:basedOn w:val="Testocommento"/>
    <w:next w:val="Testocommento"/>
    <w:link w:val="SoggettocommentoCarattere"/>
    <w:uiPriority w:val="99"/>
    <w:semiHidden/>
    <w:unhideWhenUsed/>
    <w:rsid w:val="000A0A05"/>
    <w:rPr>
      <w:b/>
      <w:bCs/>
    </w:rPr>
  </w:style>
  <w:style w:type="character" w:customStyle="1" w:styleId="TestocommentoCarattere">
    <w:name w:val="Testo commento Carattere"/>
    <w:basedOn w:val="Carpredefinitoparagrafo"/>
    <w:link w:val="Testocommento"/>
    <w:semiHidden/>
    <w:rsid w:val="000A0A05"/>
    <w:rPr>
      <w:lang w:val="en-GB" w:eastAsia="en-US"/>
    </w:rPr>
  </w:style>
  <w:style w:type="character" w:customStyle="1" w:styleId="SoggettocommentoCarattere">
    <w:name w:val="Soggetto commento Carattere"/>
    <w:basedOn w:val="TestocommentoCarattere"/>
    <w:link w:val="Soggettocommento"/>
    <w:uiPriority w:val="99"/>
    <w:semiHidden/>
    <w:rsid w:val="000A0A05"/>
    <w:rPr>
      <w:b/>
      <w:bCs/>
      <w:lang w:val="en-GB" w:eastAsia="en-US"/>
    </w:rPr>
  </w:style>
  <w:style w:type="paragraph" w:styleId="Revisione">
    <w:name w:val="Revision"/>
    <w:hidden/>
    <w:uiPriority w:val="99"/>
    <w:semiHidden/>
    <w:rsid w:val="00B34BD1"/>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545134">
      <w:bodyDiv w:val="1"/>
      <w:marLeft w:val="0"/>
      <w:marRight w:val="0"/>
      <w:marTop w:val="0"/>
      <w:marBottom w:val="0"/>
      <w:divBdr>
        <w:top w:val="none" w:sz="0" w:space="0" w:color="auto"/>
        <w:left w:val="none" w:sz="0" w:space="0" w:color="auto"/>
        <w:bottom w:val="none" w:sz="0" w:space="0" w:color="auto"/>
        <w:right w:val="none" w:sz="0" w:space="0" w:color="auto"/>
      </w:divBdr>
      <w:divsChild>
        <w:div w:id="965937014">
          <w:marLeft w:val="965"/>
          <w:marRight w:val="0"/>
          <w:marTop w:val="240"/>
          <w:marBottom w:val="0"/>
          <w:divBdr>
            <w:top w:val="none" w:sz="0" w:space="0" w:color="auto"/>
            <w:left w:val="none" w:sz="0" w:space="0" w:color="auto"/>
            <w:bottom w:val="none" w:sz="0" w:space="0" w:color="auto"/>
            <w:right w:val="none" w:sz="0" w:space="0" w:color="auto"/>
          </w:divBdr>
        </w:div>
      </w:divsChild>
    </w:div>
    <w:div w:id="20618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ngles\Downloads\ntts2019abstract%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83BB8A18-BB25-4913-BA74-AF668B80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 (1)</Template>
  <TotalTime>10</TotalTime>
  <Pages>4</Pages>
  <Words>2051</Words>
  <Characters>11691</Characters>
  <Application>Microsoft Office Word</Application>
  <DocSecurity>0</DocSecurity>
  <PresentationFormat>Microsoft Word 14.0</PresentationFormat>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Inglese</dc:creator>
  <cp:keywords>EL4</cp:keywords>
  <cp:lastModifiedBy>Claudia De Vitiis</cp:lastModifiedBy>
  <cp:revision>5</cp:revision>
  <cp:lastPrinted>2018-10-11T12:52:00Z</cp:lastPrinted>
  <dcterms:created xsi:type="dcterms:W3CDTF">2018-10-15T12:45:00Z</dcterms:created>
  <dcterms:modified xsi:type="dcterms:W3CDTF">2018-10-15T12:57:00Z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