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7DB20" w14:textId="77777777" w:rsidR="00BC6AFE" w:rsidRPr="007368E1" w:rsidRDefault="0058785D" w:rsidP="00BC6AFE">
      <w:pPr>
        <w:pStyle w:val="Ttol"/>
      </w:pPr>
      <w:r w:rsidRPr="007368E1">
        <w:t>Implementation of the Statistical Territory Register</w:t>
      </w:r>
    </w:p>
    <w:p w14:paraId="33BE29E6" w14:textId="77777777" w:rsidR="00F45F39" w:rsidRPr="007368E1" w:rsidRDefault="00F45F39" w:rsidP="00F45F39">
      <w:pPr>
        <w:pStyle w:val="Pargraf"/>
        <w:rPr>
          <w:b/>
          <w:u w:val="single"/>
        </w:rPr>
      </w:pPr>
    </w:p>
    <w:p w14:paraId="215A3D24" w14:textId="2AF0A419" w:rsidR="00F45F39" w:rsidRPr="00BB261C" w:rsidRDefault="0058785D" w:rsidP="00BB261C">
      <w:pPr>
        <w:rPr>
          <w:b/>
          <w:u w:val="single"/>
        </w:rPr>
      </w:pPr>
      <w:r w:rsidRPr="007368E1">
        <w:rPr>
          <w:b/>
          <w:u w:val="single"/>
        </w:rPr>
        <w:t>Keywords</w:t>
      </w:r>
      <w:r w:rsidRPr="00BB261C">
        <w:rPr>
          <w:b/>
          <w:u w:val="single"/>
        </w:rPr>
        <w:t>:</w:t>
      </w:r>
      <w:r w:rsidRPr="00BB261C">
        <w:t xml:space="preserve"> </w:t>
      </w:r>
      <w:proofErr w:type="spellStart"/>
      <w:r w:rsidR="00DC5C31">
        <w:t>G</w:t>
      </w:r>
      <w:r w:rsidR="00486CB2">
        <w:t>eoreferencing</w:t>
      </w:r>
      <w:proofErr w:type="spellEnd"/>
      <w:r w:rsidR="005B09D3" w:rsidRPr="00BB261C">
        <w:t xml:space="preserve">, </w:t>
      </w:r>
      <w:r w:rsidRPr="00BB261C">
        <w:t xml:space="preserve">spatial analysis, concave hull, azimuth, quality </w:t>
      </w:r>
      <w:r w:rsidR="00486CB2">
        <w:t>indicators</w:t>
      </w:r>
    </w:p>
    <w:p w14:paraId="1DE846BA" w14:textId="77777777" w:rsidR="002012A8" w:rsidRPr="007368E1" w:rsidRDefault="0058785D" w:rsidP="002012A8">
      <w:pPr>
        <w:pStyle w:val="Ttol1"/>
      </w:pPr>
      <w:r w:rsidRPr="007368E1">
        <w:t>Introduction</w:t>
      </w:r>
    </w:p>
    <w:p w14:paraId="72EE0D55" w14:textId="105A71D2" w:rsidR="001B50CE" w:rsidRPr="007368E1" w:rsidRDefault="00795F69" w:rsidP="00BC6AFE">
      <w:r>
        <w:t>The</w:t>
      </w:r>
      <w:r w:rsidR="0058785D" w:rsidRPr="007368E1">
        <w:t xml:space="preserve"> Statistical Institute of </w:t>
      </w:r>
      <w:r w:rsidR="009E0C2A">
        <w:t>(---)</w:t>
      </w:r>
      <w:r w:rsidR="0058785D" w:rsidRPr="007368E1">
        <w:t xml:space="preserve">, is constructing a </w:t>
      </w:r>
      <w:r w:rsidR="0058785D" w:rsidRPr="007368E1">
        <w:rPr>
          <w:b/>
        </w:rPr>
        <w:t>production system</w:t>
      </w:r>
      <w:r w:rsidR="0058785D" w:rsidRPr="007368E1">
        <w:t xml:space="preserve">, </w:t>
      </w:r>
      <w:r w:rsidR="00D5572E">
        <w:t>mainly</w:t>
      </w:r>
      <w:r w:rsidR="0058785D" w:rsidRPr="007368E1">
        <w:t xml:space="preserve"> based on </w:t>
      </w:r>
      <w:r w:rsidR="0058785D" w:rsidRPr="007368E1">
        <w:rPr>
          <w:b/>
        </w:rPr>
        <w:t>administra</w:t>
      </w:r>
      <w:bookmarkStart w:id="0" w:name="_GoBack"/>
      <w:bookmarkEnd w:id="0"/>
      <w:r w:rsidR="0058785D" w:rsidRPr="007368E1">
        <w:rPr>
          <w:b/>
        </w:rPr>
        <w:t xml:space="preserve">tive </w:t>
      </w:r>
      <w:proofErr w:type="gramStart"/>
      <w:r w:rsidR="0018763D">
        <w:rPr>
          <w:b/>
        </w:rPr>
        <w:t>registers</w:t>
      </w:r>
      <w:r w:rsidR="0058785D" w:rsidRPr="007368E1">
        <w:t>[</w:t>
      </w:r>
      <w:proofErr w:type="gramEnd"/>
      <w:r w:rsidR="0058785D" w:rsidRPr="007368E1">
        <w:t>1] made up of three different subsystems: The Statistical Population Register (</w:t>
      </w:r>
      <w:r w:rsidR="00AD2697">
        <w:t>REP</w:t>
      </w:r>
      <w:r w:rsidR="0058785D" w:rsidRPr="007368E1">
        <w:t>), the Statistical Territory Register (</w:t>
      </w:r>
      <w:r w:rsidR="00AD2697">
        <w:t>RET</w:t>
      </w:r>
      <w:r w:rsidR="0058785D" w:rsidRPr="007368E1">
        <w:t>) and the Statistical Entity Register (</w:t>
      </w:r>
      <w:r w:rsidR="00AD2697">
        <w:t>REE</w:t>
      </w:r>
      <w:r w:rsidR="0058785D" w:rsidRPr="007368E1">
        <w:t xml:space="preserve">). </w:t>
      </w:r>
    </w:p>
    <w:p w14:paraId="318265D3" w14:textId="6DB25433" w:rsidR="00F45F39" w:rsidRPr="007368E1" w:rsidRDefault="0058785D" w:rsidP="00BC6AFE">
      <w:r w:rsidRPr="007368E1">
        <w:t xml:space="preserve">The </w:t>
      </w:r>
      <w:r w:rsidR="00AD2697">
        <w:t>REP</w:t>
      </w:r>
      <w:r w:rsidRPr="007368E1">
        <w:t xml:space="preserve"> and </w:t>
      </w:r>
      <w:r w:rsidR="00AD2697">
        <w:t>REE</w:t>
      </w:r>
      <w:r w:rsidRPr="007368E1">
        <w:t xml:space="preserve"> subsystems manage all the events which affect the microdata studied (population in the case of the </w:t>
      </w:r>
      <w:r w:rsidR="00AD2697">
        <w:t>REP</w:t>
      </w:r>
      <w:r w:rsidRPr="007368E1">
        <w:t xml:space="preserve"> and companies and entities in the case of the </w:t>
      </w:r>
      <w:r w:rsidR="00AD2697">
        <w:t>REE</w:t>
      </w:r>
      <w:r w:rsidRPr="007368E1">
        <w:t xml:space="preserve">). These microdata contain information on postal addresses, </w:t>
      </w:r>
      <w:r w:rsidR="00D5572E">
        <w:t>owing</w:t>
      </w:r>
      <w:r w:rsidRPr="007368E1">
        <w:t xml:space="preserve"> their geolocation.</w:t>
      </w:r>
    </w:p>
    <w:p w14:paraId="72891183" w14:textId="77777777" w:rsidR="00F45F39" w:rsidRPr="007368E1" w:rsidRDefault="0058785D" w:rsidP="00BC6AFE">
      <w:r w:rsidRPr="007368E1">
        <w:t xml:space="preserve">The </w:t>
      </w:r>
      <w:r w:rsidRPr="007368E1">
        <w:rPr>
          <w:b/>
        </w:rPr>
        <w:t>Statistical Territory Register</w:t>
      </w:r>
      <w:r w:rsidRPr="007368E1">
        <w:t xml:space="preserve"> (</w:t>
      </w:r>
      <w:r w:rsidR="00AD2697">
        <w:t>RET</w:t>
      </w:r>
      <w:r w:rsidRPr="007368E1">
        <w:t xml:space="preserve">) is a </w:t>
      </w:r>
      <w:r w:rsidRPr="007368E1">
        <w:rPr>
          <w:b/>
        </w:rPr>
        <w:t>spatial information</w:t>
      </w:r>
      <w:r w:rsidRPr="007368E1">
        <w:t xml:space="preserve"> subsystem whose main purpose is the </w:t>
      </w:r>
      <w:r w:rsidRPr="007368E1">
        <w:rPr>
          <w:b/>
        </w:rPr>
        <w:t>geolocation and validation</w:t>
      </w:r>
      <w:r w:rsidRPr="007368E1">
        <w:t xml:space="preserve"> of the postal addresses which appear in the other subsystems.</w:t>
      </w:r>
    </w:p>
    <w:p w14:paraId="0F71C1D5" w14:textId="77777777" w:rsidR="002A123C" w:rsidRPr="007368E1" w:rsidRDefault="0058785D" w:rsidP="00BC6AFE">
      <w:r w:rsidRPr="007368E1">
        <w:t xml:space="preserve">In this </w:t>
      </w:r>
      <w:r w:rsidR="005015C2" w:rsidRPr="007368E1">
        <w:t>paper,</w:t>
      </w:r>
      <w:r w:rsidRPr="007368E1">
        <w:t xml:space="preserve"> we will outline the geocoding and validation processes performed by the </w:t>
      </w:r>
      <w:r w:rsidR="00AD2697">
        <w:t>RET</w:t>
      </w:r>
      <w:r w:rsidRPr="007368E1">
        <w:t xml:space="preserve"> and describe the methods for the quality control of the basic information permitting the validation of postal addresses. </w:t>
      </w:r>
    </w:p>
    <w:p w14:paraId="1A25C9F2" w14:textId="77777777" w:rsidR="00BC6AFE" w:rsidRPr="007368E1" w:rsidRDefault="0058785D" w:rsidP="00BC6AFE">
      <w:pPr>
        <w:pStyle w:val="Ttol1"/>
      </w:pPr>
      <w:r w:rsidRPr="007368E1">
        <w:t>Methods</w:t>
      </w:r>
    </w:p>
    <w:p w14:paraId="36C0F9EB" w14:textId="77777777" w:rsidR="00AC79F5" w:rsidRPr="007368E1" w:rsidRDefault="0058785D" w:rsidP="00BC6AFE">
      <w:r w:rsidRPr="007368E1">
        <w:t>Any postal address which appears in the other subsystems (</w:t>
      </w:r>
      <w:r w:rsidR="00AD2697">
        <w:t>REP</w:t>
      </w:r>
      <w:r w:rsidRPr="007368E1">
        <w:t xml:space="preserve"> and </w:t>
      </w:r>
      <w:r w:rsidR="00AD2697">
        <w:t>REE</w:t>
      </w:r>
      <w:r w:rsidRPr="007368E1">
        <w:t xml:space="preserve">) is processed in the </w:t>
      </w:r>
      <w:r w:rsidR="00AD2697">
        <w:t>RET</w:t>
      </w:r>
      <w:r w:rsidRPr="007368E1">
        <w:t xml:space="preserve">. If an address </w:t>
      </w:r>
      <w:r w:rsidR="00BD4AD1" w:rsidRPr="007368E1">
        <w:t>does not</w:t>
      </w:r>
      <w:r w:rsidRPr="007368E1">
        <w:t xml:space="preserve"> previously exist on the database, it is assigned a primary key (address code), which will be the foreign key in the </w:t>
      </w:r>
      <w:r w:rsidR="00AD2697">
        <w:t>REP</w:t>
      </w:r>
      <w:r w:rsidRPr="007368E1">
        <w:t xml:space="preserve"> and </w:t>
      </w:r>
      <w:r w:rsidR="00AD2697">
        <w:t>REE</w:t>
      </w:r>
      <w:r w:rsidRPr="007368E1">
        <w:t xml:space="preserve">. It is then geocoded and the coordinates relating to its doorway (horizontal part of the address) are obtained. Finally, the vertical part (i.e. the staircase, floor and door fields) is validated. If the address has been previously processed, its primary key is simply transmitted to the other subsystems. </w:t>
      </w:r>
    </w:p>
    <w:p w14:paraId="24407E45" w14:textId="77777777" w:rsidR="00EE56FA" w:rsidRPr="007368E1" w:rsidRDefault="0058785D" w:rsidP="00BC6AFE">
      <w:r w:rsidRPr="007368E1">
        <w:t>We will describe the geocoding and validation sources and processes below.</w:t>
      </w:r>
    </w:p>
    <w:p w14:paraId="5938E4FF" w14:textId="77777777" w:rsidR="00BC6AFE" w:rsidRPr="007368E1" w:rsidRDefault="0058785D" w:rsidP="001B50CE">
      <w:pPr>
        <w:pStyle w:val="Ttol2"/>
        <w:tabs>
          <w:tab w:val="num" w:pos="482"/>
        </w:tabs>
        <w:ind w:left="482" w:hanging="482"/>
      </w:pPr>
      <w:r w:rsidRPr="007368E1">
        <w:t>Geocoding</w:t>
      </w:r>
    </w:p>
    <w:p w14:paraId="76B5F2DC" w14:textId="2E461789" w:rsidR="00013D11" w:rsidRPr="00C6271B" w:rsidRDefault="0058785D" w:rsidP="00D52EA1">
      <w:r w:rsidRPr="00C6271B">
        <w:t xml:space="preserve">The geocoding processes performed by the </w:t>
      </w:r>
      <w:r w:rsidR="00AD2697" w:rsidRPr="00C6271B">
        <w:t>RET</w:t>
      </w:r>
      <w:r w:rsidRPr="00C6271B">
        <w:t xml:space="preserve"> are performed by means of a web </w:t>
      </w:r>
      <w:r w:rsidR="00AD2697" w:rsidRPr="00C6271B">
        <w:t>service</w:t>
      </w:r>
      <w:r w:rsidRPr="00C6271B">
        <w:t xml:space="preserve"> (</w:t>
      </w:r>
      <w:r w:rsidR="0018763D">
        <w:t>REST</w:t>
      </w:r>
      <w:r w:rsidRPr="00C6271B">
        <w:t>), provided by the Cartographic and Geolo</w:t>
      </w:r>
      <w:r w:rsidR="005B09D3">
        <w:t xml:space="preserve">gical Institute of </w:t>
      </w:r>
      <w:r w:rsidR="009E0C2A">
        <w:t>(---)</w:t>
      </w:r>
      <w:r w:rsidRPr="00C6271B">
        <w:t xml:space="preserve">. </w:t>
      </w:r>
    </w:p>
    <w:p w14:paraId="3D32D529" w14:textId="1672A479" w:rsidR="00D52EA1" w:rsidRPr="007368E1" w:rsidRDefault="0058785D" w:rsidP="00D52EA1">
      <w:r w:rsidRPr="00C6271B">
        <w:t xml:space="preserve">This </w:t>
      </w:r>
      <w:r w:rsidR="00AD2697" w:rsidRPr="00C6271B">
        <w:t xml:space="preserve">service </w:t>
      </w:r>
      <w:r w:rsidRPr="00C6271B">
        <w:t xml:space="preserve">operates on a database of addresses whose model is the Municipal Address Database of </w:t>
      </w:r>
      <w:r w:rsidR="009E0C2A">
        <w:t>(---)</w:t>
      </w:r>
      <w:r w:rsidRPr="00C6271B">
        <w:t xml:space="preserve">. The database covers the whole territory of </w:t>
      </w:r>
      <w:r w:rsidR="009E0C2A">
        <w:t>(---)</w:t>
      </w:r>
      <w:r w:rsidRPr="00C6271B">
        <w:t xml:space="preserve"> and the precision of the coordinates returned </w:t>
      </w:r>
      <w:r w:rsidR="00D5572E">
        <w:t>mainly</w:t>
      </w:r>
      <w:r w:rsidRPr="00C6271B">
        <w:t xml:space="preserve"> provides exact positions of doorways or interpolated positions.</w:t>
      </w:r>
    </w:p>
    <w:p w14:paraId="62286DD1" w14:textId="77777777" w:rsidR="0086390C" w:rsidRPr="007368E1" w:rsidRDefault="0058785D" w:rsidP="00D52EA1">
      <w:r w:rsidRPr="007368E1">
        <w:t xml:space="preserve">This </w:t>
      </w:r>
      <w:r w:rsidR="00AD2697">
        <w:t>service</w:t>
      </w:r>
      <w:r w:rsidRPr="007368E1">
        <w:t xml:space="preserve">, intensively used by Idescat for a number of years, permits the mass geocoding of data from the other subsystems and, for the </w:t>
      </w:r>
      <w:r w:rsidR="00AD2697">
        <w:t>REP</w:t>
      </w:r>
      <w:r w:rsidRPr="007368E1">
        <w:t>, it achieves a percentage of around 96% of records effectively georeferenced.</w:t>
      </w:r>
    </w:p>
    <w:p w14:paraId="4409E8A8" w14:textId="77777777" w:rsidR="001B50CE" w:rsidRPr="007368E1" w:rsidRDefault="0058785D" w:rsidP="001B50CE">
      <w:pPr>
        <w:pStyle w:val="Ttol2"/>
        <w:tabs>
          <w:tab w:val="num" w:pos="482"/>
        </w:tabs>
        <w:ind w:left="482" w:hanging="482"/>
      </w:pPr>
      <w:r w:rsidRPr="007368E1">
        <w:lastRenderedPageBreak/>
        <w:t>Validation</w:t>
      </w:r>
    </w:p>
    <w:p w14:paraId="4B2F46ED" w14:textId="77777777" w:rsidR="00000453" w:rsidRPr="007368E1" w:rsidRDefault="0058785D" w:rsidP="00D52EA1">
      <w:r w:rsidRPr="007368E1">
        <w:t xml:space="preserve">A complete postal address actually contains two very different parts: the horizontal part and the vertical part. The horizontal part is generally described by the type of road, the road and the numbering, while the vertical part is described by the staircase, floor and door fields. The geocoding process only deals with information on the horizontal part. </w:t>
      </w:r>
    </w:p>
    <w:p w14:paraId="6FC0E064" w14:textId="67B78D26" w:rsidR="00000453" w:rsidRPr="007368E1" w:rsidRDefault="0058785D" w:rsidP="00D52EA1">
      <w:r w:rsidRPr="007368E1">
        <w:t xml:space="preserve">For complete validation of the postal addresses it is necessary to use another administrative </w:t>
      </w:r>
      <w:r w:rsidR="00D5572E">
        <w:t>register</w:t>
      </w:r>
      <w:r w:rsidRPr="007368E1">
        <w:t xml:space="preserve"> which contains information on the postal addresses. This administrative </w:t>
      </w:r>
      <w:r w:rsidR="00D5572E">
        <w:t>register</w:t>
      </w:r>
      <w:r w:rsidRPr="007368E1">
        <w:t xml:space="preserve"> is none other than the one related to property in the Cadastre.</w:t>
      </w:r>
    </w:p>
    <w:p w14:paraId="556D448D" w14:textId="77777777" w:rsidR="00CF3E2E" w:rsidRPr="007368E1" w:rsidRDefault="0058785D" w:rsidP="00D52EA1">
      <w:r w:rsidRPr="007368E1">
        <w:t>The General Directorate of Cadastre manages all the information on plots of land, property and buildings, as a result of which the mechanism for validating a postal address would simply consist of the search for property associated with the vertical address to be validated.</w:t>
      </w:r>
    </w:p>
    <w:p w14:paraId="5BEBC889" w14:textId="77777777" w:rsidR="007828EA" w:rsidRPr="007368E1" w:rsidRDefault="0058785D" w:rsidP="00D52EA1">
      <w:r w:rsidRPr="007368E1">
        <w:t>Unfortunately, the set of fields which describes an address in the Cadastre and those in the different subsystems contains a set of totally different codes, and therefore it has been necessary to construct a set of tables with the equivalences between them and perform cascaded searches through the set of equivalence tables: type of road, road, numbering, staircase, floor and door.</w:t>
      </w:r>
    </w:p>
    <w:p w14:paraId="7F791E83" w14:textId="77777777" w:rsidR="004A042A" w:rsidRPr="007368E1" w:rsidRDefault="0058785D" w:rsidP="00D52EA1">
      <w:r w:rsidRPr="007368E1">
        <w:t>While the type of road cardinality in the different sources is relatively small, this is not the case with the roads and the floor and door fields. For the road field (cardinality 100,000), approximately 50% of them have exactly the same literals in the sources in question. For the others, the assignment of the equivalence table has been performed under human supervision, taking into account two criteria:</w:t>
      </w:r>
    </w:p>
    <w:p w14:paraId="64947343" w14:textId="32460C94" w:rsidR="004A042A" w:rsidRPr="007368E1" w:rsidRDefault="0058785D" w:rsidP="004A042A">
      <w:pPr>
        <w:numPr>
          <w:ilvl w:val="0"/>
          <w:numId w:val="21"/>
        </w:numPr>
      </w:pPr>
      <w:r w:rsidRPr="007368E1">
        <w:t>Similarity between literals using distances (</w:t>
      </w:r>
      <w:proofErr w:type="spellStart"/>
      <w:r w:rsidRPr="007368E1">
        <w:t>Jaro</w:t>
      </w:r>
      <w:proofErr w:type="spellEnd"/>
      <w:r w:rsidRPr="007368E1">
        <w:t>-</w:t>
      </w:r>
      <w:proofErr w:type="gramStart"/>
      <w:r w:rsidRPr="007368E1">
        <w:t>Winkler</w:t>
      </w:r>
      <w:r w:rsidR="0018763D" w:rsidRPr="007368E1">
        <w:t>[</w:t>
      </w:r>
      <w:proofErr w:type="gramEnd"/>
      <w:r w:rsidR="0018763D">
        <w:t>2</w:t>
      </w:r>
      <w:r w:rsidR="0018763D" w:rsidRPr="007368E1">
        <w:t>]</w:t>
      </w:r>
      <w:r w:rsidRPr="007368E1">
        <w:t>).</w:t>
      </w:r>
    </w:p>
    <w:p w14:paraId="2E16ABEE" w14:textId="77777777" w:rsidR="004A042A" w:rsidRPr="007368E1" w:rsidRDefault="0058785D" w:rsidP="009C1340">
      <w:pPr>
        <w:numPr>
          <w:ilvl w:val="0"/>
          <w:numId w:val="21"/>
        </w:numPr>
      </w:pPr>
      <w:r w:rsidRPr="007368E1">
        <w:t>Percentage of intersection and value of the azimuth between the polygons obtained by means of the concave hull or convex hull operations on the set of points grouped together by roads in the different sources (Cadastre and georeferenced population).</w:t>
      </w:r>
    </w:p>
    <w:p w14:paraId="36CE9417" w14:textId="77777777" w:rsidR="007828EA" w:rsidRPr="007368E1" w:rsidRDefault="0058785D" w:rsidP="004A042A">
      <w:r w:rsidRPr="007368E1">
        <w:t>In fact, one road in the General Directorate of Cadastre and that in another source may be described with different codes and have different literals but, if they represent the same road, the polygons representing them should have a large intersection and a single address.</w:t>
      </w:r>
    </w:p>
    <w:p w14:paraId="2E140CE6" w14:textId="77777777" w:rsidR="009C1340" w:rsidRPr="00C6271B" w:rsidRDefault="0058785D" w:rsidP="004A042A">
      <w:pPr>
        <w:rPr>
          <w:lang w:val="en-US"/>
        </w:rPr>
      </w:pPr>
      <w:r w:rsidRPr="00C6271B">
        <w:rPr>
          <w:lang w:val="en-US"/>
        </w:rPr>
        <w:t xml:space="preserve">With regard to the staircase, floor and door fields, the casuistry of the type of floor of the property defined as housing has initially been studied and sorting patterns have been defined, taking into account the position of the floor in the possible groups a building may have, in order to find the equivalence between the value of the floors in the </w:t>
      </w:r>
      <w:proofErr w:type="spellStart"/>
      <w:r w:rsidRPr="00C6271B">
        <w:rPr>
          <w:lang w:val="en-US"/>
        </w:rPr>
        <w:t>Cadastre</w:t>
      </w:r>
      <w:proofErr w:type="spellEnd"/>
      <w:r w:rsidRPr="00C6271B">
        <w:rPr>
          <w:lang w:val="en-US"/>
        </w:rPr>
        <w:t xml:space="preserve"> and the </w:t>
      </w:r>
      <w:r w:rsidR="00AD2697" w:rsidRPr="00C6271B">
        <w:rPr>
          <w:lang w:val="en-US"/>
        </w:rPr>
        <w:t>REP</w:t>
      </w:r>
      <w:r w:rsidRPr="00C6271B">
        <w:rPr>
          <w:lang w:val="en-US"/>
        </w:rPr>
        <w:t xml:space="preserve">. In the case of doubtful types of floors, a descriptive and graphic search of the property has been performed at the </w:t>
      </w:r>
      <w:proofErr w:type="spellStart"/>
      <w:r w:rsidRPr="00C6271B">
        <w:rPr>
          <w:lang w:val="en-US"/>
        </w:rPr>
        <w:t>Cadastre’s</w:t>
      </w:r>
      <w:proofErr w:type="spellEnd"/>
      <w:r w:rsidRPr="00C6271B">
        <w:rPr>
          <w:lang w:val="en-US"/>
        </w:rPr>
        <w:t xml:space="preserve"> electronic office. </w:t>
      </w:r>
    </w:p>
    <w:p w14:paraId="523FA587" w14:textId="0CEFFC6B" w:rsidR="002729F2" w:rsidRPr="007368E1" w:rsidRDefault="0058785D" w:rsidP="002729F2">
      <w:r w:rsidRPr="007368E1">
        <w:t xml:space="preserve">The study has been compared with tables with equivalences of addresses in the Register of Inhabitants and the addresses which appear in the Cadastre for the city of </w:t>
      </w:r>
      <w:r w:rsidR="009E0C2A" w:rsidRPr="009E0C2A">
        <w:t>(---)</w:t>
      </w:r>
      <w:r w:rsidRPr="007368E1">
        <w:t xml:space="preserve">, ​​designed by the Municipal Data Office of </w:t>
      </w:r>
      <w:r w:rsidR="009E0C2A" w:rsidRPr="009E0C2A">
        <w:t xml:space="preserve">(---) </w:t>
      </w:r>
      <w:r w:rsidRPr="007368E1">
        <w:t>City Council. As for the non-matching cases, the discrepancies displaying the highest frequencies have been studied.</w:t>
      </w:r>
    </w:p>
    <w:p w14:paraId="6EBDFAF1" w14:textId="77777777" w:rsidR="002729F2" w:rsidRPr="007368E1" w:rsidRDefault="002729F2" w:rsidP="002729F2"/>
    <w:p w14:paraId="0950D3A9" w14:textId="77777777" w:rsidR="009C1340" w:rsidRPr="007368E1" w:rsidRDefault="0058785D" w:rsidP="009C1340">
      <w:pPr>
        <w:pStyle w:val="Ttol2"/>
        <w:tabs>
          <w:tab w:val="num" w:pos="482"/>
        </w:tabs>
        <w:ind w:left="482" w:hanging="482"/>
      </w:pPr>
      <w:r w:rsidRPr="007368E1">
        <w:lastRenderedPageBreak/>
        <w:t>Quality control</w:t>
      </w:r>
    </w:p>
    <w:p w14:paraId="7CD4A147" w14:textId="4EBD17BA" w:rsidR="00922F2D" w:rsidRPr="007368E1" w:rsidRDefault="0058785D" w:rsidP="009B52C7">
      <w:r w:rsidRPr="007368E1">
        <w:t>When constructing the concave or convex hull relating to the streets in the Cadastre, we ob</w:t>
      </w:r>
      <w:r w:rsidR="00AD2697">
        <w:t>ser</w:t>
      </w:r>
      <w:r w:rsidRPr="007368E1">
        <w:t xml:space="preserve">ved the existence of a set of polygons containing points which were abnormally distant from the others, and therefore it was necessary to define a method to locate and estimate the percentage of erroneous polygons. To do so, several indicators were created and those which produced the best classifiers were selected, using comparisons of the area beneath the </w:t>
      </w:r>
      <w:r w:rsidR="005B09D3">
        <w:t>ROC</w:t>
      </w:r>
      <w:r w:rsidRPr="007368E1">
        <w:t xml:space="preserve"> </w:t>
      </w:r>
      <w:proofErr w:type="gramStart"/>
      <w:r w:rsidRPr="007368E1">
        <w:t>curve</w:t>
      </w:r>
      <w:r w:rsidR="0018763D">
        <w:t>[</w:t>
      </w:r>
      <w:proofErr w:type="gramEnd"/>
      <w:r w:rsidR="0018763D">
        <w:t>3]</w:t>
      </w:r>
      <w:r w:rsidRPr="007368E1">
        <w:t>.</w:t>
      </w:r>
    </w:p>
    <w:p w14:paraId="043C2B6A" w14:textId="77777777" w:rsidR="009B52C7" w:rsidRPr="007368E1" w:rsidRDefault="0058785D" w:rsidP="00922F2D">
      <w:r w:rsidRPr="007368E1">
        <w:t xml:space="preserve">Finally, the indicator selected, the polygon quality indicator (PQI), combines the maximum difference and the variation coefficient of the lengths of its sides. </w:t>
      </w:r>
    </w:p>
    <w:p w14:paraId="135A367C" w14:textId="77777777" w:rsidR="00CE1B21" w:rsidRPr="007368E1" w:rsidRDefault="0058785D" w:rsidP="00CE1B21">
      <w:r w:rsidRPr="007368E1">
        <w:t>It is expressed for each polygon p as follows:</w:t>
      </w:r>
    </w:p>
    <w:p w14:paraId="151A5ADF" w14:textId="77777777" w:rsidR="0018763D" w:rsidRPr="009D45AB" w:rsidRDefault="00442132" w:rsidP="0018763D">
      <w:pPr>
        <w:spacing w:before="120" w:after="0" w:line="360" w:lineRule="auto"/>
        <w:rPr>
          <w:b/>
          <w:i/>
          <w:lang w:val="en-US"/>
        </w:rPr>
      </w:pPr>
      <m:oMathPara>
        <m:oMath>
          <m:sSub>
            <m:sSubPr>
              <m:ctrlPr>
                <w:rPr>
                  <w:rFonts w:ascii="Cambria Math" w:hAnsi="Cambria Math"/>
                  <w:b/>
                  <w:i/>
                  <w:lang w:val="es-ES_tradnl"/>
                </w:rPr>
              </m:ctrlPr>
            </m:sSubPr>
            <m:e>
              <m:r>
                <m:rPr>
                  <m:nor/>
                </m:rPr>
                <w:rPr>
                  <w:b/>
                  <w:lang w:val="en-US"/>
                </w:rPr>
                <m:t>PQI</m:t>
              </m:r>
            </m:e>
            <m:sub>
              <m:r>
                <m:rPr>
                  <m:nor/>
                </m:rPr>
                <w:rPr>
                  <w:b/>
                  <w:lang w:val="en-US"/>
                </w:rPr>
                <m:t>p</m:t>
              </m:r>
            </m:sub>
          </m:sSub>
          <m:r>
            <m:rPr>
              <m:nor/>
            </m:rPr>
            <w:rPr>
              <w:b/>
              <w:lang w:val="en-US"/>
            </w:rPr>
            <m:t>=</m:t>
          </m:r>
          <m:sSub>
            <m:sSubPr>
              <m:ctrlPr>
                <w:rPr>
                  <w:rFonts w:ascii="Cambria Math" w:hAnsi="Cambria Math"/>
                  <w:b/>
                  <w:i/>
                  <w:lang w:val="es-ES_tradnl"/>
                </w:rPr>
              </m:ctrlPr>
            </m:sSubPr>
            <m:e>
              <m:sSup>
                <m:sSupPr>
                  <m:ctrlPr>
                    <w:rPr>
                      <w:rFonts w:ascii="Cambria Math" w:hAnsi="Cambria Math"/>
                      <w:b/>
                      <w:i/>
                      <w:lang w:val="es-ES_tradnl"/>
                    </w:rPr>
                  </m:ctrlPr>
                </m:sSupPr>
                <m:e>
                  <m:sSub>
                    <m:sSubPr>
                      <m:ctrlPr>
                        <w:rPr>
                          <w:rFonts w:ascii="Cambria Math" w:hAnsi="Cambria Math"/>
                          <w:b/>
                          <w:i/>
                          <w:lang w:val="es-ES_tradnl"/>
                        </w:rPr>
                      </m:ctrlPr>
                    </m:sSubPr>
                    <m:e>
                      <m:r>
                        <m:rPr>
                          <m:nor/>
                        </m:rPr>
                        <w:rPr>
                          <w:b/>
                          <w:lang w:val="en-US"/>
                        </w:rPr>
                        <m:t>CV</m:t>
                      </m:r>
                    </m:e>
                    <m:sub>
                      <m:r>
                        <m:rPr>
                          <m:nor/>
                        </m:rPr>
                        <w:rPr>
                          <w:b/>
                          <w:lang w:val="en-US"/>
                        </w:rPr>
                        <m:t>p</m:t>
                      </m:r>
                    </m:sub>
                  </m:sSub>
                </m:e>
                <m:sup>
                  <m:r>
                    <m:rPr>
                      <m:nor/>
                    </m:rPr>
                    <w:rPr>
                      <w:b/>
                      <w:lang w:val="en-US"/>
                    </w:rPr>
                    <m:t>2</m:t>
                  </m:r>
                </m:sup>
              </m:sSup>
              <m:r>
                <m:rPr>
                  <m:nor/>
                </m:rPr>
                <w:rPr>
                  <w:b/>
                  <w:lang w:val="en-US"/>
                </w:rPr>
                <m:t>·max</m:t>
              </m:r>
              <m:d>
                <m:dPr>
                  <m:begChr m:val="{"/>
                  <m:endChr m:val="}"/>
                  <m:ctrlPr>
                    <w:rPr>
                      <w:rFonts w:ascii="Cambria Math" w:hAnsi="Cambria Math"/>
                      <w:b/>
                      <w:i/>
                      <w:lang w:val="es-ES_tradnl"/>
                    </w:rPr>
                  </m:ctrlPr>
                </m:dPr>
                <m:e>
                  <m:sSub>
                    <m:sSubPr>
                      <m:ctrlPr>
                        <w:rPr>
                          <w:rFonts w:ascii="Cambria Math" w:hAnsi="Cambria Math"/>
                          <w:b/>
                          <w:i/>
                          <w:lang w:val="es-ES_tradnl"/>
                        </w:rPr>
                      </m:ctrlPr>
                    </m:sSubPr>
                    <m:e>
                      <m:r>
                        <m:rPr>
                          <m:nor/>
                        </m:rPr>
                        <w:rPr>
                          <w:b/>
                          <w:lang w:val="en-US"/>
                        </w:rPr>
                        <m:t>length</m:t>
                      </m:r>
                    </m:e>
                    <m:sub>
                      <m:r>
                        <m:rPr>
                          <m:nor/>
                        </m:rPr>
                        <w:rPr>
                          <w:b/>
                          <w:lang w:val="en-US"/>
                        </w:rPr>
                        <m:t>i</m:t>
                      </m:r>
                    </m:sub>
                  </m:sSub>
                  <m:sSub>
                    <m:sSubPr>
                      <m:ctrlPr>
                        <w:rPr>
                          <w:rFonts w:ascii="Cambria Math" w:hAnsi="Cambria Math"/>
                          <w:b/>
                          <w:i/>
                          <w:lang w:val="es-ES_tradnl"/>
                        </w:rPr>
                      </m:ctrlPr>
                    </m:sSubPr>
                    <m:e>
                      <m:r>
                        <m:rPr>
                          <m:nor/>
                        </m:rPr>
                        <w:rPr>
                          <w:b/>
                          <w:lang w:val="en-US"/>
                        </w:rPr>
                        <m:t>-length</m:t>
                      </m:r>
                    </m:e>
                    <m:sub>
                      <m:r>
                        <m:rPr>
                          <m:nor/>
                        </m:rPr>
                        <w:rPr>
                          <w:b/>
                          <w:lang w:val="en-US"/>
                        </w:rPr>
                        <m:t>i+1</m:t>
                      </m:r>
                    </m:sub>
                  </m:sSub>
                </m:e>
              </m:d>
            </m:e>
            <m:sub>
              <m:sSub>
                <m:sSubPr>
                  <m:ctrlPr>
                    <w:rPr>
                      <w:rFonts w:ascii="Cambria Math" w:hAnsi="Cambria Math"/>
                      <w:b/>
                      <w:i/>
                      <w:lang w:val="es-ES_tradnl"/>
                    </w:rPr>
                  </m:ctrlPr>
                </m:sSubPr>
                <m:e>
                  <m:r>
                    <m:rPr>
                      <m:nor/>
                    </m:rPr>
                    <w:rPr>
                      <w:b/>
                      <w:lang w:val="en-US"/>
                    </w:rPr>
                    <m:t>i=1…v</m:t>
                  </m:r>
                </m:e>
                <m:sub>
                  <m:r>
                    <m:rPr>
                      <m:nor/>
                    </m:rPr>
                    <w:rPr>
                      <w:b/>
                      <w:lang w:val="en-US"/>
                    </w:rPr>
                    <m:t>p</m:t>
                  </m:r>
                </m:sub>
              </m:sSub>
              <m:r>
                <m:rPr>
                  <m:nor/>
                </m:rPr>
                <w:rPr>
                  <w:b/>
                  <w:lang w:val="en-US"/>
                </w:rPr>
                <m:t>-1</m:t>
              </m:r>
            </m:sub>
          </m:sSub>
        </m:oMath>
      </m:oMathPara>
    </w:p>
    <w:p w14:paraId="324A788C" w14:textId="4222297F" w:rsidR="00922F2D" w:rsidRPr="007368E1" w:rsidRDefault="0058785D" w:rsidP="00CE1B21">
      <w:r w:rsidRPr="007368E1">
        <w:t>Where “</w:t>
      </w:r>
      <w:proofErr w:type="spellStart"/>
      <w:r w:rsidRPr="007368E1">
        <w:t>i</w:t>
      </w:r>
      <w:proofErr w:type="spellEnd"/>
      <w:r w:rsidRPr="007368E1">
        <w:t>” follows the sides of the polygon in accordance with its decreasing length, “</w:t>
      </w:r>
      <w:proofErr w:type="spellStart"/>
      <w:r w:rsidRPr="007368E1">
        <w:t>v</w:t>
      </w:r>
      <w:r w:rsidRPr="0018763D">
        <w:rPr>
          <w:vertAlign w:val="subscript"/>
        </w:rPr>
        <w:t>p</w:t>
      </w:r>
      <w:proofErr w:type="spellEnd"/>
      <w:r w:rsidRPr="007368E1">
        <w:t xml:space="preserve">” is its number of vertices and </w:t>
      </w:r>
      <w:r w:rsidR="0018763D">
        <w:t>“</w:t>
      </w:r>
      <w:proofErr w:type="spellStart"/>
      <w:r w:rsidRPr="007368E1">
        <w:t>CV</w:t>
      </w:r>
      <w:r w:rsidRPr="0018763D">
        <w:rPr>
          <w:vertAlign w:val="subscript"/>
        </w:rPr>
        <w:t>p</w:t>
      </w:r>
      <w:proofErr w:type="spellEnd"/>
      <w:r w:rsidR="0018763D" w:rsidRPr="0018763D">
        <w:t>”</w:t>
      </w:r>
      <w:r w:rsidRPr="007368E1">
        <w:t xml:space="preserve"> is the variation coefficient of the lengths of the sides; both variables refer to the polygon without taking into account the longest side.</w:t>
      </w:r>
    </w:p>
    <w:p w14:paraId="6DFF6893" w14:textId="77777777" w:rsidR="00922F2D" w:rsidRPr="007368E1" w:rsidRDefault="0058785D" w:rsidP="00922F2D">
      <w:r w:rsidRPr="007368E1">
        <w:t>The indicator, in addition to classifying and identifying the polygons in accordance with their estimated quality, also enables us to calculate the percentage of polygons liable to be erroneous and the percentage of polygons requiring priority revision.</w:t>
      </w:r>
    </w:p>
    <w:p w14:paraId="7A5BC7CF" w14:textId="77777777" w:rsidR="00922F2D" w:rsidRPr="007368E1" w:rsidRDefault="0058785D" w:rsidP="00922F2D">
      <w:r w:rsidRPr="007368E1">
        <w:t>The causes of the existence of anomalous points include poorly assigned roads, confusion between roads of the same name and type and confusion between roads of the same name but of different types.</w:t>
      </w:r>
    </w:p>
    <w:p w14:paraId="2E0D4C82" w14:textId="77777777" w:rsidR="00010675" w:rsidRPr="007368E1" w:rsidRDefault="0058785D" w:rsidP="00922F2D">
      <w:pPr>
        <w:pStyle w:val="Ttol1"/>
      </w:pPr>
      <w:r w:rsidRPr="007368E1">
        <w:t>Results</w:t>
      </w:r>
    </w:p>
    <w:p w14:paraId="4F3CD7E4" w14:textId="77777777" w:rsidR="007B165F" w:rsidRPr="007368E1" w:rsidRDefault="0058785D" w:rsidP="00922F2D">
      <w:pPr>
        <w:pStyle w:val="Text1"/>
        <w:ind w:left="0"/>
      </w:pPr>
      <w:r w:rsidRPr="007368E1">
        <w:t xml:space="preserve">The geocoding process achieves 96% of georeferenced doorways and the validation shows that 93% of the complete addresses are valid. </w:t>
      </w:r>
    </w:p>
    <w:p w14:paraId="6C33164C" w14:textId="77777777" w:rsidR="007F4DB1" w:rsidRPr="007368E1" w:rsidRDefault="0058785D" w:rsidP="00B93DCF">
      <w:pPr>
        <w:pStyle w:val="Text1"/>
        <w:ind w:left="0"/>
      </w:pPr>
      <w:r w:rsidRPr="007368E1">
        <w:t xml:space="preserve">In relation to the quality control, the polygon quality indicator (PQI) creates two groups of interest, determined by </w:t>
      </w:r>
      <w:r w:rsidR="005015C2" w:rsidRPr="007368E1">
        <w:t>two</w:t>
      </w:r>
      <w:r w:rsidRPr="007368E1">
        <w:t xml:space="preserve"> different thresholds:</w:t>
      </w:r>
    </w:p>
    <w:p w14:paraId="7EEB64F5" w14:textId="4BBE3221" w:rsidR="00010675" w:rsidRPr="007368E1" w:rsidRDefault="00D5572E" w:rsidP="0018763D">
      <w:pPr>
        <w:pStyle w:val="Text1"/>
        <w:numPr>
          <w:ilvl w:val="0"/>
          <w:numId w:val="27"/>
        </w:numPr>
      </w:pPr>
      <w:r>
        <w:t>Quality Group 1 (QG</w:t>
      </w:r>
      <w:r w:rsidR="0058785D" w:rsidRPr="007368E1">
        <w:t>1</w:t>
      </w:r>
      <w:r>
        <w:t>)</w:t>
      </w:r>
      <w:r w:rsidR="0058785D" w:rsidRPr="007368E1">
        <w:t xml:space="preserve"> - Erroneous polygons: 90% of sensitivity </w:t>
      </w:r>
    </w:p>
    <w:p w14:paraId="278CF4E1" w14:textId="0083B044" w:rsidR="00010675" w:rsidRPr="007368E1" w:rsidRDefault="00D5572E" w:rsidP="0018763D">
      <w:pPr>
        <w:pStyle w:val="Text1"/>
        <w:numPr>
          <w:ilvl w:val="0"/>
          <w:numId w:val="27"/>
        </w:numPr>
      </w:pPr>
      <w:r>
        <w:t>Quality Group 2 (QG2)</w:t>
      </w:r>
      <w:r w:rsidR="0058785D" w:rsidRPr="007368E1">
        <w:t xml:space="preserve"> - Polygons with a very high likelihood of being erroneous: 95% of specificity, </w:t>
      </w:r>
      <w:r>
        <w:t>QG</w:t>
      </w:r>
      <w:r w:rsidR="0058785D" w:rsidRPr="007368E1">
        <w:t xml:space="preserve">2 </w:t>
      </w:r>
      <w:r w:rsidR="0058785D" w:rsidRPr="007368E1">
        <w:rPr>
          <w:rFonts w:ascii="Symbol" w:hAnsi="Symbol"/>
        </w:rPr>
        <w:sym w:font="Symbol" w:char="F0CD"/>
      </w:r>
      <w:r w:rsidR="0058785D" w:rsidRPr="007368E1">
        <w:t xml:space="preserve"> </w:t>
      </w:r>
      <w:r>
        <w:t>QG</w:t>
      </w:r>
      <w:r w:rsidR="0058785D" w:rsidRPr="007368E1">
        <w:t>1</w:t>
      </w:r>
    </w:p>
    <w:p w14:paraId="659B288A" w14:textId="578E8FA0" w:rsidR="00010675" w:rsidRPr="007368E1" w:rsidRDefault="0058785D" w:rsidP="00B93DCF">
      <w:pPr>
        <w:pStyle w:val="Text1"/>
        <w:ind w:left="0"/>
      </w:pPr>
      <w:r w:rsidRPr="007368E1">
        <w:t xml:space="preserve">In the following </w:t>
      </w:r>
      <w:r w:rsidR="005015C2" w:rsidRPr="007368E1">
        <w:t>cartogram,</w:t>
      </w:r>
      <w:r w:rsidRPr="007368E1">
        <w:t xml:space="preserve"> we can ob</w:t>
      </w:r>
      <w:r w:rsidR="00AD2697">
        <w:t>ser</w:t>
      </w:r>
      <w:r w:rsidRPr="007368E1">
        <w:t xml:space="preserve">ve the results obtained by means of the scores of the polygon quality indicator in this classification. The polygons are represented by different-coloured tonalities, depending on their value: the white polygons are those whose likelihood of containing erroneous points is low, while the reddish polygons are those whose likelihood of containing anomalous points is greater; the darker they are, the greater the likelihood. The last group, </w:t>
      </w:r>
      <w:r w:rsidR="00D5572E">
        <w:t>QG</w:t>
      </w:r>
      <w:r w:rsidRPr="007368E1">
        <w:t>2, the one for priority revision, only affects 2.9% of the polygons of the population.</w:t>
      </w:r>
    </w:p>
    <w:p w14:paraId="0C6F16F2" w14:textId="2BBD0E31" w:rsidR="009C1340" w:rsidRPr="007368E1" w:rsidRDefault="00C268B6" w:rsidP="00CE1B21">
      <w:pPr>
        <w:pStyle w:val="Text1"/>
        <w:ind w:left="0"/>
      </w:pPr>
      <w:r w:rsidRPr="007368E1">
        <w:rPr>
          <w:noProof/>
          <w:lang w:val="ca-ES" w:eastAsia="ca-ES"/>
        </w:rPr>
        <w:lastRenderedPageBreak/>
        <w:drawing>
          <wp:anchor distT="0" distB="0" distL="114300" distR="114300" simplePos="0" relativeHeight="251657728" behindDoc="0" locked="0" layoutInCell="1" allowOverlap="1" wp14:anchorId="73F33D21" wp14:editId="75115A7B">
            <wp:simplePos x="0" y="0"/>
            <wp:positionH relativeFrom="column">
              <wp:align>left</wp:align>
            </wp:positionH>
            <wp:positionV relativeFrom="paragraph">
              <wp:align>top</wp:align>
            </wp:positionV>
            <wp:extent cx="5410835" cy="4131945"/>
            <wp:effectExtent l="0" t="0" r="0" b="1905"/>
            <wp:wrapSquare wrapText="bothSides"/>
            <wp:docPr id="2"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8655" cy="4145611"/>
                    </a:xfrm>
                    <a:prstGeom prst="rect">
                      <a:avLst/>
                    </a:prstGeom>
                    <a:noFill/>
                    <a:ln>
                      <a:noFill/>
                    </a:ln>
                  </pic:spPr>
                </pic:pic>
              </a:graphicData>
            </a:graphic>
            <wp14:sizeRelH relativeFrom="page">
              <wp14:pctWidth>0</wp14:pctWidth>
            </wp14:sizeRelH>
            <wp14:sizeRelV relativeFrom="page">
              <wp14:pctHeight>0</wp14:pctHeight>
            </wp14:sizeRelV>
          </wp:anchor>
        </w:drawing>
      </w:r>
      <w:r w:rsidR="0058785D" w:rsidRPr="007368E1">
        <w:t xml:space="preserve">Figure 1. Cartogram. PQI represented in a municipality of </w:t>
      </w:r>
      <w:r w:rsidR="009E0C2A">
        <w:t>(---)</w:t>
      </w:r>
      <w:r w:rsidR="0058785D" w:rsidRPr="007368E1">
        <w:t>.</w:t>
      </w:r>
    </w:p>
    <w:p w14:paraId="1CCFE91B" w14:textId="77777777" w:rsidR="00BC6AFE" w:rsidRPr="007368E1" w:rsidRDefault="0058785D" w:rsidP="00BC6AFE">
      <w:pPr>
        <w:pStyle w:val="Ttol1"/>
      </w:pPr>
      <w:r w:rsidRPr="007368E1">
        <w:t>Conclusions</w:t>
      </w:r>
    </w:p>
    <w:p w14:paraId="6F2E6435" w14:textId="4A42B5E2" w:rsidR="000B5F90" w:rsidRPr="007368E1" w:rsidRDefault="0058785D" w:rsidP="00922F2D">
      <w:pPr>
        <w:pStyle w:val="Text1"/>
        <w:ind w:left="0"/>
      </w:pPr>
      <w:r w:rsidRPr="007368E1">
        <w:t xml:space="preserve">The Statistical Territory Register of </w:t>
      </w:r>
      <w:r w:rsidR="009E0C2A">
        <w:t>(---)</w:t>
      </w:r>
      <w:r w:rsidRPr="007368E1">
        <w:t xml:space="preserve"> incorporates different sources for the purpose of assigning and validating a territorial identifier for each of the statistical units (people, households, companies and entities). The diversity of the descriptions of the postal addresses in the sources used hinders proper spatial identification of the statistical units. The use of spatial and geometrical methods has proved to be a very powerful instrument when it comes to establishing tables of equivalences between the different sources, as well as validating, detecting errors and establishing quality indicators for the georeferenced addresses.</w:t>
      </w:r>
    </w:p>
    <w:p w14:paraId="20C8487B" w14:textId="77777777" w:rsidR="00BB261C" w:rsidRDefault="00BB261C" w:rsidP="0018763D">
      <w:pPr>
        <w:pStyle w:val="Text1"/>
        <w:ind w:left="357" w:hanging="357"/>
        <w:rPr>
          <w:b/>
          <w:lang w:val="en-US"/>
        </w:rPr>
      </w:pPr>
      <w:r w:rsidRPr="00BB261C">
        <w:rPr>
          <w:b/>
          <w:lang w:val="en-US"/>
        </w:rPr>
        <w:t xml:space="preserve">REFERENCES </w:t>
      </w:r>
    </w:p>
    <w:p w14:paraId="514FC8B1" w14:textId="3E914E6E" w:rsidR="00CF663C" w:rsidRPr="0018763D" w:rsidRDefault="0018763D" w:rsidP="0018763D">
      <w:pPr>
        <w:pStyle w:val="Text1"/>
        <w:ind w:left="357" w:hanging="357"/>
      </w:pPr>
      <w:r>
        <w:t xml:space="preserve">[1] A. </w:t>
      </w:r>
      <w:proofErr w:type="spellStart"/>
      <w:r>
        <w:t>Wallgren</w:t>
      </w:r>
      <w:proofErr w:type="spellEnd"/>
      <w:r>
        <w:t xml:space="preserve">, B. </w:t>
      </w:r>
      <w:proofErr w:type="spellStart"/>
      <w:r>
        <w:t>Wallgren</w:t>
      </w:r>
      <w:proofErr w:type="spellEnd"/>
      <w:r>
        <w:t>,</w:t>
      </w:r>
      <w:r w:rsidR="0058785D" w:rsidRPr="0018763D">
        <w:t xml:space="preserve"> Register Based Statistics.  Wiley and Sons Ltd. </w:t>
      </w:r>
      <w:r w:rsidR="00CF7977">
        <w:t>(</w:t>
      </w:r>
      <w:r w:rsidR="0058785D" w:rsidRPr="0018763D">
        <w:t>2007</w:t>
      </w:r>
      <w:r w:rsidR="00CF7977">
        <w:t>)</w:t>
      </w:r>
    </w:p>
    <w:p w14:paraId="4A7875E2" w14:textId="6C46E3FC" w:rsidR="00F75475" w:rsidRPr="0018763D" w:rsidRDefault="0058785D" w:rsidP="0018763D">
      <w:pPr>
        <w:pStyle w:val="Text1"/>
        <w:ind w:left="357" w:hanging="357"/>
      </w:pPr>
      <w:r w:rsidRPr="0018763D">
        <w:t>[</w:t>
      </w:r>
      <w:r w:rsidR="0018763D" w:rsidRPr="0018763D">
        <w:t>2</w:t>
      </w:r>
      <w:r w:rsidRPr="0018763D">
        <w:t xml:space="preserve">] W. E. Winkler, “Overview of Record Linkage and Current Research Directions". Research Report </w:t>
      </w:r>
      <w:r w:rsidR="00AD2697" w:rsidRPr="0018763D">
        <w:t>ser</w:t>
      </w:r>
      <w:r w:rsidRPr="0018763D">
        <w:t>ies, RRS. (2006).</w:t>
      </w:r>
    </w:p>
    <w:p w14:paraId="0D594E4A" w14:textId="7CDE16DE" w:rsidR="0018763D" w:rsidRPr="0018763D" w:rsidRDefault="0018763D" w:rsidP="0018763D">
      <w:pPr>
        <w:pStyle w:val="Text1"/>
        <w:ind w:left="357" w:hanging="357"/>
      </w:pPr>
      <w:r w:rsidRPr="0018763D">
        <w:t xml:space="preserve">[3] </w:t>
      </w:r>
      <w:r w:rsidR="00CF7977" w:rsidRPr="0018763D">
        <w:t xml:space="preserve">A. </w:t>
      </w:r>
      <w:proofErr w:type="spellStart"/>
      <w:r w:rsidRPr="0018763D">
        <w:t>Lalkhen</w:t>
      </w:r>
      <w:proofErr w:type="spellEnd"/>
      <w:r w:rsidRPr="0018763D">
        <w:t xml:space="preserve">, and </w:t>
      </w:r>
      <w:r w:rsidR="00CF7977" w:rsidRPr="0018763D">
        <w:t>A.</w:t>
      </w:r>
      <w:r w:rsidR="00CF7977">
        <w:t xml:space="preserve"> </w:t>
      </w:r>
      <w:proofErr w:type="spellStart"/>
      <w:r w:rsidR="00CF7977">
        <w:t>McCluskey</w:t>
      </w:r>
      <w:proofErr w:type="spellEnd"/>
      <w:r w:rsidR="00CF7977">
        <w:t>,</w:t>
      </w:r>
      <w:r w:rsidRPr="0018763D">
        <w:t xml:space="preserve"> </w:t>
      </w:r>
      <w:r w:rsidR="00CF7977">
        <w:t>“</w:t>
      </w:r>
      <w:r w:rsidRPr="0018763D">
        <w:t>Clinical tests: sensitivity and specificity</w:t>
      </w:r>
      <w:r w:rsidR="00CF7977">
        <w:t>”</w:t>
      </w:r>
      <w:r w:rsidRPr="0018763D">
        <w:t>. Continuing Education in A</w:t>
      </w:r>
      <w:r w:rsidR="00CF7977">
        <w:t>naesthesia Critical Care &amp; Pain</w:t>
      </w:r>
      <w:r w:rsidRPr="0018763D">
        <w:t xml:space="preserve"> </w:t>
      </w:r>
      <w:r w:rsidR="00CF7977" w:rsidRPr="0018763D">
        <w:t>(2008)</w:t>
      </w:r>
      <w:r w:rsidRPr="0018763D">
        <w:t xml:space="preserve">, </w:t>
      </w:r>
      <w:r w:rsidR="00CF7977" w:rsidRPr="0018763D">
        <w:t>8(6)</w:t>
      </w:r>
      <w:r w:rsidR="00CF7977" w:rsidRPr="00CF7977">
        <w:t xml:space="preserve"> </w:t>
      </w:r>
      <w:r w:rsidRPr="0018763D">
        <w:t>pp.221-223. (https://doi.org/10.1093/bjaceaccp/mkn041)</w:t>
      </w:r>
    </w:p>
    <w:p w14:paraId="0A3C2192" w14:textId="77777777" w:rsidR="0018763D" w:rsidRDefault="0018763D" w:rsidP="00F75475">
      <w:pPr>
        <w:spacing w:after="120" w:line="360" w:lineRule="auto"/>
        <w:rPr>
          <w:rFonts w:ascii="Arial" w:hAnsi="Arial"/>
          <w:sz w:val="20"/>
          <w:lang w:val="en-US"/>
        </w:rPr>
      </w:pPr>
    </w:p>
    <w:p w14:paraId="005D1826" w14:textId="77777777" w:rsidR="0018763D" w:rsidRDefault="0018763D" w:rsidP="00F75475">
      <w:pPr>
        <w:spacing w:after="120" w:line="360" w:lineRule="auto"/>
        <w:rPr>
          <w:rFonts w:ascii="Arial" w:hAnsi="Arial"/>
          <w:sz w:val="20"/>
          <w:lang w:val="en-US"/>
        </w:rPr>
      </w:pPr>
    </w:p>
    <w:p w14:paraId="08B3C758" w14:textId="77777777" w:rsidR="00CF663C" w:rsidRPr="005015C2" w:rsidRDefault="00CF663C" w:rsidP="0018763D">
      <w:pPr>
        <w:pStyle w:val="Text1"/>
        <w:ind w:left="0"/>
        <w:rPr>
          <w:lang w:val="es-ES"/>
        </w:rPr>
      </w:pPr>
    </w:p>
    <w:sectPr w:rsidR="00CF663C" w:rsidRPr="005015C2" w:rsidSect="00BC6AFE">
      <w:footerReference w:type="default" r:id="rId12"/>
      <w:headerReference w:type="first" r:id="rId13"/>
      <w:footerReference w:type="first" r:id="rId14"/>
      <w:pgSz w:w="11906" w:h="16838" w:code="9"/>
      <w:pgMar w:top="1021" w:right="1701" w:bottom="1021" w:left="1588" w:header="601" w:footer="10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4C4701" w14:textId="77777777" w:rsidR="00442132" w:rsidRDefault="00442132">
      <w:pPr>
        <w:spacing w:after="0"/>
      </w:pPr>
      <w:r>
        <w:separator/>
      </w:r>
    </w:p>
  </w:endnote>
  <w:endnote w:type="continuationSeparator" w:id="0">
    <w:p w14:paraId="7A80A003" w14:textId="77777777" w:rsidR="00442132" w:rsidRDefault="004421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6FE2D" w14:textId="77777777" w:rsidR="00D24082" w:rsidRDefault="0058785D">
    <w:pPr>
      <w:pStyle w:val="Peu"/>
      <w:jc w:val="center"/>
    </w:pPr>
    <w:r>
      <w:fldChar w:fldCharType="begin"/>
    </w:r>
    <w:r>
      <w:instrText>PAGE</w:instrText>
    </w:r>
    <w:r>
      <w:fldChar w:fldCharType="separate"/>
    </w:r>
    <w:r w:rsidR="00795F69">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50CB0" w14:textId="77777777" w:rsidR="00D24082" w:rsidRDefault="00D24082">
    <w:pPr>
      <w:pStyle w:val="Peu"/>
      <w:rPr>
        <w:sz w:val="24"/>
        <w:szCs w:val="24"/>
      </w:rPr>
    </w:pPr>
  </w:p>
  <w:p w14:paraId="54148DE8" w14:textId="77777777" w:rsidR="00D24082" w:rsidRDefault="0058785D">
    <w:pPr>
      <w:pStyle w:val="Peu"/>
    </w:pPr>
    <w:r>
      <w:t>European Commission, 2920 Luxembourg, LUXEMBOURG - Tel: +352 43011</w:t>
    </w:r>
    <w:r>
      <w:br/>
      <w:t>Office: BECH A2/160 - Tel: direct line +352 4301-+352-4301-35934 - Fax: +352 4301-+352-4301-33899</w:t>
    </w:r>
  </w:p>
  <w:p w14:paraId="3394F28C" w14:textId="77777777" w:rsidR="00D24082" w:rsidRDefault="00D24082">
    <w:pPr>
      <w:pStyle w:val="Peu"/>
    </w:pPr>
  </w:p>
  <w:p w14:paraId="7429A299" w14:textId="77777777" w:rsidR="00D24082" w:rsidRDefault="0058785D">
    <w:pPr>
      <w:pStyle w:val="Peu"/>
    </w:pPr>
    <w:r>
      <w:t>http://epp.eurostat.ec.europa.eu</w:t>
    </w:r>
  </w:p>
  <w:p w14:paraId="7C4FBB31" w14:textId="77777777" w:rsidR="00D24082" w:rsidRDefault="0058785D">
    <w:pPr>
      <w:pStyle w:val="Peu"/>
    </w:pPr>
    <w:r>
      <w:t>Martin.Karlberg@ec.europa.eu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BAC90B" w14:textId="77777777" w:rsidR="00442132" w:rsidRDefault="00442132">
      <w:pPr>
        <w:spacing w:after="0"/>
      </w:pPr>
      <w:r>
        <w:separator/>
      </w:r>
    </w:p>
  </w:footnote>
  <w:footnote w:type="continuationSeparator" w:id="0">
    <w:p w14:paraId="45A2BF90" w14:textId="77777777" w:rsidR="00442132" w:rsidRDefault="0044213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1CA67" w14:textId="77777777" w:rsidR="00D24082" w:rsidRDefault="00D24082">
    <w:pPr>
      <w:pStyle w:val="Capalera"/>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68029DA"/>
    <w:lvl w:ilvl="0">
      <w:start w:val="1"/>
      <w:numFmt w:val="decimal"/>
      <w:pStyle w:val="Llistanumerada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listaambpics5"/>
      <w:lvlText w:val=""/>
      <w:lvlJc w:val="left"/>
      <w:pPr>
        <w:tabs>
          <w:tab w:val="num" w:pos="1492"/>
        </w:tabs>
        <w:ind w:left="1492" w:hanging="360"/>
      </w:pPr>
      <w:rPr>
        <w:rFonts w:ascii="Symbol" w:hAnsi="Symbol" w:hint="default"/>
      </w:rPr>
    </w:lvl>
  </w:abstractNum>
  <w:abstractNum w:abstractNumId="2" w15:restartNumberingAfterBreak="0">
    <w:nsid w:val="00000003"/>
    <w:multiLevelType w:val="singleLevel"/>
    <w:tmpl w:val="00000003"/>
    <w:name w:val="WW8Num3"/>
    <w:lvl w:ilvl="0">
      <w:start w:val="1"/>
      <w:numFmt w:val="bullet"/>
      <w:pStyle w:val="Referencias"/>
      <w:lvlText w:val=""/>
      <w:lvlJc w:val="left"/>
      <w:pPr>
        <w:tabs>
          <w:tab w:val="num" w:pos="360"/>
        </w:tabs>
        <w:ind w:left="360" w:hanging="360"/>
      </w:pPr>
      <w:rPr>
        <w:rFonts w:ascii="Symbol" w:hAnsi="Symbol" w:cs="Symbol"/>
        <w:color w:val="000000"/>
      </w:rPr>
    </w:lvl>
  </w:abstractNum>
  <w:abstractNum w:abstractNumId="3" w15:restartNumberingAfterBreak="0">
    <w:nsid w:val="055652B5"/>
    <w:multiLevelType w:val="multilevel"/>
    <w:tmpl w:val="B10A6748"/>
    <w:lvl w:ilvl="0">
      <w:start w:val="1"/>
      <w:numFmt w:val="decimal"/>
      <w:pStyle w:val="Llistanumerad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BDD514D"/>
    <w:multiLevelType w:val="hybridMultilevel"/>
    <w:tmpl w:val="69460624"/>
    <w:lvl w:ilvl="0" w:tplc="0868D55C">
      <w:start w:val="1"/>
      <w:numFmt w:val="decimal"/>
      <w:lvlText w:val="[%1]"/>
      <w:lvlJc w:val="left"/>
      <w:pPr>
        <w:ind w:left="720" w:hanging="360"/>
      </w:pPr>
      <w:rPr>
        <w:rFonts w:hint="default"/>
      </w:rPr>
    </w:lvl>
    <w:lvl w:ilvl="1" w:tplc="D24EA672" w:tentative="1">
      <w:start w:val="1"/>
      <w:numFmt w:val="lowerLetter"/>
      <w:lvlText w:val="%2."/>
      <w:lvlJc w:val="left"/>
      <w:pPr>
        <w:ind w:left="1440" w:hanging="360"/>
      </w:pPr>
    </w:lvl>
    <w:lvl w:ilvl="2" w:tplc="EB0267B8" w:tentative="1">
      <w:start w:val="1"/>
      <w:numFmt w:val="lowerRoman"/>
      <w:lvlText w:val="%3."/>
      <w:lvlJc w:val="right"/>
      <w:pPr>
        <w:ind w:left="2160" w:hanging="180"/>
      </w:pPr>
    </w:lvl>
    <w:lvl w:ilvl="3" w:tplc="802ECDD6" w:tentative="1">
      <w:start w:val="1"/>
      <w:numFmt w:val="decimal"/>
      <w:lvlText w:val="%4."/>
      <w:lvlJc w:val="left"/>
      <w:pPr>
        <w:ind w:left="2880" w:hanging="360"/>
      </w:pPr>
    </w:lvl>
    <w:lvl w:ilvl="4" w:tplc="1D1C25F8" w:tentative="1">
      <w:start w:val="1"/>
      <w:numFmt w:val="lowerLetter"/>
      <w:lvlText w:val="%5."/>
      <w:lvlJc w:val="left"/>
      <w:pPr>
        <w:ind w:left="3600" w:hanging="360"/>
      </w:pPr>
    </w:lvl>
    <w:lvl w:ilvl="5" w:tplc="DE7032D4" w:tentative="1">
      <w:start w:val="1"/>
      <w:numFmt w:val="lowerRoman"/>
      <w:lvlText w:val="%6."/>
      <w:lvlJc w:val="right"/>
      <w:pPr>
        <w:ind w:left="4320" w:hanging="180"/>
      </w:pPr>
    </w:lvl>
    <w:lvl w:ilvl="6" w:tplc="4064B01C" w:tentative="1">
      <w:start w:val="1"/>
      <w:numFmt w:val="decimal"/>
      <w:lvlText w:val="%7."/>
      <w:lvlJc w:val="left"/>
      <w:pPr>
        <w:ind w:left="5040" w:hanging="360"/>
      </w:pPr>
    </w:lvl>
    <w:lvl w:ilvl="7" w:tplc="93C6A280" w:tentative="1">
      <w:start w:val="1"/>
      <w:numFmt w:val="lowerLetter"/>
      <w:lvlText w:val="%8."/>
      <w:lvlJc w:val="left"/>
      <w:pPr>
        <w:ind w:left="5760" w:hanging="360"/>
      </w:pPr>
    </w:lvl>
    <w:lvl w:ilvl="8" w:tplc="9858E0DC" w:tentative="1">
      <w:start w:val="1"/>
      <w:numFmt w:val="lowerRoman"/>
      <w:lvlText w:val="%9."/>
      <w:lvlJc w:val="right"/>
      <w:pPr>
        <w:ind w:left="6480" w:hanging="180"/>
      </w:pPr>
    </w:lvl>
  </w:abstractNum>
  <w:abstractNum w:abstractNumId="5" w15:restartNumberingAfterBreak="0">
    <w:nsid w:val="1262685D"/>
    <w:multiLevelType w:val="singleLevel"/>
    <w:tmpl w:val="D96C95A2"/>
    <w:lvl w:ilvl="0">
      <w:start w:val="1"/>
      <w:numFmt w:val="bullet"/>
      <w:pStyle w:val="Llistaambpics4"/>
      <w:lvlText w:val=""/>
      <w:lvlJc w:val="left"/>
      <w:pPr>
        <w:tabs>
          <w:tab w:val="num" w:pos="3163"/>
        </w:tabs>
        <w:ind w:left="3163" w:hanging="283"/>
      </w:pPr>
      <w:rPr>
        <w:rFonts w:ascii="Symbol" w:hAnsi="Symbol"/>
      </w:rPr>
    </w:lvl>
  </w:abstractNum>
  <w:abstractNum w:abstractNumId="6" w15:restartNumberingAfterBreak="0">
    <w:nsid w:val="143D0A16"/>
    <w:multiLevelType w:val="singleLevel"/>
    <w:tmpl w:val="01FA5668"/>
    <w:lvl w:ilvl="0">
      <w:start w:val="1"/>
      <w:numFmt w:val="bullet"/>
      <w:pStyle w:val="Llistaambpics3"/>
      <w:lvlText w:val=""/>
      <w:lvlJc w:val="left"/>
      <w:pPr>
        <w:tabs>
          <w:tab w:val="num" w:pos="2199"/>
        </w:tabs>
        <w:ind w:left="2199" w:hanging="283"/>
      </w:pPr>
      <w:rPr>
        <w:rFonts w:ascii="Symbol" w:hAnsi="Symbol"/>
      </w:rPr>
    </w:lvl>
  </w:abstractNum>
  <w:abstractNum w:abstractNumId="7"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8" w15:restartNumberingAfterBreak="0">
    <w:nsid w:val="2C8D5AD3"/>
    <w:multiLevelType w:val="singleLevel"/>
    <w:tmpl w:val="82EE6B70"/>
    <w:lvl w:ilvl="0">
      <w:start w:val="1"/>
      <w:numFmt w:val="bullet"/>
      <w:pStyle w:val="Llistaambpics2"/>
      <w:lvlText w:val=""/>
      <w:lvlJc w:val="left"/>
      <w:pPr>
        <w:tabs>
          <w:tab w:val="num" w:pos="1360"/>
        </w:tabs>
        <w:ind w:left="1360" w:hanging="283"/>
      </w:pPr>
      <w:rPr>
        <w:rFonts w:ascii="Symbol" w:hAnsi="Symbol"/>
      </w:rPr>
    </w:lvl>
  </w:abstractNum>
  <w:abstractNum w:abstractNumId="9"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0" w15:restartNumberingAfterBreak="0">
    <w:nsid w:val="428415E7"/>
    <w:multiLevelType w:val="multilevel"/>
    <w:tmpl w:val="92100ADA"/>
    <w:lvl w:ilvl="0">
      <w:start w:val="1"/>
      <w:numFmt w:val="decimal"/>
      <w:pStyle w:val="Llistanumerad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5481EA4"/>
    <w:multiLevelType w:val="multilevel"/>
    <w:tmpl w:val="28525E6E"/>
    <w:lvl w:ilvl="0">
      <w:start w:val="1"/>
      <w:numFmt w:val="decimal"/>
      <w:pStyle w:val="Llistanumerad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8860AAB"/>
    <w:multiLevelType w:val="multilevel"/>
    <w:tmpl w:val="E8744BD2"/>
    <w:lvl w:ilvl="0">
      <w:start w:val="1"/>
      <w:numFmt w:val="decimal"/>
      <w:pStyle w:val="Llistanumerad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A432656"/>
    <w:multiLevelType w:val="multilevel"/>
    <w:tmpl w:val="AC885D7A"/>
    <w:lvl w:ilvl="0">
      <w:start w:val="1"/>
      <w:numFmt w:val="decimal"/>
      <w:pStyle w:val="Ttol1"/>
      <w:lvlText w:val="%1."/>
      <w:lvlJc w:val="left"/>
      <w:pPr>
        <w:tabs>
          <w:tab w:val="num" w:pos="480"/>
        </w:tabs>
        <w:ind w:left="480" w:hanging="480"/>
      </w:pPr>
    </w:lvl>
    <w:lvl w:ilvl="1">
      <w:start w:val="1"/>
      <w:numFmt w:val="decimal"/>
      <w:pStyle w:val="Ttol2"/>
      <w:lvlText w:val="%1.%2."/>
      <w:lvlJc w:val="left"/>
      <w:pPr>
        <w:tabs>
          <w:tab w:val="num" w:pos="884"/>
        </w:tabs>
        <w:ind w:left="884" w:hanging="600"/>
      </w:pPr>
    </w:lvl>
    <w:lvl w:ilvl="2">
      <w:start w:val="1"/>
      <w:numFmt w:val="decimal"/>
      <w:pStyle w:val="Ttol3"/>
      <w:lvlText w:val="%1.%2.%3."/>
      <w:lvlJc w:val="left"/>
      <w:pPr>
        <w:tabs>
          <w:tab w:val="num" w:pos="1920"/>
        </w:tabs>
        <w:ind w:left="1920" w:hanging="840"/>
      </w:pPr>
    </w:lvl>
    <w:lvl w:ilvl="3">
      <w:start w:val="1"/>
      <w:numFmt w:val="decimal"/>
      <w:pStyle w:val="Ttol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16F54D4"/>
    <w:multiLevelType w:val="hybridMultilevel"/>
    <w:tmpl w:val="3D10FDB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54BD0BEC"/>
    <w:multiLevelType w:val="singleLevel"/>
    <w:tmpl w:val="72D6F376"/>
    <w:lvl w:ilvl="0">
      <w:start w:val="1"/>
      <w:numFmt w:val="bullet"/>
      <w:pStyle w:val="Llistaambpics"/>
      <w:lvlText w:val=""/>
      <w:lvlJc w:val="left"/>
      <w:pPr>
        <w:tabs>
          <w:tab w:val="num" w:pos="283"/>
        </w:tabs>
        <w:ind w:left="283" w:hanging="283"/>
      </w:pPr>
      <w:rPr>
        <w:rFonts w:ascii="Symbol" w:hAnsi="Symbol"/>
      </w:rPr>
    </w:lvl>
  </w:abstractNum>
  <w:abstractNum w:abstractNumId="17" w15:restartNumberingAfterBreak="0">
    <w:nsid w:val="5B1C7941"/>
    <w:multiLevelType w:val="hybridMultilevel"/>
    <w:tmpl w:val="2D4AE67C"/>
    <w:lvl w:ilvl="0" w:tplc="FF064C3C">
      <w:start w:val="3"/>
      <w:numFmt w:val="decimal"/>
      <w:lvlText w:val="%1"/>
      <w:lvlJc w:val="left"/>
      <w:pPr>
        <w:ind w:left="720" w:hanging="360"/>
      </w:pPr>
      <w:rPr>
        <w:rFonts w:hint="default"/>
      </w:rPr>
    </w:lvl>
    <w:lvl w:ilvl="1" w:tplc="ECFAB994" w:tentative="1">
      <w:start w:val="1"/>
      <w:numFmt w:val="lowerLetter"/>
      <w:lvlText w:val="%2."/>
      <w:lvlJc w:val="left"/>
      <w:pPr>
        <w:ind w:left="1440" w:hanging="360"/>
      </w:pPr>
    </w:lvl>
    <w:lvl w:ilvl="2" w:tplc="16FABC3E" w:tentative="1">
      <w:start w:val="1"/>
      <w:numFmt w:val="lowerRoman"/>
      <w:lvlText w:val="%3."/>
      <w:lvlJc w:val="right"/>
      <w:pPr>
        <w:ind w:left="2160" w:hanging="180"/>
      </w:pPr>
    </w:lvl>
    <w:lvl w:ilvl="3" w:tplc="4F8E916A" w:tentative="1">
      <w:start w:val="1"/>
      <w:numFmt w:val="decimal"/>
      <w:lvlText w:val="%4."/>
      <w:lvlJc w:val="left"/>
      <w:pPr>
        <w:ind w:left="2880" w:hanging="360"/>
      </w:pPr>
    </w:lvl>
    <w:lvl w:ilvl="4" w:tplc="FDB6E5EC" w:tentative="1">
      <w:start w:val="1"/>
      <w:numFmt w:val="lowerLetter"/>
      <w:lvlText w:val="%5."/>
      <w:lvlJc w:val="left"/>
      <w:pPr>
        <w:ind w:left="3600" w:hanging="360"/>
      </w:pPr>
    </w:lvl>
    <w:lvl w:ilvl="5" w:tplc="2C08A7C2" w:tentative="1">
      <w:start w:val="1"/>
      <w:numFmt w:val="lowerRoman"/>
      <w:lvlText w:val="%6."/>
      <w:lvlJc w:val="right"/>
      <w:pPr>
        <w:ind w:left="4320" w:hanging="180"/>
      </w:pPr>
    </w:lvl>
    <w:lvl w:ilvl="6" w:tplc="3BA48C20" w:tentative="1">
      <w:start w:val="1"/>
      <w:numFmt w:val="decimal"/>
      <w:lvlText w:val="%7."/>
      <w:lvlJc w:val="left"/>
      <w:pPr>
        <w:ind w:left="5040" w:hanging="360"/>
      </w:pPr>
    </w:lvl>
    <w:lvl w:ilvl="7" w:tplc="198EC564" w:tentative="1">
      <w:start w:val="1"/>
      <w:numFmt w:val="lowerLetter"/>
      <w:lvlText w:val="%8."/>
      <w:lvlJc w:val="left"/>
      <w:pPr>
        <w:ind w:left="5760" w:hanging="360"/>
      </w:pPr>
    </w:lvl>
    <w:lvl w:ilvl="8" w:tplc="1D9409A8" w:tentative="1">
      <w:start w:val="1"/>
      <w:numFmt w:val="lowerRoman"/>
      <w:lvlText w:val="%9."/>
      <w:lvlJc w:val="right"/>
      <w:pPr>
        <w:ind w:left="6480" w:hanging="180"/>
      </w:pPr>
    </w:lvl>
  </w:abstractNum>
  <w:abstractNum w:abstractNumId="1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9"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0"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1" w15:restartNumberingAfterBreak="0">
    <w:nsid w:val="6AA217E5"/>
    <w:multiLevelType w:val="hybridMultilevel"/>
    <w:tmpl w:val="9EA6B60E"/>
    <w:lvl w:ilvl="0" w:tplc="560C9458">
      <w:start w:val="1"/>
      <w:numFmt w:val="bullet"/>
      <w:lvlText w:val=""/>
      <w:lvlJc w:val="left"/>
      <w:pPr>
        <w:ind w:left="720" w:hanging="360"/>
      </w:pPr>
      <w:rPr>
        <w:rFonts w:ascii="Symbol" w:hAnsi="Symbol" w:hint="default"/>
      </w:rPr>
    </w:lvl>
    <w:lvl w:ilvl="1" w:tplc="9EB88D12">
      <w:start w:val="1"/>
      <w:numFmt w:val="bullet"/>
      <w:lvlText w:val="o"/>
      <w:lvlJc w:val="left"/>
      <w:pPr>
        <w:ind w:left="1440" w:hanging="360"/>
      </w:pPr>
      <w:rPr>
        <w:rFonts w:ascii="Courier New" w:hAnsi="Courier New" w:cs="Courier New" w:hint="default"/>
      </w:rPr>
    </w:lvl>
    <w:lvl w:ilvl="2" w:tplc="97589B16">
      <w:start w:val="1"/>
      <w:numFmt w:val="bullet"/>
      <w:lvlText w:val=""/>
      <w:lvlJc w:val="left"/>
      <w:pPr>
        <w:ind w:left="2160" w:hanging="360"/>
      </w:pPr>
      <w:rPr>
        <w:rFonts w:ascii="Wingdings" w:hAnsi="Wingdings" w:hint="default"/>
      </w:rPr>
    </w:lvl>
    <w:lvl w:ilvl="3" w:tplc="39FE4E9C">
      <w:start w:val="1"/>
      <w:numFmt w:val="bullet"/>
      <w:lvlText w:val=""/>
      <w:lvlJc w:val="left"/>
      <w:pPr>
        <w:ind w:left="2880" w:hanging="360"/>
      </w:pPr>
      <w:rPr>
        <w:rFonts w:ascii="Symbol" w:hAnsi="Symbol" w:hint="default"/>
      </w:rPr>
    </w:lvl>
    <w:lvl w:ilvl="4" w:tplc="4704B3C4">
      <w:start w:val="1"/>
      <w:numFmt w:val="bullet"/>
      <w:lvlText w:val="o"/>
      <w:lvlJc w:val="left"/>
      <w:pPr>
        <w:ind w:left="3600" w:hanging="360"/>
      </w:pPr>
      <w:rPr>
        <w:rFonts w:ascii="Courier New" w:hAnsi="Courier New" w:cs="Courier New" w:hint="default"/>
      </w:rPr>
    </w:lvl>
    <w:lvl w:ilvl="5" w:tplc="F844CC12">
      <w:start w:val="1"/>
      <w:numFmt w:val="bullet"/>
      <w:lvlText w:val=""/>
      <w:lvlJc w:val="left"/>
      <w:pPr>
        <w:ind w:left="4320" w:hanging="360"/>
      </w:pPr>
      <w:rPr>
        <w:rFonts w:ascii="Wingdings" w:hAnsi="Wingdings" w:hint="default"/>
      </w:rPr>
    </w:lvl>
    <w:lvl w:ilvl="6" w:tplc="55DE90DA">
      <w:start w:val="1"/>
      <w:numFmt w:val="bullet"/>
      <w:lvlText w:val=""/>
      <w:lvlJc w:val="left"/>
      <w:pPr>
        <w:ind w:left="5040" w:hanging="360"/>
      </w:pPr>
      <w:rPr>
        <w:rFonts w:ascii="Symbol" w:hAnsi="Symbol" w:hint="default"/>
      </w:rPr>
    </w:lvl>
    <w:lvl w:ilvl="7" w:tplc="6A720FA6">
      <w:start w:val="1"/>
      <w:numFmt w:val="bullet"/>
      <w:lvlText w:val="o"/>
      <w:lvlJc w:val="left"/>
      <w:pPr>
        <w:ind w:left="5760" w:hanging="360"/>
      </w:pPr>
      <w:rPr>
        <w:rFonts w:ascii="Courier New" w:hAnsi="Courier New" w:cs="Courier New" w:hint="default"/>
      </w:rPr>
    </w:lvl>
    <w:lvl w:ilvl="8" w:tplc="C096F2B6">
      <w:start w:val="1"/>
      <w:numFmt w:val="bullet"/>
      <w:lvlText w:val=""/>
      <w:lvlJc w:val="left"/>
      <w:pPr>
        <w:ind w:left="6480" w:hanging="360"/>
      </w:pPr>
      <w:rPr>
        <w:rFonts w:ascii="Wingdings" w:hAnsi="Wingdings" w:hint="default"/>
      </w:rPr>
    </w:lvl>
  </w:abstractNum>
  <w:abstractNum w:abstractNumId="22"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3" w15:restartNumberingAfterBreak="0">
    <w:nsid w:val="732E7E71"/>
    <w:multiLevelType w:val="hybridMultilevel"/>
    <w:tmpl w:val="C5A261F2"/>
    <w:lvl w:ilvl="0" w:tplc="8A6CC280">
      <w:start w:val="1"/>
      <w:numFmt w:val="bullet"/>
      <w:lvlText w:val="-"/>
      <w:lvlJc w:val="left"/>
      <w:pPr>
        <w:ind w:left="720" w:hanging="360"/>
      </w:pPr>
      <w:rPr>
        <w:rFonts w:ascii="Times New Roman" w:eastAsia="Times New Roman" w:hAnsi="Times New Roman" w:cs="Times New Roman" w:hint="default"/>
      </w:rPr>
    </w:lvl>
    <w:lvl w:ilvl="1" w:tplc="2C702C9A" w:tentative="1">
      <w:start w:val="1"/>
      <w:numFmt w:val="bullet"/>
      <w:lvlText w:val="o"/>
      <w:lvlJc w:val="left"/>
      <w:pPr>
        <w:ind w:left="1440" w:hanging="360"/>
      </w:pPr>
      <w:rPr>
        <w:rFonts w:ascii="Courier New" w:hAnsi="Courier New" w:cs="Courier New" w:hint="default"/>
      </w:rPr>
    </w:lvl>
    <w:lvl w:ilvl="2" w:tplc="819233A2" w:tentative="1">
      <w:start w:val="1"/>
      <w:numFmt w:val="bullet"/>
      <w:lvlText w:val=""/>
      <w:lvlJc w:val="left"/>
      <w:pPr>
        <w:ind w:left="2160" w:hanging="360"/>
      </w:pPr>
      <w:rPr>
        <w:rFonts w:ascii="Wingdings" w:hAnsi="Wingdings" w:hint="default"/>
      </w:rPr>
    </w:lvl>
    <w:lvl w:ilvl="3" w:tplc="4CEC80F4" w:tentative="1">
      <w:start w:val="1"/>
      <w:numFmt w:val="bullet"/>
      <w:lvlText w:val=""/>
      <w:lvlJc w:val="left"/>
      <w:pPr>
        <w:ind w:left="2880" w:hanging="360"/>
      </w:pPr>
      <w:rPr>
        <w:rFonts w:ascii="Symbol" w:hAnsi="Symbol" w:hint="default"/>
      </w:rPr>
    </w:lvl>
    <w:lvl w:ilvl="4" w:tplc="893C4DE0" w:tentative="1">
      <w:start w:val="1"/>
      <w:numFmt w:val="bullet"/>
      <w:lvlText w:val="o"/>
      <w:lvlJc w:val="left"/>
      <w:pPr>
        <w:ind w:left="3600" w:hanging="360"/>
      </w:pPr>
      <w:rPr>
        <w:rFonts w:ascii="Courier New" w:hAnsi="Courier New" w:cs="Courier New" w:hint="default"/>
      </w:rPr>
    </w:lvl>
    <w:lvl w:ilvl="5" w:tplc="DDA216F4" w:tentative="1">
      <w:start w:val="1"/>
      <w:numFmt w:val="bullet"/>
      <w:lvlText w:val=""/>
      <w:lvlJc w:val="left"/>
      <w:pPr>
        <w:ind w:left="4320" w:hanging="360"/>
      </w:pPr>
      <w:rPr>
        <w:rFonts w:ascii="Wingdings" w:hAnsi="Wingdings" w:hint="default"/>
      </w:rPr>
    </w:lvl>
    <w:lvl w:ilvl="6" w:tplc="FE5CC7BE" w:tentative="1">
      <w:start w:val="1"/>
      <w:numFmt w:val="bullet"/>
      <w:lvlText w:val=""/>
      <w:lvlJc w:val="left"/>
      <w:pPr>
        <w:ind w:left="5040" w:hanging="360"/>
      </w:pPr>
      <w:rPr>
        <w:rFonts w:ascii="Symbol" w:hAnsi="Symbol" w:hint="default"/>
      </w:rPr>
    </w:lvl>
    <w:lvl w:ilvl="7" w:tplc="6ABE6FA8" w:tentative="1">
      <w:start w:val="1"/>
      <w:numFmt w:val="bullet"/>
      <w:lvlText w:val="o"/>
      <w:lvlJc w:val="left"/>
      <w:pPr>
        <w:ind w:left="5760" w:hanging="360"/>
      </w:pPr>
      <w:rPr>
        <w:rFonts w:ascii="Courier New" w:hAnsi="Courier New" w:cs="Courier New" w:hint="default"/>
      </w:rPr>
    </w:lvl>
    <w:lvl w:ilvl="8" w:tplc="DB3C126E" w:tentative="1">
      <w:start w:val="1"/>
      <w:numFmt w:val="bullet"/>
      <w:lvlText w:val=""/>
      <w:lvlJc w:val="left"/>
      <w:pPr>
        <w:ind w:left="6480" w:hanging="360"/>
      </w:pPr>
      <w:rPr>
        <w:rFonts w:ascii="Wingdings" w:hAnsi="Wingdings" w:hint="default"/>
      </w:rPr>
    </w:lvl>
  </w:abstractNum>
  <w:abstractNum w:abstractNumId="24" w15:restartNumberingAfterBreak="0">
    <w:nsid w:val="758D7906"/>
    <w:multiLevelType w:val="hybridMultilevel"/>
    <w:tmpl w:val="642A330C"/>
    <w:lvl w:ilvl="0" w:tplc="7CA8BF84">
      <w:start w:val="1"/>
      <w:numFmt w:val="decimal"/>
      <w:lvlText w:val="%1."/>
      <w:lvlJc w:val="left"/>
      <w:pPr>
        <w:ind w:left="720" w:hanging="360"/>
      </w:pPr>
    </w:lvl>
    <w:lvl w:ilvl="1" w:tplc="ACA60720" w:tentative="1">
      <w:start w:val="1"/>
      <w:numFmt w:val="lowerLetter"/>
      <w:lvlText w:val="%2."/>
      <w:lvlJc w:val="left"/>
      <w:pPr>
        <w:ind w:left="1440" w:hanging="360"/>
      </w:pPr>
    </w:lvl>
    <w:lvl w:ilvl="2" w:tplc="C6C28812" w:tentative="1">
      <w:start w:val="1"/>
      <w:numFmt w:val="lowerRoman"/>
      <w:lvlText w:val="%3."/>
      <w:lvlJc w:val="right"/>
      <w:pPr>
        <w:ind w:left="2160" w:hanging="180"/>
      </w:pPr>
    </w:lvl>
    <w:lvl w:ilvl="3" w:tplc="B728153E" w:tentative="1">
      <w:start w:val="1"/>
      <w:numFmt w:val="decimal"/>
      <w:lvlText w:val="%4."/>
      <w:lvlJc w:val="left"/>
      <w:pPr>
        <w:ind w:left="2880" w:hanging="360"/>
      </w:pPr>
    </w:lvl>
    <w:lvl w:ilvl="4" w:tplc="60446FBC" w:tentative="1">
      <w:start w:val="1"/>
      <w:numFmt w:val="lowerLetter"/>
      <w:lvlText w:val="%5."/>
      <w:lvlJc w:val="left"/>
      <w:pPr>
        <w:ind w:left="3600" w:hanging="360"/>
      </w:pPr>
    </w:lvl>
    <w:lvl w:ilvl="5" w:tplc="21B0E488" w:tentative="1">
      <w:start w:val="1"/>
      <w:numFmt w:val="lowerRoman"/>
      <w:lvlText w:val="%6."/>
      <w:lvlJc w:val="right"/>
      <w:pPr>
        <w:ind w:left="4320" w:hanging="180"/>
      </w:pPr>
    </w:lvl>
    <w:lvl w:ilvl="6" w:tplc="CC0CA190" w:tentative="1">
      <w:start w:val="1"/>
      <w:numFmt w:val="decimal"/>
      <w:lvlText w:val="%7."/>
      <w:lvlJc w:val="left"/>
      <w:pPr>
        <w:ind w:left="5040" w:hanging="360"/>
      </w:pPr>
    </w:lvl>
    <w:lvl w:ilvl="7" w:tplc="84007C60" w:tentative="1">
      <w:start w:val="1"/>
      <w:numFmt w:val="lowerLetter"/>
      <w:lvlText w:val="%8."/>
      <w:lvlJc w:val="left"/>
      <w:pPr>
        <w:ind w:left="5760" w:hanging="360"/>
      </w:pPr>
    </w:lvl>
    <w:lvl w:ilvl="8" w:tplc="F5021232" w:tentative="1">
      <w:start w:val="1"/>
      <w:numFmt w:val="lowerRoman"/>
      <w:lvlText w:val="%9."/>
      <w:lvlJc w:val="right"/>
      <w:pPr>
        <w:ind w:left="6480" w:hanging="180"/>
      </w:pPr>
    </w:lvl>
  </w:abstractNum>
  <w:num w:numId="1">
    <w:abstractNumId w:val="1"/>
  </w:num>
  <w:num w:numId="2">
    <w:abstractNumId w:val="0"/>
  </w:num>
  <w:num w:numId="3">
    <w:abstractNumId w:val="14"/>
  </w:num>
  <w:num w:numId="4">
    <w:abstractNumId w:val="16"/>
  </w:num>
  <w:num w:numId="5">
    <w:abstractNumId w:val="9"/>
  </w:num>
  <w:num w:numId="6">
    <w:abstractNumId w:val="8"/>
  </w:num>
  <w:num w:numId="7">
    <w:abstractNumId w:val="6"/>
  </w:num>
  <w:num w:numId="8">
    <w:abstractNumId w:val="5"/>
  </w:num>
  <w:num w:numId="9">
    <w:abstractNumId w:val="18"/>
  </w:num>
  <w:num w:numId="10">
    <w:abstractNumId w:val="20"/>
  </w:num>
  <w:num w:numId="11">
    <w:abstractNumId w:val="19"/>
  </w:num>
  <w:num w:numId="12">
    <w:abstractNumId w:val="22"/>
  </w:num>
  <w:num w:numId="13">
    <w:abstractNumId w:val="7"/>
  </w:num>
  <w:num w:numId="14">
    <w:abstractNumId w:val="10"/>
  </w:num>
  <w:num w:numId="15">
    <w:abstractNumId w:val="12"/>
  </w:num>
  <w:num w:numId="16">
    <w:abstractNumId w:val="11"/>
  </w:num>
  <w:num w:numId="17">
    <w:abstractNumId w:val="3"/>
  </w:num>
  <w:num w:numId="18">
    <w:abstractNumId w:val="13"/>
  </w:num>
  <w:num w:numId="19">
    <w:abstractNumId w:val="14"/>
  </w:num>
  <w:num w:numId="20">
    <w:abstractNumId w:val="4"/>
  </w:num>
  <w:num w:numId="21">
    <w:abstractNumId w:val="23"/>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7"/>
  </w:num>
  <w:num w:numId="25">
    <w:abstractNumId w:val="2"/>
  </w:num>
  <w:num w:numId="26">
    <w:abstractNumId w:val="24"/>
  </w:num>
  <w:num w:numId="27">
    <w:abstractNumId w:val="15"/>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T"/>
  </w:docVars>
  <w:rsids>
    <w:rsidRoot w:val="00F45F39"/>
    <w:rsid w:val="00000453"/>
    <w:rsid w:val="00010675"/>
    <w:rsid w:val="00013D11"/>
    <w:rsid w:val="000642A1"/>
    <w:rsid w:val="000B5F90"/>
    <w:rsid w:val="000F7438"/>
    <w:rsid w:val="00127067"/>
    <w:rsid w:val="00161599"/>
    <w:rsid w:val="001857CF"/>
    <w:rsid w:val="0018763D"/>
    <w:rsid w:val="001B50CE"/>
    <w:rsid w:val="002012A8"/>
    <w:rsid w:val="00243A2C"/>
    <w:rsid w:val="002657B9"/>
    <w:rsid w:val="002729F2"/>
    <w:rsid w:val="002821AA"/>
    <w:rsid w:val="002A123C"/>
    <w:rsid w:val="002D0DC0"/>
    <w:rsid w:val="002D7BA1"/>
    <w:rsid w:val="002F01C8"/>
    <w:rsid w:val="00332D6F"/>
    <w:rsid w:val="003600BC"/>
    <w:rsid w:val="00384F86"/>
    <w:rsid w:val="003D30B8"/>
    <w:rsid w:val="00440184"/>
    <w:rsid w:val="00442132"/>
    <w:rsid w:val="00486CB2"/>
    <w:rsid w:val="004A042A"/>
    <w:rsid w:val="004C0797"/>
    <w:rsid w:val="005015C2"/>
    <w:rsid w:val="00573E28"/>
    <w:rsid w:val="0058785D"/>
    <w:rsid w:val="00591685"/>
    <w:rsid w:val="005B09D3"/>
    <w:rsid w:val="005B4EA5"/>
    <w:rsid w:val="005B78A3"/>
    <w:rsid w:val="005D7FC5"/>
    <w:rsid w:val="006312AF"/>
    <w:rsid w:val="006875D6"/>
    <w:rsid w:val="006E6225"/>
    <w:rsid w:val="00714F43"/>
    <w:rsid w:val="007368E1"/>
    <w:rsid w:val="007828EA"/>
    <w:rsid w:val="00795AF4"/>
    <w:rsid w:val="00795F69"/>
    <w:rsid w:val="007B165F"/>
    <w:rsid w:val="007C0703"/>
    <w:rsid w:val="007F4DB1"/>
    <w:rsid w:val="00804726"/>
    <w:rsid w:val="0081668A"/>
    <w:rsid w:val="00820BDC"/>
    <w:rsid w:val="0086390C"/>
    <w:rsid w:val="008847C3"/>
    <w:rsid w:val="00894E0B"/>
    <w:rsid w:val="008A3986"/>
    <w:rsid w:val="008A75D0"/>
    <w:rsid w:val="008E29ED"/>
    <w:rsid w:val="009207CC"/>
    <w:rsid w:val="00922F2D"/>
    <w:rsid w:val="00923850"/>
    <w:rsid w:val="00933DC8"/>
    <w:rsid w:val="00962751"/>
    <w:rsid w:val="009A41E5"/>
    <w:rsid w:val="009B4EE0"/>
    <w:rsid w:val="009B52C7"/>
    <w:rsid w:val="009C1340"/>
    <w:rsid w:val="009D45AB"/>
    <w:rsid w:val="009E0C2A"/>
    <w:rsid w:val="009E2671"/>
    <w:rsid w:val="00A04E9E"/>
    <w:rsid w:val="00A17E8C"/>
    <w:rsid w:val="00A532F2"/>
    <w:rsid w:val="00A67695"/>
    <w:rsid w:val="00A91D68"/>
    <w:rsid w:val="00AB4423"/>
    <w:rsid w:val="00AB5AD6"/>
    <w:rsid w:val="00AC7543"/>
    <w:rsid w:val="00AC79F5"/>
    <w:rsid w:val="00AD2697"/>
    <w:rsid w:val="00AD3649"/>
    <w:rsid w:val="00B93DCF"/>
    <w:rsid w:val="00B9492F"/>
    <w:rsid w:val="00BB261C"/>
    <w:rsid w:val="00BC17F5"/>
    <w:rsid w:val="00BC6AFE"/>
    <w:rsid w:val="00BD04CB"/>
    <w:rsid w:val="00BD4AD1"/>
    <w:rsid w:val="00C268B6"/>
    <w:rsid w:val="00C35978"/>
    <w:rsid w:val="00C6271B"/>
    <w:rsid w:val="00C77FA8"/>
    <w:rsid w:val="00C82CCA"/>
    <w:rsid w:val="00CA7E38"/>
    <w:rsid w:val="00CE1B21"/>
    <w:rsid w:val="00CF3E2E"/>
    <w:rsid w:val="00CF663C"/>
    <w:rsid w:val="00CF7977"/>
    <w:rsid w:val="00D24082"/>
    <w:rsid w:val="00D4778F"/>
    <w:rsid w:val="00D52EA1"/>
    <w:rsid w:val="00D5572E"/>
    <w:rsid w:val="00DB44D8"/>
    <w:rsid w:val="00DB601E"/>
    <w:rsid w:val="00DC1EFD"/>
    <w:rsid w:val="00DC5C31"/>
    <w:rsid w:val="00E128EE"/>
    <w:rsid w:val="00EE55D9"/>
    <w:rsid w:val="00EE56FA"/>
    <w:rsid w:val="00F45F39"/>
    <w:rsid w:val="00F63B86"/>
    <w:rsid w:val="00F75475"/>
    <w:rsid w:val="00FC6C88"/>
    <w:rsid w:val="00FF469B"/>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7DAD0D"/>
  <w15:chartTrackingRefBased/>
  <w15:docId w15:val="{A1EBB0EE-E8AB-45F6-A48E-43FF9F89F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a-ES" w:eastAsia="ca-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EA1"/>
    <w:pPr>
      <w:spacing w:after="240"/>
      <w:jc w:val="both"/>
    </w:pPr>
    <w:rPr>
      <w:sz w:val="24"/>
      <w:lang w:val="en-GB" w:eastAsia="en-US"/>
    </w:rPr>
  </w:style>
  <w:style w:type="paragraph" w:styleId="Ttol1">
    <w:name w:val="heading 1"/>
    <w:basedOn w:val="Normal"/>
    <w:next w:val="Text1"/>
    <w:link w:val="Ttol1Car"/>
    <w:qFormat/>
    <w:pPr>
      <w:keepNext/>
      <w:numPr>
        <w:numId w:val="3"/>
      </w:numPr>
      <w:spacing w:before="240"/>
      <w:outlineLvl w:val="0"/>
    </w:pPr>
    <w:rPr>
      <w:b/>
      <w:smallCaps/>
    </w:rPr>
  </w:style>
  <w:style w:type="paragraph" w:styleId="Ttol2">
    <w:name w:val="heading 2"/>
    <w:basedOn w:val="Normal"/>
    <w:next w:val="Text2"/>
    <w:link w:val="Ttol2Car"/>
    <w:qFormat/>
    <w:pPr>
      <w:keepNext/>
      <w:numPr>
        <w:ilvl w:val="1"/>
        <w:numId w:val="3"/>
      </w:numPr>
      <w:outlineLvl w:val="1"/>
    </w:pPr>
    <w:rPr>
      <w:b/>
    </w:rPr>
  </w:style>
  <w:style w:type="paragraph" w:styleId="Ttol3">
    <w:name w:val="heading 3"/>
    <w:basedOn w:val="Normal"/>
    <w:next w:val="Text3"/>
    <w:qFormat/>
    <w:pPr>
      <w:keepNext/>
      <w:numPr>
        <w:ilvl w:val="2"/>
        <w:numId w:val="3"/>
      </w:numPr>
      <w:outlineLvl w:val="2"/>
    </w:pPr>
    <w:rPr>
      <w:i/>
    </w:rPr>
  </w:style>
  <w:style w:type="paragraph" w:styleId="Ttol4">
    <w:name w:val="heading 4"/>
    <w:basedOn w:val="Normal"/>
    <w:next w:val="Text4"/>
    <w:qFormat/>
    <w:pPr>
      <w:keepNext/>
      <w:numPr>
        <w:ilvl w:val="3"/>
        <w:numId w:val="3"/>
      </w:numPr>
      <w:outlineLvl w:val="3"/>
    </w:pPr>
  </w:style>
  <w:style w:type="paragraph" w:styleId="Ttol5">
    <w:name w:val="heading 5"/>
    <w:basedOn w:val="Normal"/>
    <w:next w:val="Normal"/>
    <w:qFormat/>
    <w:pPr>
      <w:spacing w:before="240" w:after="60"/>
      <w:ind w:left="3332" w:hanging="708"/>
      <w:outlineLvl w:val="4"/>
    </w:pPr>
    <w:rPr>
      <w:rFonts w:ascii="Arial" w:hAnsi="Arial"/>
      <w:sz w:val="22"/>
    </w:rPr>
  </w:style>
  <w:style w:type="paragraph" w:styleId="Ttol6">
    <w:name w:val="heading 6"/>
    <w:basedOn w:val="Normal"/>
    <w:next w:val="Normal"/>
    <w:qFormat/>
    <w:pPr>
      <w:spacing w:before="240" w:after="60"/>
      <w:ind w:left="4040" w:hanging="708"/>
      <w:outlineLvl w:val="5"/>
    </w:pPr>
    <w:rPr>
      <w:rFonts w:ascii="Arial" w:hAnsi="Arial"/>
      <w:i/>
      <w:sz w:val="22"/>
    </w:rPr>
  </w:style>
  <w:style w:type="paragraph" w:styleId="Ttol7">
    <w:name w:val="heading 7"/>
    <w:basedOn w:val="Normal"/>
    <w:next w:val="Normal"/>
    <w:qFormat/>
    <w:pPr>
      <w:spacing w:before="240" w:after="60"/>
      <w:ind w:left="4748" w:hanging="708"/>
      <w:outlineLvl w:val="6"/>
    </w:pPr>
    <w:rPr>
      <w:rFonts w:ascii="Arial" w:hAnsi="Arial"/>
      <w:sz w:val="20"/>
    </w:rPr>
  </w:style>
  <w:style w:type="paragraph" w:styleId="Ttol8">
    <w:name w:val="heading 8"/>
    <w:basedOn w:val="Normal"/>
    <w:next w:val="Normal"/>
    <w:qFormat/>
    <w:pPr>
      <w:spacing w:before="240" w:after="60"/>
      <w:ind w:left="5456" w:hanging="708"/>
      <w:outlineLvl w:val="7"/>
    </w:pPr>
    <w:rPr>
      <w:rFonts w:ascii="Arial" w:hAnsi="Arial"/>
      <w:i/>
      <w:sz w:val="20"/>
    </w:rPr>
  </w:style>
  <w:style w:type="paragraph" w:styleId="Ttol9">
    <w:name w:val="heading 9"/>
    <w:basedOn w:val="Normal"/>
    <w:next w:val="Normal"/>
    <w:qFormat/>
    <w:pPr>
      <w:spacing w:before="240" w:after="60"/>
      <w:ind w:left="6164" w:hanging="708"/>
      <w:outlineLvl w:val="8"/>
    </w:pPr>
    <w:rPr>
      <w:rFonts w:ascii="Arial" w:hAnsi="Arial"/>
      <w:i/>
      <w:sz w:val="18"/>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Textdebloc">
    <w:name w:val="Block Text"/>
    <w:basedOn w:val="Normal"/>
    <w:pPr>
      <w:spacing w:after="120"/>
      <w:ind w:left="1440" w:right="1440"/>
    </w:pPr>
  </w:style>
  <w:style w:type="paragraph" w:styleId="Textindependent">
    <w:name w:val="Body Text"/>
    <w:basedOn w:val="Normal"/>
    <w:pPr>
      <w:spacing w:after="120"/>
    </w:pPr>
  </w:style>
  <w:style w:type="paragraph" w:styleId="Textindependent2">
    <w:name w:val="Body Text 2"/>
    <w:basedOn w:val="Normal"/>
    <w:pPr>
      <w:spacing w:after="120" w:line="480" w:lineRule="auto"/>
    </w:pPr>
  </w:style>
  <w:style w:type="paragraph" w:styleId="Textindependent3">
    <w:name w:val="Body Text 3"/>
    <w:basedOn w:val="Normal"/>
    <w:pPr>
      <w:spacing w:after="120"/>
    </w:pPr>
    <w:rPr>
      <w:sz w:val="16"/>
    </w:rPr>
  </w:style>
  <w:style w:type="paragraph" w:styleId="Primerasagniadetextindependent">
    <w:name w:val="Body Text First Indent"/>
    <w:basedOn w:val="Textindependent"/>
    <w:pPr>
      <w:ind w:firstLine="210"/>
    </w:pPr>
  </w:style>
  <w:style w:type="paragraph" w:styleId="Sagniadetextindependent">
    <w:name w:val="Body Text Indent"/>
    <w:basedOn w:val="Normal"/>
    <w:pPr>
      <w:spacing w:after="120"/>
      <w:ind w:left="283"/>
    </w:pPr>
  </w:style>
  <w:style w:type="paragraph" w:styleId="Primerasagniadetextindependent2">
    <w:name w:val="Body Text First Indent 2"/>
    <w:basedOn w:val="Sagniadetextindependent"/>
    <w:pPr>
      <w:ind w:firstLine="210"/>
    </w:pPr>
  </w:style>
  <w:style w:type="paragraph" w:styleId="Sagniadetextindependent2">
    <w:name w:val="Body Text Indent 2"/>
    <w:basedOn w:val="Normal"/>
    <w:pPr>
      <w:spacing w:after="120" w:line="480" w:lineRule="auto"/>
      <w:ind w:left="283"/>
    </w:pPr>
  </w:style>
  <w:style w:type="paragraph" w:styleId="Sagniadetextindependent3">
    <w:name w:val="Body Text Indent 3"/>
    <w:basedOn w:val="Normal"/>
    <w:pPr>
      <w:spacing w:after="120"/>
      <w:ind w:left="283"/>
    </w:pPr>
    <w:rPr>
      <w:sz w:val="16"/>
    </w:rPr>
  </w:style>
  <w:style w:type="paragraph" w:styleId="Llegenda">
    <w:name w:val="caption"/>
    <w:basedOn w:val="Normal"/>
    <w:next w:val="Normal"/>
    <w:qFormat/>
    <w:pPr>
      <w:spacing w:before="120" w:after="120"/>
    </w:pPr>
    <w:rPr>
      <w:b/>
    </w:rPr>
  </w:style>
  <w:style w:type="paragraph" w:styleId="Comiat">
    <w:name w:val="Closing"/>
    <w:basedOn w:val="Normal"/>
    <w:next w:val="Signatura"/>
    <w:pPr>
      <w:tabs>
        <w:tab w:val="left" w:pos="5103"/>
      </w:tabs>
      <w:spacing w:before="240"/>
      <w:ind w:left="5103"/>
      <w:jc w:val="left"/>
    </w:pPr>
  </w:style>
  <w:style w:type="paragraph" w:styleId="Signatura">
    <w:name w:val="Signature"/>
    <w:basedOn w:val="Normal"/>
    <w:next w:val="Contact"/>
    <w:link w:val="SignaturaCar"/>
    <w:uiPriority w:val="99"/>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Textdecomentari">
    <w:name w:val="annotation text"/>
    <w:basedOn w:val="Normal"/>
    <w:link w:val="TextdecomentariCar"/>
    <w:semiHidden/>
    <w:rPr>
      <w:sz w:val="20"/>
    </w:rPr>
  </w:style>
  <w:style w:type="paragraph" w:styleId="Data">
    <w:name w:val="Date"/>
    <w:basedOn w:val="Normal"/>
    <w:next w:val="References"/>
    <w:link w:val="DataC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Mapadeldocument">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Textdenotaalfinal">
    <w:name w:val="endnote text"/>
    <w:basedOn w:val="Normal"/>
    <w:semiHidden/>
    <w:rPr>
      <w:sz w:val="20"/>
    </w:rPr>
  </w:style>
  <w:style w:type="paragraph" w:styleId="Adreadelsobre">
    <w:name w:val="envelope address"/>
    <w:basedOn w:val="Normal"/>
    <w:pPr>
      <w:framePr w:w="7920" w:h="1980" w:hRule="exact" w:hSpace="180" w:wrap="auto" w:hAnchor="page" w:xAlign="center" w:yAlign="bottom"/>
      <w:spacing w:after="0"/>
    </w:pPr>
  </w:style>
  <w:style w:type="paragraph" w:styleId="Remitentdelsobre">
    <w:name w:val="envelope return"/>
    <w:basedOn w:val="Normal"/>
    <w:pPr>
      <w:spacing w:after="0"/>
    </w:pPr>
    <w:rPr>
      <w:sz w:val="20"/>
    </w:rPr>
  </w:style>
  <w:style w:type="paragraph" w:styleId="Peu">
    <w:name w:val="footer"/>
    <w:basedOn w:val="Normal"/>
    <w:link w:val="PeuCar"/>
    <w:uiPriority w:val="99"/>
    <w:pPr>
      <w:spacing w:after="0"/>
      <w:ind w:right="-567"/>
      <w:jc w:val="left"/>
    </w:pPr>
    <w:rPr>
      <w:rFonts w:ascii="Arial" w:hAnsi="Arial"/>
      <w:sz w:val="16"/>
    </w:rPr>
  </w:style>
  <w:style w:type="paragraph" w:styleId="Textdenotaapeudepgina">
    <w:name w:val="footnote text"/>
    <w:basedOn w:val="Normal"/>
    <w:semiHidden/>
    <w:pPr>
      <w:ind w:left="357" w:hanging="357"/>
    </w:pPr>
    <w:rPr>
      <w:sz w:val="20"/>
    </w:rPr>
  </w:style>
  <w:style w:type="paragraph" w:styleId="Capalera">
    <w:name w:val="header"/>
    <w:basedOn w:val="Normal"/>
    <w:link w:val="CapaleraCar"/>
    <w:uiPriority w:val="99"/>
    <w:pPr>
      <w:tabs>
        <w:tab w:val="center" w:pos="4153"/>
        <w:tab w:val="right" w:pos="8306"/>
      </w:tabs>
    </w:pPr>
  </w:style>
  <w:style w:type="paragraph" w:styleId="ndex1">
    <w:name w:val="index 1"/>
    <w:basedOn w:val="Normal"/>
    <w:next w:val="Normal"/>
    <w:autoRedefine/>
    <w:semiHidden/>
    <w:pPr>
      <w:ind w:left="240" w:hanging="240"/>
    </w:pPr>
  </w:style>
  <w:style w:type="paragraph" w:styleId="ndex2">
    <w:name w:val="index 2"/>
    <w:basedOn w:val="Normal"/>
    <w:next w:val="Normal"/>
    <w:autoRedefine/>
    <w:semiHidden/>
    <w:pPr>
      <w:ind w:left="480" w:hanging="240"/>
    </w:pPr>
  </w:style>
  <w:style w:type="paragraph" w:styleId="ndex3">
    <w:name w:val="index 3"/>
    <w:basedOn w:val="Normal"/>
    <w:next w:val="Normal"/>
    <w:autoRedefine/>
    <w:semiHidden/>
    <w:pPr>
      <w:ind w:left="720" w:hanging="240"/>
    </w:pPr>
  </w:style>
  <w:style w:type="paragraph" w:styleId="ndex4">
    <w:name w:val="index 4"/>
    <w:basedOn w:val="Normal"/>
    <w:next w:val="Normal"/>
    <w:autoRedefine/>
    <w:semiHidden/>
    <w:pPr>
      <w:ind w:left="960" w:hanging="240"/>
    </w:pPr>
  </w:style>
  <w:style w:type="paragraph" w:styleId="ndex5">
    <w:name w:val="index 5"/>
    <w:basedOn w:val="Normal"/>
    <w:next w:val="Normal"/>
    <w:autoRedefine/>
    <w:semiHidden/>
    <w:pPr>
      <w:ind w:left="1200" w:hanging="240"/>
    </w:pPr>
  </w:style>
  <w:style w:type="paragraph" w:styleId="ndex6">
    <w:name w:val="index 6"/>
    <w:basedOn w:val="Normal"/>
    <w:next w:val="Normal"/>
    <w:autoRedefine/>
    <w:semiHidden/>
    <w:pPr>
      <w:ind w:left="1440" w:hanging="240"/>
    </w:pPr>
  </w:style>
  <w:style w:type="paragraph" w:styleId="ndex7">
    <w:name w:val="index 7"/>
    <w:basedOn w:val="Normal"/>
    <w:next w:val="Normal"/>
    <w:autoRedefine/>
    <w:semiHidden/>
    <w:pPr>
      <w:ind w:left="1680" w:hanging="240"/>
    </w:pPr>
  </w:style>
  <w:style w:type="paragraph" w:styleId="ndex8">
    <w:name w:val="index 8"/>
    <w:basedOn w:val="Normal"/>
    <w:next w:val="Normal"/>
    <w:autoRedefine/>
    <w:semiHidden/>
    <w:pPr>
      <w:ind w:left="1920" w:hanging="240"/>
    </w:pPr>
  </w:style>
  <w:style w:type="paragraph" w:styleId="ndex9">
    <w:name w:val="index 9"/>
    <w:basedOn w:val="Normal"/>
    <w:next w:val="Normal"/>
    <w:autoRedefine/>
    <w:semiHidden/>
    <w:pPr>
      <w:ind w:left="2160" w:hanging="240"/>
    </w:pPr>
  </w:style>
  <w:style w:type="paragraph" w:styleId="Ttoldndex">
    <w:name w:val="index heading"/>
    <w:basedOn w:val="Normal"/>
    <w:next w:val="ndex1"/>
    <w:semiHidden/>
    <w:rPr>
      <w:rFonts w:ascii="Arial" w:hAnsi="Arial"/>
      <w:b/>
    </w:rPr>
  </w:style>
  <w:style w:type="paragraph" w:styleId="Llista">
    <w:name w:val="List"/>
    <w:basedOn w:val="Normal"/>
    <w:pPr>
      <w:ind w:left="283" w:hanging="283"/>
    </w:pPr>
  </w:style>
  <w:style w:type="paragraph" w:styleId="Llista2">
    <w:name w:val="List 2"/>
    <w:basedOn w:val="Normal"/>
    <w:pPr>
      <w:ind w:left="566" w:hanging="283"/>
    </w:pPr>
  </w:style>
  <w:style w:type="paragraph" w:styleId="Llista3">
    <w:name w:val="List 3"/>
    <w:basedOn w:val="Normal"/>
    <w:pPr>
      <w:ind w:left="849" w:hanging="283"/>
    </w:pPr>
  </w:style>
  <w:style w:type="paragraph" w:styleId="Llista4">
    <w:name w:val="List 4"/>
    <w:basedOn w:val="Normal"/>
    <w:pPr>
      <w:ind w:left="1132" w:hanging="283"/>
    </w:pPr>
  </w:style>
  <w:style w:type="paragraph" w:styleId="Llista5">
    <w:name w:val="List 5"/>
    <w:basedOn w:val="Normal"/>
    <w:pPr>
      <w:ind w:left="1415" w:hanging="283"/>
    </w:pPr>
  </w:style>
  <w:style w:type="paragraph" w:styleId="Llistaambpics">
    <w:name w:val="List Bullet"/>
    <w:basedOn w:val="Normal"/>
    <w:pPr>
      <w:numPr>
        <w:numId w:val="4"/>
      </w:numPr>
    </w:pPr>
  </w:style>
  <w:style w:type="paragraph" w:styleId="Llistaambpics2">
    <w:name w:val="List Bullet 2"/>
    <w:basedOn w:val="Text2"/>
    <w:pPr>
      <w:numPr>
        <w:numId w:val="6"/>
      </w:numPr>
      <w:tabs>
        <w:tab w:val="clear" w:pos="2160"/>
      </w:tabs>
    </w:pPr>
  </w:style>
  <w:style w:type="paragraph" w:styleId="Llistaambpics3">
    <w:name w:val="List Bullet 3"/>
    <w:basedOn w:val="Text3"/>
    <w:pPr>
      <w:numPr>
        <w:numId w:val="7"/>
      </w:numPr>
      <w:tabs>
        <w:tab w:val="clear" w:pos="2302"/>
      </w:tabs>
    </w:pPr>
  </w:style>
  <w:style w:type="paragraph" w:styleId="Llistaambpics4">
    <w:name w:val="List Bullet 4"/>
    <w:basedOn w:val="Text4"/>
    <w:pPr>
      <w:numPr>
        <w:numId w:val="8"/>
      </w:numPr>
    </w:pPr>
  </w:style>
  <w:style w:type="paragraph" w:styleId="Llistaambpics5">
    <w:name w:val="List Bullet 5"/>
    <w:basedOn w:val="Normal"/>
    <w:autoRedefine/>
    <w:pPr>
      <w:numPr>
        <w:numId w:val="1"/>
      </w:numPr>
    </w:pPr>
  </w:style>
  <w:style w:type="paragraph" w:styleId="Continuacidellista">
    <w:name w:val="List Continue"/>
    <w:basedOn w:val="Normal"/>
    <w:pPr>
      <w:spacing w:after="120"/>
      <w:ind w:left="283"/>
    </w:pPr>
  </w:style>
  <w:style w:type="paragraph" w:styleId="Continuacidellista2">
    <w:name w:val="List Continue 2"/>
    <w:basedOn w:val="Normal"/>
    <w:pPr>
      <w:spacing w:after="120"/>
      <w:ind w:left="566"/>
    </w:pPr>
  </w:style>
  <w:style w:type="paragraph" w:styleId="Continuacidellista3">
    <w:name w:val="List Continue 3"/>
    <w:basedOn w:val="Normal"/>
    <w:pPr>
      <w:spacing w:after="120"/>
      <w:ind w:left="849"/>
    </w:pPr>
  </w:style>
  <w:style w:type="paragraph" w:styleId="Continuacidellista4">
    <w:name w:val="List Continue 4"/>
    <w:basedOn w:val="Normal"/>
    <w:pPr>
      <w:spacing w:after="120"/>
      <w:ind w:left="1132"/>
    </w:pPr>
  </w:style>
  <w:style w:type="paragraph" w:styleId="Continuacidellista5">
    <w:name w:val="List Continue 5"/>
    <w:basedOn w:val="Normal"/>
    <w:pPr>
      <w:spacing w:after="120"/>
      <w:ind w:left="1415"/>
    </w:pPr>
  </w:style>
  <w:style w:type="paragraph" w:styleId="Llistanumerada">
    <w:name w:val="List Number"/>
    <w:basedOn w:val="Normal"/>
    <w:pPr>
      <w:numPr>
        <w:numId w:val="14"/>
      </w:numPr>
    </w:pPr>
  </w:style>
  <w:style w:type="paragraph" w:styleId="Llistanumerada2">
    <w:name w:val="List Number 2"/>
    <w:basedOn w:val="Text2"/>
    <w:pPr>
      <w:numPr>
        <w:numId w:val="16"/>
      </w:numPr>
      <w:tabs>
        <w:tab w:val="clear" w:pos="2160"/>
      </w:tabs>
    </w:pPr>
  </w:style>
  <w:style w:type="paragraph" w:styleId="Llistanumerada3">
    <w:name w:val="List Number 3"/>
    <w:basedOn w:val="Text3"/>
    <w:pPr>
      <w:numPr>
        <w:numId w:val="17"/>
      </w:numPr>
      <w:tabs>
        <w:tab w:val="clear" w:pos="2302"/>
      </w:tabs>
    </w:pPr>
  </w:style>
  <w:style w:type="paragraph" w:styleId="Llistanumerada4">
    <w:name w:val="List Number 4"/>
    <w:basedOn w:val="Text4"/>
    <w:pPr>
      <w:numPr>
        <w:numId w:val="18"/>
      </w:numPr>
    </w:pPr>
  </w:style>
  <w:style w:type="paragraph" w:styleId="Llistanumerada5">
    <w:name w:val="List Number 5"/>
    <w:basedOn w:val="Normal"/>
    <w:pPr>
      <w:numPr>
        <w:numId w:val="2"/>
      </w:numPr>
    </w:pPr>
  </w:style>
  <w:style w:type="paragraph" w:styleId="Textdemacro">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Capalerademissat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Sagnianormal">
    <w:name w:val="Normal Indent"/>
    <w:basedOn w:val="Normal"/>
    <w:pPr>
      <w:ind w:left="720"/>
    </w:pPr>
  </w:style>
  <w:style w:type="paragraph" w:styleId="Ttoldenota">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Ttol1"/>
    <w:next w:val="Text1"/>
    <w:pPr>
      <w:keepNext w:val="0"/>
      <w:spacing w:before="0"/>
      <w:outlineLvl w:val="9"/>
    </w:pPr>
    <w:rPr>
      <w:b w:val="0"/>
      <w:smallCaps w:val="0"/>
    </w:rPr>
  </w:style>
  <w:style w:type="paragraph" w:customStyle="1" w:styleId="NumPar2">
    <w:name w:val="NumPar 2"/>
    <w:basedOn w:val="Ttol2"/>
    <w:next w:val="Text2"/>
    <w:pPr>
      <w:keepNext w:val="0"/>
      <w:outlineLvl w:val="9"/>
    </w:pPr>
    <w:rPr>
      <w:b w:val="0"/>
    </w:rPr>
  </w:style>
  <w:style w:type="paragraph" w:customStyle="1" w:styleId="NumPar3">
    <w:name w:val="NumPar 3"/>
    <w:basedOn w:val="Ttol3"/>
    <w:next w:val="Text3"/>
    <w:pPr>
      <w:keepNext w:val="0"/>
      <w:outlineLvl w:val="9"/>
    </w:pPr>
    <w:rPr>
      <w:i w:val="0"/>
    </w:rPr>
  </w:style>
  <w:style w:type="paragraph" w:customStyle="1" w:styleId="NumPar4">
    <w:name w:val="NumPar 4"/>
    <w:basedOn w:val="Ttol4"/>
    <w:next w:val="Text4"/>
    <w:pPr>
      <w:keepNext w:val="0"/>
      <w:outlineLvl w:val="9"/>
    </w:pPr>
  </w:style>
  <w:style w:type="paragraph" w:styleId="Textsenseformat">
    <w:name w:val="Plain Text"/>
    <w:basedOn w:val="Normal"/>
    <w:rPr>
      <w:rFonts w:ascii="Courier New" w:hAnsi="Courier New"/>
      <w:sz w:val="20"/>
    </w:rPr>
  </w:style>
  <w:style w:type="paragraph" w:styleId="Salutaci">
    <w:name w:val="Salutation"/>
    <w:basedOn w:val="Normal"/>
    <w:next w:val="Normal"/>
  </w:style>
  <w:style w:type="paragraph" w:styleId="Subttol">
    <w:name w:val="Subtitle"/>
    <w:basedOn w:val="Normal"/>
    <w:qFormat/>
    <w:pPr>
      <w:spacing w:after="60"/>
      <w:jc w:val="center"/>
      <w:outlineLvl w:val="1"/>
    </w:pPr>
    <w:rPr>
      <w:rFonts w:ascii="Arial" w:hAnsi="Arial"/>
    </w:rPr>
  </w:style>
  <w:style w:type="paragraph" w:styleId="ndexdautoritats">
    <w:name w:val="table of authorities"/>
    <w:basedOn w:val="Normal"/>
    <w:next w:val="Normal"/>
    <w:semiHidden/>
    <w:pPr>
      <w:ind w:left="240" w:hanging="240"/>
    </w:pPr>
  </w:style>
  <w:style w:type="paragraph" w:styleId="ndexdillustracions">
    <w:name w:val="table of figures"/>
    <w:basedOn w:val="Normal"/>
    <w:next w:val="Normal"/>
    <w:semiHidden/>
    <w:pPr>
      <w:ind w:left="480" w:hanging="480"/>
    </w:pPr>
  </w:style>
  <w:style w:type="paragraph" w:styleId="Ttol">
    <w:name w:val="Title"/>
    <w:basedOn w:val="Normal"/>
    <w:qFormat/>
    <w:pPr>
      <w:spacing w:before="240" w:after="60"/>
      <w:jc w:val="center"/>
      <w:outlineLvl w:val="0"/>
    </w:pPr>
    <w:rPr>
      <w:rFonts w:ascii="Arial" w:hAnsi="Arial"/>
      <w:b/>
      <w:kern w:val="28"/>
      <w:sz w:val="32"/>
    </w:rPr>
  </w:style>
  <w:style w:type="paragraph" w:styleId="TtoldIDA">
    <w:name w:val="toa heading"/>
    <w:basedOn w:val="Normal"/>
    <w:next w:val="Normal"/>
    <w:semiHidden/>
    <w:pPr>
      <w:spacing w:before="120"/>
    </w:pPr>
    <w:rPr>
      <w:rFonts w:ascii="Arial" w:hAnsi="Arial"/>
      <w:b/>
    </w:rPr>
  </w:style>
  <w:style w:type="paragraph" w:styleId="IDC1">
    <w:name w:val="toc 1"/>
    <w:basedOn w:val="Normal"/>
    <w:next w:val="Normal"/>
    <w:semiHidden/>
    <w:pPr>
      <w:tabs>
        <w:tab w:val="right" w:leader="dot" w:pos="8640"/>
      </w:tabs>
      <w:spacing w:before="120" w:after="120"/>
      <w:ind w:left="482" w:right="720" w:hanging="482"/>
    </w:pPr>
    <w:rPr>
      <w:caps/>
    </w:rPr>
  </w:style>
  <w:style w:type="paragraph" w:styleId="IDC2">
    <w:name w:val="toc 2"/>
    <w:basedOn w:val="Normal"/>
    <w:next w:val="Normal"/>
    <w:semiHidden/>
    <w:pPr>
      <w:tabs>
        <w:tab w:val="right" w:leader="dot" w:pos="8640"/>
      </w:tabs>
      <w:spacing w:before="60" w:after="60"/>
      <w:ind w:left="1077" w:right="720" w:hanging="595"/>
    </w:pPr>
  </w:style>
  <w:style w:type="paragraph" w:styleId="IDC3">
    <w:name w:val="toc 3"/>
    <w:basedOn w:val="Normal"/>
    <w:next w:val="Normal"/>
    <w:semiHidden/>
    <w:pPr>
      <w:tabs>
        <w:tab w:val="right" w:leader="dot" w:pos="8640"/>
      </w:tabs>
      <w:spacing w:before="60" w:after="60"/>
      <w:ind w:left="1916" w:right="720" w:hanging="839"/>
    </w:pPr>
  </w:style>
  <w:style w:type="paragraph" w:styleId="IDC4">
    <w:name w:val="toc 4"/>
    <w:basedOn w:val="Normal"/>
    <w:next w:val="Normal"/>
    <w:semiHidden/>
    <w:pPr>
      <w:tabs>
        <w:tab w:val="right" w:leader="dot" w:pos="8641"/>
      </w:tabs>
      <w:spacing w:before="60" w:after="60"/>
      <w:ind w:left="2880" w:right="720" w:hanging="964"/>
    </w:pPr>
  </w:style>
  <w:style w:type="paragraph" w:styleId="IDC5">
    <w:name w:val="toc 5"/>
    <w:basedOn w:val="Normal"/>
    <w:next w:val="Normal"/>
    <w:semiHidden/>
    <w:pPr>
      <w:tabs>
        <w:tab w:val="right" w:leader="dot" w:pos="8641"/>
      </w:tabs>
      <w:spacing w:before="240" w:after="120"/>
      <w:ind w:right="720"/>
    </w:pPr>
    <w:rPr>
      <w:caps/>
    </w:rPr>
  </w:style>
  <w:style w:type="paragraph" w:styleId="IDC6">
    <w:name w:val="toc 6"/>
    <w:basedOn w:val="Normal"/>
    <w:next w:val="Normal"/>
    <w:autoRedefine/>
    <w:semiHidden/>
    <w:pPr>
      <w:ind w:left="1200"/>
    </w:pPr>
  </w:style>
  <w:style w:type="paragraph" w:styleId="IDC7">
    <w:name w:val="toc 7"/>
    <w:basedOn w:val="Normal"/>
    <w:next w:val="Normal"/>
    <w:autoRedefine/>
    <w:semiHidden/>
    <w:pPr>
      <w:ind w:left="1440"/>
    </w:pPr>
  </w:style>
  <w:style w:type="paragraph" w:styleId="IDC8">
    <w:name w:val="toc 8"/>
    <w:basedOn w:val="Normal"/>
    <w:next w:val="Normal"/>
    <w:autoRedefine/>
    <w:semiHidden/>
    <w:pPr>
      <w:ind w:left="1680"/>
    </w:pPr>
  </w:style>
  <w:style w:type="paragraph" w:styleId="ID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toldelIDC">
    <w:name w:val="TOC Heading"/>
    <w:basedOn w:val="Normal"/>
    <w:next w:val="Normal"/>
    <w:qFormat/>
    <w:pPr>
      <w:keepNext/>
      <w:spacing w:before="240"/>
      <w:jc w:val="center"/>
    </w:pPr>
    <w:rPr>
      <w:b/>
    </w:rPr>
  </w:style>
  <w:style w:type="paragraph" w:customStyle="1" w:styleId="Contact">
    <w:name w:val="Contact"/>
    <w:basedOn w:val="Normal"/>
    <w:next w:val="Enclosures"/>
    <w:uiPriority w:val="99"/>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Enllavisitat">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character" w:customStyle="1" w:styleId="PeuCar">
    <w:name w:val="Peu Car"/>
    <w:link w:val="Peu"/>
    <w:uiPriority w:val="99"/>
    <w:rsid w:val="00BC6AFE"/>
    <w:rPr>
      <w:rFonts w:ascii="Arial" w:hAnsi="Arial"/>
      <w:sz w:val="16"/>
      <w:lang w:eastAsia="en-US"/>
    </w:rPr>
  </w:style>
  <w:style w:type="character" w:customStyle="1" w:styleId="DataCar">
    <w:name w:val="Data Car"/>
    <w:link w:val="Data"/>
    <w:uiPriority w:val="99"/>
    <w:rsid w:val="00BC6AFE"/>
    <w:rPr>
      <w:sz w:val="24"/>
      <w:lang w:eastAsia="en-US"/>
    </w:rPr>
  </w:style>
  <w:style w:type="character" w:customStyle="1" w:styleId="SignaturaCar">
    <w:name w:val="Signatura Car"/>
    <w:link w:val="Signatura"/>
    <w:uiPriority w:val="99"/>
    <w:rsid w:val="00BC6AFE"/>
    <w:rPr>
      <w:sz w:val="24"/>
      <w:lang w:eastAsia="en-US"/>
    </w:rPr>
  </w:style>
  <w:style w:type="paragraph" w:customStyle="1" w:styleId="ZCom">
    <w:name w:val="Z_Com"/>
    <w:basedOn w:val="Normal"/>
    <w:next w:val="ZDGName"/>
    <w:uiPriority w:val="99"/>
    <w:rsid w:val="00BC6AFE"/>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rsid w:val="00BC6AFE"/>
    <w:pPr>
      <w:widowControl w:val="0"/>
      <w:autoSpaceDE w:val="0"/>
      <w:autoSpaceDN w:val="0"/>
      <w:spacing w:after="0"/>
      <w:ind w:right="85"/>
      <w:jc w:val="left"/>
    </w:pPr>
    <w:rPr>
      <w:rFonts w:ascii="Arial" w:hAnsi="Arial" w:cs="Arial"/>
      <w:sz w:val="16"/>
      <w:szCs w:val="16"/>
      <w:lang w:eastAsia="en-GB"/>
    </w:rPr>
  </w:style>
  <w:style w:type="character" w:customStyle="1" w:styleId="CapaleraCar">
    <w:name w:val="Capçalera Car"/>
    <w:link w:val="Capalera"/>
    <w:uiPriority w:val="99"/>
    <w:rsid w:val="00BC6AFE"/>
    <w:rPr>
      <w:sz w:val="24"/>
      <w:lang w:eastAsia="en-US"/>
    </w:rPr>
  </w:style>
  <w:style w:type="character" w:customStyle="1" w:styleId="Ttol2Car">
    <w:name w:val="Títol 2 Car"/>
    <w:link w:val="Ttol2"/>
    <w:rsid w:val="00BC6AFE"/>
    <w:rPr>
      <w:b/>
      <w:sz w:val="24"/>
      <w:lang w:eastAsia="en-US"/>
    </w:rPr>
  </w:style>
  <w:style w:type="character" w:customStyle="1" w:styleId="Ttol1Car">
    <w:name w:val="Títol 1 Car"/>
    <w:link w:val="Ttol1"/>
    <w:rsid w:val="00BC6AFE"/>
    <w:rPr>
      <w:b/>
      <w:smallCaps/>
      <w:sz w:val="24"/>
      <w:lang w:eastAsia="en-US"/>
    </w:rPr>
  </w:style>
  <w:style w:type="table" w:styleId="Taulaambquadrcula">
    <w:name w:val="Table Grid"/>
    <w:basedOn w:val="Taulanormal"/>
    <w:uiPriority w:val="39"/>
    <w:rsid w:val="00884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
    <w:name w:val="Paràgraf"/>
    <w:basedOn w:val="Normal"/>
    <w:link w:val="PargrafCar"/>
    <w:qFormat/>
    <w:rsid w:val="00F45F39"/>
    <w:pPr>
      <w:spacing w:after="120" w:line="360" w:lineRule="auto"/>
    </w:pPr>
    <w:rPr>
      <w:rFonts w:ascii="Arial" w:eastAsia="Calibri" w:hAnsi="Arial" w:cs="Arial"/>
      <w:sz w:val="20"/>
    </w:rPr>
  </w:style>
  <w:style w:type="character" w:customStyle="1" w:styleId="PargrafCar">
    <w:name w:val="Paràgraf Car"/>
    <w:link w:val="Pargraf"/>
    <w:rsid w:val="00F45F39"/>
    <w:rPr>
      <w:rFonts w:ascii="Arial" w:eastAsia="Calibri" w:hAnsi="Arial" w:cs="Arial"/>
      <w:lang w:eastAsia="en-US"/>
    </w:rPr>
  </w:style>
  <w:style w:type="paragraph" w:styleId="Textdeglobus">
    <w:name w:val="Balloon Text"/>
    <w:basedOn w:val="Normal"/>
    <w:link w:val="TextdeglobusCar"/>
    <w:uiPriority w:val="99"/>
    <w:semiHidden/>
    <w:unhideWhenUsed/>
    <w:rsid w:val="00F63B86"/>
    <w:pPr>
      <w:spacing w:after="0"/>
    </w:pPr>
    <w:rPr>
      <w:rFonts w:ascii="Segoe UI" w:hAnsi="Segoe UI" w:cs="Segoe UI"/>
      <w:sz w:val="18"/>
      <w:szCs w:val="18"/>
    </w:rPr>
  </w:style>
  <w:style w:type="character" w:customStyle="1" w:styleId="TextdeglobusCar">
    <w:name w:val="Text de globus Car"/>
    <w:link w:val="Textdeglobus"/>
    <w:uiPriority w:val="99"/>
    <w:semiHidden/>
    <w:rsid w:val="00F63B86"/>
    <w:rPr>
      <w:rFonts w:ascii="Segoe UI" w:hAnsi="Segoe UI" w:cs="Segoe UI"/>
      <w:sz w:val="18"/>
      <w:szCs w:val="18"/>
      <w:lang w:val="en-GB" w:eastAsia="en-US"/>
    </w:rPr>
  </w:style>
  <w:style w:type="paragraph" w:styleId="HTMLambformatprevi">
    <w:name w:val="HTML Preformatted"/>
    <w:basedOn w:val="Normal"/>
    <w:link w:val="HTMLambformatpreviCar"/>
    <w:uiPriority w:val="99"/>
    <w:semiHidden/>
    <w:unhideWhenUsed/>
    <w:rsid w:val="002729F2"/>
    <w:pPr>
      <w:spacing w:after="0"/>
    </w:pPr>
    <w:rPr>
      <w:rFonts w:ascii="Consolas" w:hAnsi="Consolas" w:cs="Consolas"/>
      <w:sz w:val="20"/>
    </w:rPr>
  </w:style>
  <w:style w:type="character" w:customStyle="1" w:styleId="HTMLambformatpreviCar">
    <w:name w:val="HTML amb format previ Car"/>
    <w:link w:val="HTMLambformatprevi"/>
    <w:uiPriority w:val="99"/>
    <w:semiHidden/>
    <w:rsid w:val="002729F2"/>
    <w:rPr>
      <w:rFonts w:ascii="Consolas" w:hAnsi="Consolas" w:cs="Consolas"/>
      <w:lang w:val="en-GB" w:eastAsia="en-US"/>
    </w:rPr>
  </w:style>
  <w:style w:type="paragraph" w:styleId="Pargrafdellista">
    <w:name w:val="List Paragraph"/>
    <w:basedOn w:val="Normal"/>
    <w:uiPriority w:val="34"/>
    <w:qFormat/>
    <w:rsid w:val="00010675"/>
    <w:pPr>
      <w:ind w:left="720"/>
      <w:contextualSpacing/>
    </w:pPr>
  </w:style>
  <w:style w:type="paragraph" w:customStyle="1" w:styleId="Referencias">
    <w:name w:val="Referencias"/>
    <w:basedOn w:val="Normal"/>
    <w:rsid w:val="00CF663C"/>
    <w:pPr>
      <w:numPr>
        <w:numId w:val="25"/>
      </w:numPr>
      <w:spacing w:after="160" w:line="252" w:lineRule="auto"/>
    </w:pPr>
    <w:rPr>
      <w:rFonts w:ascii="Calibri" w:hAnsi="Calibri"/>
      <w:sz w:val="22"/>
      <w:szCs w:val="18"/>
      <w:lang w:eastAsia="ja-JP"/>
    </w:rPr>
  </w:style>
  <w:style w:type="character" w:styleId="Enlla">
    <w:name w:val="Hyperlink"/>
    <w:rsid w:val="00CF663C"/>
    <w:rPr>
      <w:rFonts w:ascii="Arial" w:hAnsi="Arial" w:cs="Arial"/>
      <w:color w:val="0000FF"/>
      <w:sz w:val="22"/>
      <w:u w:val="single"/>
    </w:rPr>
  </w:style>
  <w:style w:type="character" w:customStyle="1" w:styleId="citation">
    <w:name w:val="citation"/>
    <w:basedOn w:val="Tipusdelletraperdefectedelpargraf"/>
    <w:rsid w:val="00CF663C"/>
  </w:style>
  <w:style w:type="character" w:styleId="Refernciadecomentari">
    <w:name w:val="annotation reference"/>
    <w:uiPriority w:val="99"/>
    <w:semiHidden/>
    <w:unhideWhenUsed/>
    <w:rsid w:val="00AD2697"/>
    <w:rPr>
      <w:sz w:val="16"/>
      <w:szCs w:val="16"/>
    </w:rPr>
  </w:style>
  <w:style w:type="paragraph" w:styleId="Temadelcomentari">
    <w:name w:val="annotation subject"/>
    <w:basedOn w:val="Textdecomentari"/>
    <w:next w:val="Textdecomentari"/>
    <w:link w:val="TemadelcomentariCar"/>
    <w:uiPriority w:val="99"/>
    <w:semiHidden/>
    <w:unhideWhenUsed/>
    <w:rsid w:val="00AD2697"/>
    <w:rPr>
      <w:b/>
      <w:bCs/>
    </w:rPr>
  </w:style>
  <w:style w:type="character" w:customStyle="1" w:styleId="TextdecomentariCar">
    <w:name w:val="Text de comentari Car"/>
    <w:link w:val="Textdecomentari"/>
    <w:semiHidden/>
    <w:rsid w:val="00AD2697"/>
    <w:rPr>
      <w:lang w:val="en-GB" w:eastAsia="en-US"/>
    </w:rPr>
  </w:style>
  <w:style w:type="character" w:customStyle="1" w:styleId="TemadelcomentariCar">
    <w:name w:val="Tema del comentari Car"/>
    <w:link w:val="Temadelcomentari"/>
    <w:uiPriority w:val="99"/>
    <w:semiHidden/>
    <w:rsid w:val="00AD2697"/>
    <w:rPr>
      <w:b/>
      <w:bCs/>
      <w:lang w:val="en-GB" w:eastAsia="en-US"/>
    </w:rPr>
  </w:style>
  <w:style w:type="paragraph" w:styleId="Revisi">
    <w:name w:val="Revision"/>
    <w:hidden/>
    <w:uiPriority w:val="99"/>
    <w:semiHidden/>
    <w:rsid w:val="0018763D"/>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acioiCongresos\NTTS_2019\ntts2019abstract_cat.dot" TargetMode="External"/></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NoteCopy>c.c.:</NoteCopy>
  <FooterOffice>Office:</FooterOffice>
  <SecurityOlafInvestigations>OLAF investigations</SecurityOlafInvestigations>
  <NoteReference>Ref.:</NoteReference>
  <SecurityInternal>Commission internal</SecurityInternal>
  <NoteFile>Note for the File</NoteFile>
  <SecurityOlafSpecialHandling>OLAF investigations – special handling</SecurityOlafSpecialHandling>
  <NoteParticipants>Participants:</NoteParticipants>
  <SecurityPersonal>Personal</SecurityPersonal>
  <CourtProceduralDocuments>Court procedural documents</CourtProceduralDocuments>
  <SecurityCompOperationsHandling>Handling instructions are provided by the DG COMP (comp-lso@ec.europa.eu)</SecurityCompOperationsHandling>
  <NoteParticipant>Participant:</NoteParticipant>
  <OrgaRoot>EUROPEAN COMMISSION</OrgaRoot>
  <NoteCopies>c.c.:</NoteCopies>
  <NoteSubject>Subject:</NoteSubject>
  <Contact>Contact:</Contact>
  <SecurityInvestigationsDisciplinary>Investigations and disciplinary matters</SecurityInvestigationsDisciplinary>
  <SecurityCompOperations>COMP operations</SecurityCompOperations>
  <NoteEnclosure>Enclosure:</NoteEnclosure>
  <SecurityEuSatellite>EU satellite navigation matters</SecurityEuSatellite>
  <SecurityReleasable>RELEASABLE TO [...]</SecurityReleasable>
  <AddresseeTo>To:</AddresseeTo>
  <SecurityEtsLimited>ETS limited</SecurityEtsLimited>
  <SecurityStaffMatter>Staff matter</SecurityStaffMatter>
  <SecurityOpinionLegalService>Opinion of the Legal Service</SecurityOpinionLegalService>
  <SecurityEtsSensitive>ETS sensitive</SecurityEtsSensitive>
  <NoteHead>Note for the attention of</NoteHead>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AddressFooterBrussels>Commission européenne/Europese Commissie, 1049 Bruxelles/Brussel, BELGIQUE/BELGIË — Tel. +32 22991111</AddressFooterBrussels>
  <SecurityIasOperations>IAS operations</SecurityIasOperations>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NoteEnclosures>Enclosures:</NoteEnclosures>
  <SecurityLimitedServiceUnitGroup>Limited</SecurityLimitedServiceUnitGroup>
  <SecurityMedicalSecret>Medical secret</SecurityMedicalSecret>
  <Contacts>Contacts:</Contacts>
  <SecurityEmbargo>Embargo until</SecurityEmbargo>
  <SecurityLimited>Limited</SecurityLimited>
  <DateFormatShort>dd/MM/yyyy</DateFormatShort>
  <DateFormatLong>d MMMM yyyy</DateFormatLong>
</Texts>
</file>

<file path=customXml/item2.xml><?xml version="1.0" encoding="utf-8"?>
<EurolookProperties>
  <Created>
    <Version>4.5</Version>
    <Date>2018-05-29T11:59:20</Date>
    <Language>EN</Language>
  </Created>
  <Edited>
    <Version>10.0.37441.0</Version>
    <Date>2018-05-29T12:12:44</Date>
  </Edited>
  <DocumentModel>
    <Id>0b054141-88b1-4efb-8c91-2905cb0bed6c</Id>
    <Name>Note</Name>
  </DocumentModel>
  <DocumentDate/>
  <DocumentVersion/>
  <CompatibilityMode>Eurolook4x</CompatibilityMode>
  <Address/>
</EurolookProperties>
</file>

<file path=customXml/item3.xml><?xml version="1.0" encoding="utf-8"?>
<Author Role="Creator">
  <Id>bd75a428-bbcb-4c74-9efa-281afaab0ab2</Id>
  <Names>
    <Latin>
      <FirstName>Britta</FirstName>
      <LastName>Gauckler</LastName>
    </Latin>
    <Greek>
      <FirstName/>
      <LastName/>
    </Greek>
    <Cyrillic>
      <FirstName/>
      <LastName/>
    </Cyrillic>
    <DocumentScript>
      <FirstName>Britta</FirstName>
      <LastName>Gauckler</LastName>
      <FullName>Britta Gauckler</FullName>
    </DocumentScript>
  </Names>
  <Initials>BG</Initials>
  <Gender>f</Gender>
  <Email>Britta.GAUCKLER@ec.europa.eu</Email>
  <Service>ESTAT.B.1</Service>
  <Function/>
  <WebAddress/>
  <InheritedWebAddress>http://europa.eu</InheritedWebAddress>
  <OrgaEntity1>
    <Id>25d24451-9908-4f0e-9a6d-f256cf91ab7b</Id>
    <LogicalLevel>1</LogicalLevel>
    <Name>ESTAT</Name>
    <HeadLine1>EUROSTAT</HeadLine1>
    <HeadLine2/>
    <PrimaryAddressId>1264fb81-f6bb-475e-9f9d-a937d3be6ee2</PrimaryAddressId>
    <SecondaryAddressId/>
    <WebAddress/>
    <InheritedWebAddress>http://europa.eu</InheritedWebAddress>
    <ShowInHeader>true</ShowInHeader>
  </OrgaEntity1>
  <OrgaEntity2/>
  <OrgaEntity3/>
  <Addresses>
    <Address>
      <Id>1264fb81-f6bb-475e-9f9d-a937d3be6ee2</Id>
      <Name>Luxembourg</Name>
      <PhoneNumberPrefix>+352 4301</PhoneNumberPrefix>
      <Location>Luxembourg,</Location>
      <Footer>Commission européenne, 2920 Luxembourg, LUXEMBOURG — Tel. +352 43011</Footer>
    </Address>
    <Address>
      <Id>f03b5801-04c9-4931-aa17-c6d6c70bc579</Id>
      <Name>Brussels</Name>
      <PhoneNumberPrefix>+32 229 </PhoneNumberPrefix>
      <Location>Brussels,</Location>
      <Footer>Commission européenne/Europese Commissie, 1049 Bruxelles/Brussel, BELGIQUE/BELGIË — Tel. +32 22991111</Footer>
    </Address>
  </Addresses>
  <JobAssignmentId/>
  <MainWorkplace IsMain="true">
    <AddressId>1264fb81-f6bb-475e-9f9d-a937d3be6ee2</AddressId>
    <Fax/>
    <Phone>+352 430136641</Phone>
    <Office>BECH A2/155</Office>
  </MainWorkplace>
  <Workplaces>
    <Workplace IsMain="true">
      <AddressId>1264fb81-f6bb-475e-9f9d-a937d3be6ee2</AddressId>
      <Fax/>
      <Phone>+352 430136641</Phone>
      <Office>BECH A2/155</Office>
    </Workplace>
    <Workplace IsMain="false">
      <AddressId>f03b5801-04c9-4931-aa17-c6d6c70bc579</AddressId>
      <Fax/>
      <Phone/>
      <Office/>
    </Workplace>
  </Workplaces>
</Author>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162AC-773B-4BAB-A035-07FB7E4FB26B}">
  <ds:schemaRefs/>
</ds:datastoreItem>
</file>

<file path=customXml/itemProps2.xml><?xml version="1.0" encoding="utf-8"?>
<ds:datastoreItem xmlns:ds="http://schemas.openxmlformats.org/officeDocument/2006/customXml" ds:itemID="{DEF58AF3-9929-4DC0-A819-0ADC671B5D1C}">
  <ds:schemaRefs/>
</ds:datastoreItem>
</file>

<file path=customXml/itemProps3.xml><?xml version="1.0" encoding="utf-8"?>
<ds:datastoreItem xmlns:ds="http://schemas.openxmlformats.org/officeDocument/2006/customXml" ds:itemID="{B406C654-FE0D-4FA5-9C33-13E2F461D7CA}">
  <ds:schemaRefs/>
</ds:datastoreItem>
</file>

<file path=customXml/itemProps4.xml><?xml version="1.0" encoding="utf-8"?>
<ds:datastoreItem xmlns:ds="http://schemas.openxmlformats.org/officeDocument/2006/customXml" ds:itemID="{3DB0D667-C54F-4FDA-9397-0EB8F6B45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ntts2019abstract_cat.dot</Template>
  <TotalTime>86</TotalTime>
  <Pages>4</Pages>
  <Words>1369</Words>
  <Characters>7804</Characters>
  <Application>Microsoft Office Word</Application>
  <DocSecurity>0</DocSecurity>
  <Lines>65</Lines>
  <Paragraphs>18</Paragraphs>
  <ScaleCrop>false</ScaleCrop>
  <HeadingPairs>
    <vt:vector size="6" baseType="variant">
      <vt:variant>
        <vt:lpstr>Títol</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European Commission</Company>
  <LinksUpToDate>false</LinksUpToDate>
  <CharactersWithSpaces>9155</CharactersWithSpaces>
  <SharedDoc>false</SharedDoc>
  <HLinks>
    <vt:vector size="6" baseType="variant">
      <vt:variant>
        <vt:i4>1114127</vt:i4>
      </vt:variant>
      <vt:variant>
        <vt:i4>0</vt:i4>
      </vt:variant>
      <vt:variant>
        <vt:i4>0</vt:i4>
      </vt:variant>
      <vt:variant>
        <vt:i4>5</vt:i4>
      </vt:variant>
      <vt:variant>
        <vt:lpwstr>http://www.gencat.cat/ptop/butlleti_innovacio/01/ICC_01.pdf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 Suñe Luís</dc:creator>
  <cp:keywords>EL4</cp:keywords>
  <cp:lastModifiedBy>Daniel Ibañez Vidal</cp:lastModifiedBy>
  <cp:revision>11</cp:revision>
  <cp:lastPrinted>2018-10-15T11:24:00Z</cp:lastPrinted>
  <dcterms:created xsi:type="dcterms:W3CDTF">2018-10-15T07:26:00Z</dcterms:created>
  <dcterms:modified xsi:type="dcterms:W3CDTF">2018-10-15T12:07:00Z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EL 4.6 Build 21000</vt:lpwstr>
  </property>
  <property fmtid="{D5CDD505-2E9C-101B-9397-08002B2CF9AE}" pid="3" name="DocID_EU">
    <vt:lpwstr> </vt:lpwstr>
  </property>
  <property fmtid="{D5CDD505-2E9C-101B-9397-08002B2CF9AE}" pid="4" name="ELDocType">
    <vt:lpwstr>not.dot</vt:lpwstr>
  </property>
  <property fmtid="{D5CDD505-2E9C-101B-9397-08002B2CF9AE}" pid="5" name="EL_Author">
    <vt:lpwstr>Martin KARLBERG</vt:lpwstr>
  </property>
  <property fmtid="{D5CDD505-2E9C-101B-9397-08002B2CF9AE}" pid="6" name="EL_Language">
    <vt:lpwstr>EN</vt:lpwstr>
  </property>
  <property fmtid="{D5CDD505-2E9C-101B-9397-08002B2CF9AE}" pid="7" name="EurolookVersion">
    <vt:lpwstr>4.5</vt:lpwstr>
  </property>
  <property fmtid="{D5CDD505-2E9C-101B-9397-08002B2CF9AE}" pid="8" name="Formatting">
    <vt:lpwstr>4.1</vt:lpwstr>
  </property>
  <property fmtid="{D5CDD505-2E9C-101B-9397-08002B2CF9AE}" pid="9" name="Language">
    <vt:lpwstr>EN</vt:lpwstr>
  </property>
  <property fmtid="{D5CDD505-2E9C-101B-9397-08002B2CF9AE}" pid="10" name="Last edited using">
    <vt:lpwstr>EL 4.6 Build 21000</vt:lpwstr>
  </property>
  <property fmtid="{D5CDD505-2E9C-101B-9397-08002B2CF9AE}" pid="11" name="TemplateVersion">
    <vt:lpwstr>4.5.0.3</vt:lpwstr>
  </property>
  <property fmtid="{D5CDD505-2E9C-101B-9397-08002B2CF9AE}" pid="12" name="Type">
    <vt:lpwstr>Eurolook Note &amp; Letter</vt:lpwstr>
  </property>
</Properties>
</file>