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A21C3" w14:textId="53E46FA9" w:rsidR="006B08E8" w:rsidRPr="00FA5BD5" w:rsidRDefault="006B08E8" w:rsidP="00BC6AFE">
      <w:pPr>
        <w:pStyle w:val="Titolo"/>
        <w:rPr>
          <w:lang w:val="en-US"/>
        </w:rPr>
      </w:pPr>
      <w:r w:rsidRPr="00FA5BD5">
        <w:rPr>
          <w:lang w:val="en-US"/>
        </w:rPr>
        <w:t xml:space="preserve">Assessing multi-source processes: </w:t>
      </w:r>
      <w:r>
        <w:rPr>
          <w:lang w:val="en-US"/>
        </w:rPr>
        <w:t>the new Total Process Error</w:t>
      </w:r>
      <w:r w:rsidRPr="00FA5BD5">
        <w:rPr>
          <w:lang w:val="en-US"/>
        </w:rPr>
        <w:t xml:space="preserve"> framework </w:t>
      </w:r>
    </w:p>
    <w:p w14:paraId="729A7ACE" w14:textId="3432B6C5" w:rsidR="00074070" w:rsidRDefault="00074070" w:rsidP="00074070">
      <w:r w:rsidRPr="0025183E">
        <w:rPr>
          <w:b/>
          <w:u w:val="single"/>
        </w:rPr>
        <w:t>Keywords</w:t>
      </w:r>
      <w:r w:rsidRPr="0025183E">
        <w:rPr>
          <w:b/>
        </w:rPr>
        <w:t>:</w:t>
      </w:r>
      <w:r w:rsidRPr="0025183E">
        <w:t xml:space="preserve"> </w:t>
      </w:r>
      <w:r w:rsidR="009A6B4C" w:rsidRPr="0025183E">
        <w:t>multi-source processes</w:t>
      </w:r>
      <w:r w:rsidR="006B08E8" w:rsidRPr="0025183E">
        <w:t xml:space="preserve">, </w:t>
      </w:r>
      <w:r w:rsidR="00E109F6" w:rsidRPr="0025183E">
        <w:t xml:space="preserve">quality assessment, </w:t>
      </w:r>
      <w:r w:rsidR="006B08E8" w:rsidRPr="0025183E">
        <w:t>data integration</w:t>
      </w:r>
    </w:p>
    <w:p w14:paraId="1C61B1E3" w14:textId="77777777" w:rsidR="00133326" w:rsidRDefault="00133326" w:rsidP="00E33B29">
      <w:pPr>
        <w:pStyle w:val="Titolo1"/>
        <w:numPr>
          <w:ilvl w:val="0"/>
          <w:numId w:val="29"/>
        </w:numPr>
        <w:tabs>
          <w:tab w:val="num" w:pos="480"/>
        </w:tabs>
        <w:ind w:left="482" w:hanging="482"/>
      </w:pPr>
      <w:r>
        <w:t>Introduction</w:t>
      </w:r>
    </w:p>
    <w:p w14:paraId="6B479EED" w14:textId="139F0C3A" w:rsidR="000403CE" w:rsidRDefault="009A4FC6" w:rsidP="009A4FC6">
      <w:r w:rsidRPr="009740A5">
        <w:t>The production of Official Statistics based on a combination of data from different sources has spread out in recent years</w:t>
      </w:r>
      <w:r>
        <w:t xml:space="preserve"> and </w:t>
      </w:r>
      <w:r w:rsidRPr="009740A5">
        <w:t xml:space="preserve">all the National Statistical Institutes (NSIs) </w:t>
      </w:r>
      <w:r>
        <w:t xml:space="preserve">are developing </w:t>
      </w:r>
      <w:r w:rsidRPr="009740A5">
        <w:t xml:space="preserve">new strategies in producing the required outputs. The challenge is to move towards processes where the combination of the available administrative data (AD hereafter) should represent as far as possible the primary source, delivering strong and extensive information about the phenomena under study. </w:t>
      </w:r>
    </w:p>
    <w:p w14:paraId="35A8EC53" w14:textId="49687D09" w:rsidR="00741D43" w:rsidRDefault="007C061F" w:rsidP="009A4FC6">
      <w:r w:rsidRPr="009A6B4C">
        <w:t xml:space="preserve">Many </w:t>
      </w:r>
      <w:r w:rsidR="00741D43" w:rsidRPr="009A6B4C">
        <w:t xml:space="preserve">new experiences </w:t>
      </w:r>
      <w:r w:rsidRPr="009A6B4C">
        <w:t xml:space="preserve">have delivered </w:t>
      </w:r>
      <w:r w:rsidR="008D1569" w:rsidRPr="009A6B4C">
        <w:t xml:space="preserve">new </w:t>
      </w:r>
      <w:r w:rsidR="00741D43" w:rsidRPr="009A6B4C">
        <w:t>important results</w:t>
      </w:r>
      <w:r w:rsidRPr="009A6B4C">
        <w:t xml:space="preserve">, </w:t>
      </w:r>
      <w:r w:rsidR="008D1569" w:rsidRPr="009A6B4C">
        <w:t>that</w:t>
      </w:r>
      <w:r w:rsidR="00741D43" w:rsidRPr="009A6B4C">
        <w:t xml:space="preserve"> can be c</w:t>
      </w:r>
      <w:r w:rsidR="008D1569" w:rsidRPr="009A6B4C">
        <w:t>o</w:t>
      </w:r>
      <w:r w:rsidR="00741D43" w:rsidRPr="009A6B4C">
        <w:t>n</w:t>
      </w:r>
      <w:r w:rsidR="008D1569" w:rsidRPr="009A6B4C">
        <w:t>s</w:t>
      </w:r>
      <w:r w:rsidR="00741D43" w:rsidRPr="009A6B4C">
        <w:t xml:space="preserve">idered at the basis of the </w:t>
      </w:r>
      <w:r w:rsidR="00074070" w:rsidRPr="00002CB7">
        <w:t>modernization</w:t>
      </w:r>
      <w:r w:rsidR="008D1569" w:rsidRPr="009A6B4C">
        <w:t xml:space="preserve"> that NSIs</w:t>
      </w:r>
      <w:r w:rsidR="00074070">
        <w:t xml:space="preserve"> are facing</w:t>
      </w:r>
      <w:r w:rsidR="008D1569" w:rsidRPr="009A6B4C">
        <w:t>.</w:t>
      </w:r>
      <w:r w:rsidR="00741D43" w:rsidRPr="009A6B4C">
        <w:t xml:space="preserve"> </w:t>
      </w:r>
      <w:r w:rsidR="00F725B2" w:rsidRPr="009A6B4C">
        <w:t xml:space="preserve">In this view, new processes are taking place and new methodological issues are arising. </w:t>
      </w:r>
    </w:p>
    <w:p w14:paraId="1E55471F" w14:textId="189A8520" w:rsidR="009A4FC6" w:rsidRDefault="009A4FC6" w:rsidP="009A4FC6">
      <w:r w:rsidRPr="009740A5">
        <w:t xml:space="preserve">Among others, a key issue to be considered relates to the development of a new </w:t>
      </w:r>
      <w:r w:rsidRPr="003739FF">
        <w:t>quality framework</w:t>
      </w:r>
      <w:r w:rsidRPr="009740A5">
        <w:t xml:space="preserve"> to assess the quality of Official Statistics based on a multi-source process</w:t>
      </w:r>
      <w:r w:rsidR="0068388D">
        <w:t xml:space="preserve"> including </w:t>
      </w:r>
      <w:r w:rsidR="00644B61">
        <w:t>AD</w:t>
      </w:r>
      <w:r w:rsidRPr="009740A5">
        <w:t>.</w:t>
      </w:r>
      <w:r>
        <w:t xml:space="preserve"> </w:t>
      </w:r>
      <w:r w:rsidRPr="009740A5">
        <w:t xml:space="preserve">This paper focuses on this issue, with the </w:t>
      </w:r>
      <w:r>
        <w:t xml:space="preserve">final </w:t>
      </w:r>
      <w:r w:rsidRPr="009740A5">
        <w:t xml:space="preserve">aim </w:t>
      </w:r>
      <w:r w:rsidRPr="009A6B4C">
        <w:t>to propose an evaluation framework</w:t>
      </w:r>
      <w:r w:rsidRPr="00002CB7">
        <w:t xml:space="preserve">, </w:t>
      </w:r>
      <w:r w:rsidR="00957C5A" w:rsidRPr="00002CB7">
        <w:t xml:space="preserve">based on a system of indicators, </w:t>
      </w:r>
      <w:r w:rsidRPr="00002CB7">
        <w:t>useful to: (</w:t>
      </w:r>
      <w:proofErr w:type="spellStart"/>
      <w:r w:rsidRPr="00002CB7">
        <w:t>i</w:t>
      </w:r>
      <w:proofErr w:type="spellEnd"/>
      <w:r w:rsidRPr="00002CB7">
        <w:t>)</w:t>
      </w:r>
      <w:r w:rsidR="00F725B2" w:rsidRPr="00002CB7">
        <w:t xml:space="preserve"> help practical decisions about statistical design</w:t>
      </w:r>
      <w:r w:rsidR="00F725B2" w:rsidRPr="009740A5">
        <w:t xml:space="preserve"> </w:t>
      </w:r>
      <w:r w:rsidR="00F725B2">
        <w:t xml:space="preserve">together with </w:t>
      </w:r>
      <w:r w:rsidR="00F725B2" w:rsidRPr="009740A5">
        <w:t>monitoring</w:t>
      </w:r>
      <w:r w:rsidR="00F725B2">
        <w:t xml:space="preserve"> its development </w:t>
      </w:r>
      <w:r>
        <w:t xml:space="preserve">(ii) </w:t>
      </w:r>
      <w:r w:rsidR="00F725B2">
        <w:t>define quality measure</w:t>
      </w:r>
      <w:r w:rsidR="009A6B4C">
        <w:t>/measures</w:t>
      </w:r>
      <w:r w:rsidR="00F725B2">
        <w:t xml:space="preserve"> of the new processes and of their statistical outputs.</w:t>
      </w:r>
    </w:p>
    <w:p w14:paraId="1B430816" w14:textId="2B271F6B" w:rsidR="00E17D40" w:rsidRDefault="009A4FC6" w:rsidP="00957C5A">
      <w:r>
        <w:t xml:space="preserve">The starting point to be taken as </w:t>
      </w:r>
      <w:r w:rsidRPr="009740A5">
        <w:t>reference</w:t>
      </w:r>
      <w:r>
        <w:t xml:space="preserve"> in literature </w:t>
      </w:r>
      <w:r w:rsidR="005845D8">
        <w:t xml:space="preserve">is </w:t>
      </w:r>
      <w:r w:rsidR="009A6B4C">
        <w:t xml:space="preserve">the </w:t>
      </w:r>
      <w:r w:rsidR="005845D8">
        <w:t xml:space="preserve">adaptation of the </w:t>
      </w:r>
      <w:r w:rsidRPr="009740A5">
        <w:t xml:space="preserve">life-cycle paradigm </w:t>
      </w:r>
      <w:r w:rsidR="00E13690">
        <w:t>(</w:t>
      </w:r>
      <w:r w:rsidR="00B37F92" w:rsidRPr="00AD18BB">
        <w:rPr>
          <w:rStyle w:val="None"/>
          <w:sz w:val="22"/>
          <w:szCs w:val="22"/>
          <w:lang w:val="en-US"/>
        </w:rPr>
        <w:t xml:space="preserve">Groves and </w:t>
      </w:r>
      <w:proofErr w:type="spellStart"/>
      <w:r w:rsidR="00B37F92" w:rsidRPr="00AD18BB">
        <w:rPr>
          <w:rStyle w:val="None"/>
          <w:sz w:val="22"/>
          <w:szCs w:val="22"/>
          <w:lang w:val="en-US"/>
        </w:rPr>
        <w:t>Lyberg</w:t>
      </w:r>
      <w:proofErr w:type="spellEnd"/>
      <w:r w:rsidR="00B37F92">
        <w:t xml:space="preserve"> </w:t>
      </w:r>
      <w:r w:rsidR="00FA5BD5">
        <w:t>[1]</w:t>
      </w:r>
      <w:r w:rsidR="00E13690">
        <w:t>)</w:t>
      </w:r>
      <w:r w:rsidR="005845D8">
        <w:t xml:space="preserve"> </w:t>
      </w:r>
      <w:r w:rsidR="009A6B4C">
        <w:t xml:space="preserve">to a </w:t>
      </w:r>
      <w:r w:rsidR="009A6B4C" w:rsidRPr="00EF604A">
        <w:t>multi-source process</w:t>
      </w:r>
      <w:r w:rsidR="009A6B4C" w:rsidRPr="009740A5">
        <w:t xml:space="preserve"> </w:t>
      </w:r>
      <w:r w:rsidRPr="009740A5">
        <w:t>proposed by</w:t>
      </w:r>
      <w:r w:rsidR="00B37F92">
        <w:t xml:space="preserve"> </w:t>
      </w:r>
      <w:r w:rsidR="00B37F92" w:rsidRPr="00FA5BD5">
        <w:rPr>
          <w:sz w:val="22"/>
          <w:szCs w:val="22"/>
        </w:rPr>
        <w:t>Zhang</w:t>
      </w:r>
      <w:r w:rsidR="00FA5BD5">
        <w:t xml:space="preserve"> [2]</w:t>
      </w:r>
      <w:r w:rsidR="005845D8">
        <w:t xml:space="preserve"> </w:t>
      </w:r>
      <w:r w:rsidR="00950793">
        <w:t>and applied by</w:t>
      </w:r>
      <w:r w:rsidR="00B37F92">
        <w:t xml:space="preserve"> </w:t>
      </w:r>
      <w:proofErr w:type="spellStart"/>
      <w:r w:rsidR="00B37F92">
        <w:t>Zabala</w:t>
      </w:r>
      <w:proofErr w:type="spellEnd"/>
      <w:r w:rsidR="00B37F92">
        <w:t xml:space="preserve"> </w:t>
      </w:r>
      <w:r w:rsidR="00B37F92" w:rsidRPr="00B37F92">
        <w:rPr>
          <w:i/>
        </w:rPr>
        <w:t>et al.</w:t>
      </w:r>
      <w:r w:rsidR="00950793">
        <w:t xml:space="preserve"> </w:t>
      </w:r>
      <w:r w:rsidR="00FA5BD5">
        <w:t>[3]</w:t>
      </w:r>
      <w:r w:rsidR="005845D8">
        <w:t xml:space="preserve">, resulting in a two-phases life-cycle where for every </w:t>
      </w:r>
      <w:r w:rsidR="003E2EF8" w:rsidRPr="00EF604A">
        <w:t>phase</w:t>
      </w:r>
      <w:r w:rsidR="005845D8">
        <w:t xml:space="preserve"> every source of s</w:t>
      </w:r>
      <w:r w:rsidR="003E2EF8" w:rsidRPr="00EF604A">
        <w:t xml:space="preserve">pecific errors </w:t>
      </w:r>
      <w:r w:rsidR="005845D8">
        <w:t xml:space="preserve">that </w:t>
      </w:r>
      <w:r w:rsidR="003E2EF8" w:rsidRPr="00EF604A">
        <w:t>can occur</w:t>
      </w:r>
      <w:r w:rsidR="0068388D">
        <w:t xml:space="preserve"> is identified</w:t>
      </w:r>
      <w:r w:rsidR="005845D8">
        <w:t xml:space="preserve">. </w:t>
      </w:r>
      <w:r w:rsidR="00E17D40">
        <w:t xml:space="preserve">Afterwards, </w:t>
      </w:r>
      <w:r w:rsidR="00B37F92" w:rsidRPr="00FA5BD5">
        <w:rPr>
          <w:sz w:val="22"/>
          <w:szCs w:val="22"/>
        </w:rPr>
        <w:t>Reid</w:t>
      </w:r>
      <w:r w:rsidR="00B37F92">
        <w:t xml:space="preserve"> </w:t>
      </w:r>
      <w:r w:rsidR="00B37F92" w:rsidRPr="00B37F92">
        <w:rPr>
          <w:i/>
        </w:rPr>
        <w:t>et al.</w:t>
      </w:r>
      <w:r w:rsidR="00B37F92">
        <w:t xml:space="preserve"> </w:t>
      </w:r>
      <w:r w:rsidR="00E17D40">
        <w:t>[4] applied</w:t>
      </w:r>
      <w:r w:rsidR="00E17D40" w:rsidRPr="00E17D40">
        <w:t xml:space="preserve"> the Total Survey Error (TSE) paradigm (</w:t>
      </w:r>
      <w:r w:rsidR="00B37F92" w:rsidRPr="00E109F6">
        <w:rPr>
          <w:rStyle w:val="None"/>
          <w:sz w:val="22"/>
          <w:szCs w:val="22"/>
          <w:lang w:val="en-US"/>
        </w:rPr>
        <w:t xml:space="preserve">Groves and </w:t>
      </w:r>
      <w:proofErr w:type="spellStart"/>
      <w:r w:rsidR="00B37F92" w:rsidRPr="00E109F6">
        <w:rPr>
          <w:rStyle w:val="None"/>
          <w:sz w:val="22"/>
          <w:szCs w:val="22"/>
          <w:lang w:val="en-US"/>
        </w:rPr>
        <w:t>Lyberg</w:t>
      </w:r>
      <w:proofErr w:type="spellEnd"/>
      <w:r w:rsidR="00B37F92">
        <w:t xml:space="preserve"> </w:t>
      </w:r>
      <w:r w:rsidR="00E17D40">
        <w:t>[1])</w:t>
      </w:r>
      <w:r w:rsidR="00E17D40" w:rsidRPr="00E17D40">
        <w:t xml:space="preserve"> to the new realm of statistical production, which involves integrating and combining data from various sources. It builds on </w:t>
      </w:r>
      <w:r w:rsidR="00B37F92" w:rsidRPr="00FA5BD5">
        <w:rPr>
          <w:sz w:val="22"/>
          <w:szCs w:val="22"/>
        </w:rPr>
        <w:t>Zhang</w:t>
      </w:r>
      <w:r w:rsidR="00B37F92">
        <w:t xml:space="preserve"> </w:t>
      </w:r>
      <w:r w:rsidR="00E17D40">
        <w:t>[2]</w:t>
      </w:r>
      <w:r w:rsidR="00E17D40" w:rsidRPr="00E17D40">
        <w:t xml:space="preserve"> extension of this TSE</w:t>
      </w:r>
      <w:r w:rsidR="00E17D40">
        <w:t xml:space="preserve"> </w:t>
      </w:r>
      <w:r w:rsidR="00E17D40" w:rsidRPr="00E17D40">
        <w:t>thinking to</w:t>
      </w:r>
      <w:r w:rsidR="00E17D40">
        <w:t xml:space="preserve"> </w:t>
      </w:r>
      <w:r w:rsidR="00E17D40" w:rsidRPr="00E17D40">
        <w:t>administrative and</w:t>
      </w:r>
      <w:r w:rsidR="00E17D40">
        <w:t xml:space="preserve"> </w:t>
      </w:r>
      <w:r w:rsidR="00E17D40" w:rsidRPr="00E17D40">
        <w:t>integrated data</w:t>
      </w:r>
      <w:r w:rsidR="00E17D40">
        <w:t xml:space="preserve">, proposing a three-phases </w:t>
      </w:r>
      <w:r w:rsidR="00E17D40" w:rsidRPr="00E17D40">
        <w:t>framework: 1) a single source assessment, 2) an integrated data set assessment, and 3) an estimation and output assessment</w:t>
      </w:r>
      <w:r w:rsidR="00E17D40">
        <w:t xml:space="preserve"> (</w:t>
      </w:r>
      <w:proofErr w:type="spellStart"/>
      <w:r w:rsidR="00E17D40">
        <w:t>TSE</w:t>
      </w:r>
      <w:r w:rsidR="00E17D40" w:rsidRPr="00E17D40">
        <w:rPr>
          <w:i/>
        </w:rPr>
        <w:t>adm</w:t>
      </w:r>
      <w:proofErr w:type="spellEnd"/>
      <w:r w:rsidR="00E17D40">
        <w:t>)</w:t>
      </w:r>
      <w:r w:rsidR="00E17D40" w:rsidRPr="00E17D40">
        <w:t>.</w:t>
      </w:r>
    </w:p>
    <w:p w14:paraId="472FE9EE" w14:textId="43BA7B56" w:rsidR="005469E1" w:rsidRDefault="00957C5A" w:rsidP="00957C5A">
      <w:r>
        <w:t>As case study</w:t>
      </w:r>
      <w:r w:rsidR="006617E6">
        <w:t xml:space="preserve"> for a critical application of the </w:t>
      </w:r>
      <w:proofErr w:type="spellStart"/>
      <w:r w:rsidR="006617E6">
        <w:t>TSE</w:t>
      </w:r>
      <w:r w:rsidR="006617E6" w:rsidRPr="00FA5BD5">
        <w:rPr>
          <w:i/>
        </w:rPr>
        <w:t>adm</w:t>
      </w:r>
      <w:proofErr w:type="spellEnd"/>
      <w:r>
        <w:t xml:space="preserve">, </w:t>
      </w:r>
      <w:r w:rsidR="00B37F92">
        <w:t>we cho</w:t>
      </w:r>
      <w:r w:rsidR="005469E1">
        <w:t xml:space="preserve">se </w:t>
      </w:r>
      <w:r>
        <w:t xml:space="preserve">the </w:t>
      </w:r>
      <w:r w:rsidRPr="009740A5">
        <w:t>I</w:t>
      </w:r>
      <w:r w:rsidR="00587434">
        <w:t xml:space="preserve">stat statistical register </w:t>
      </w:r>
      <w:r w:rsidR="00E17D40">
        <w:t>Fr</w:t>
      </w:r>
      <w:r w:rsidR="00587434">
        <w:t>ame for Structural Business Statistics (Frame-</w:t>
      </w:r>
      <w:r w:rsidRPr="009740A5">
        <w:t>SBS</w:t>
      </w:r>
      <w:r w:rsidR="00587434">
        <w:t>)</w:t>
      </w:r>
      <w:r w:rsidRPr="009740A5">
        <w:t xml:space="preserve"> (</w:t>
      </w:r>
      <w:r w:rsidR="00FA5BD5">
        <w:t>[5],[6],[7]</w:t>
      </w:r>
      <w:r w:rsidRPr="009740A5">
        <w:t>), support</w:t>
      </w:r>
      <w:r>
        <w:t>ing</w:t>
      </w:r>
      <w:r w:rsidRPr="009740A5">
        <w:t xml:space="preserve"> the annual estimation of Structural Business Statistics (hereafter SBS) on enterprises’ profit and loss accounts. </w:t>
      </w:r>
    </w:p>
    <w:p w14:paraId="0A493A2C" w14:textId="2CA36645" w:rsidR="0026191E" w:rsidRDefault="000A2C57" w:rsidP="00D83B35">
      <w:r>
        <w:t xml:space="preserve">The </w:t>
      </w:r>
      <w:r w:rsidR="005469E1" w:rsidRPr="00EF604A">
        <w:t>analysis of the proposed framework in terms of life-cycle of a multi-source process</w:t>
      </w:r>
      <w:r w:rsidR="00950793">
        <w:t xml:space="preserve"> </w:t>
      </w:r>
      <w:r w:rsidR="00644B61">
        <w:t xml:space="preserve">based on </w:t>
      </w:r>
      <w:r w:rsidR="00984D36">
        <w:t xml:space="preserve">integrated </w:t>
      </w:r>
      <w:r w:rsidR="00644B61">
        <w:t xml:space="preserve">AD like </w:t>
      </w:r>
      <w:r w:rsidR="00DC0C73">
        <w:t xml:space="preserve">the </w:t>
      </w:r>
      <w:r w:rsidR="00AE798F">
        <w:t>Frame-SBS</w:t>
      </w:r>
      <w:r w:rsidR="00AE798F" w:rsidRPr="00EF604A" w:rsidDel="00950793">
        <w:t xml:space="preserve"> </w:t>
      </w:r>
      <w:r w:rsidR="00644B61">
        <w:t xml:space="preserve">one </w:t>
      </w:r>
      <w:r w:rsidR="00DC0C73">
        <w:t xml:space="preserve">has </w:t>
      </w:r>
      <w:r w:rsidR="00AE798F">
        <w:t xml:space="preserve">led to some </w:t>
      </w:r>
      <w:r w:rsidR="00DC0C73">
        <w:t>reflections</w:t>
      </w:r>
      <w:r>
        <w:t xml:space="preserve">. </w:t>
      </w:r>
      <w:r w:rsidR="00E17D40">
        <w:t>Nevertheless, a</w:t>
      </w:r>
      <w:r>
        <w:t xml:space="preserve">s a surprise, </w:t>
      </w:r>
      <w:r w:rsidR="00AE798F">
        <w:t xml:space="preserve">the application </w:t>
      </w:r>
      <w:r w:rsidR="00002CB7">
        <w:t xml:space="preserve">of the scheme as it is </w:t>
      </w:r>
      <w:r w:rsidR="00AE798F" w:rsidRPr="00002CB7">
        <w:t>fail</w:t>
      </w:r>
      <w:r w:rsidR="00002CB7">
        <w:t>s</w:t>
      </w:r>
      <w:r w:rsidR="006C5484">
        <w:t xml:space="preserve"> </w:t>
      </w:r>
      <w:r w:rsidR="00AE798F">
        <w:t>to</w:t>
      </w:r>
      <w:r w:rsidR="006C5484">
        <w:t xml:space="preserve"> fully </w:t>
      </w:r>
      <w:r w:rsidR="00AE798F">
        <w:t xml:space="preserve">represent the </w:t>
      </w:r>
      <w:r w:rsidR="00002CB7">
        <w:t xml:space="preserve">production </w:t>
      </w:r>
      <w:r w:rsidR="00AE798F">
        <w:t xml:space="preserve">process </w:t>
      </w:r>
      <w:r w:rsidR="00002CB7">
        <w:t xml:space="preserve">of </w:t>
      </w:r>
      <w:r w:rsidR="00AE798F">
        <w:t xml:space="preserve">the </w:t>
      </w:r>
      <w:r>
        <w:t>Frame-SBS</w:t>
      </w:r>
      <w:r w:rsidR="00644B61" w:rsidRPr="00644B61">
        <w:t xml:space="preserve"> </w:t>
      </w:r>
      <w:r w:rsidR="00644B61">
        <w:t>register</w:t>
      </w:r>
      <w:r w:rsidR="00DC0C73">
        <w:t xml:space="preserve">. </w:t>
      </w:r>
      <w:r w:rsidR="005A6C64">
        <w:t xml:space="preserve">Hence, more motivation arose to enhance </w:t>
      </w:r>
      <w:r>
        <w:t>deeper stud</w:t>
      </w:r>
      <w:r w:rsidR="005A6C64">
        <w:t>ies</w:t>
      </w:r>
      <w:r>
        <w:t xml:space="preserve"> of the reasoning under the proposed framework</w:t>
      </w:r>
      <w:r w:rsidR="00B62CCE">
        <w:t>, thus confirming</w:t>
      </w:r>
      <w:r w:rsidR="00B62CCE">
        <w:rPr>
          <w:lang w:val="en-US"/>
        </w:rPr>
        <w:t xml:space="preserve"> Z</w:t>
      </w:r>
      <w:r w:rsidR="00B62CCE" w:rsidRPr="00BF386F">
        <w:rPr>
          <w:lang w:val="en-US"/>
        </w:rPr>
        <w:t>hang</w:t>
      </w:r>
      <w:r w:rsidR="00B62CCE">
        <w:rPr>
          <w:lang w:val="en-US"/>
        </w:rPr>
        <w:t>’s assertion that we should think to be in “a pre-</w:t>
      </w:r>
      <w:proofErr w:type="spellStart"/>
      <w:r w:rsidR="00B62CCE">
        <w:rPr>
          <w:lang w:val="en-US"/>
        </w:rPr>
        <w:t>Neymann</w:t>
      </w:r>
      <w:proofErr w:type="spellEnd"/>
      <w:r w:rsidR="00B62CCE">
        <w:rPr>
          <w:lang w:val="en-US"/>
        </w:rPr>
        <w:t xml:space="preserve"> era” and that </w:t>
      </w:r>
      <w:r w:rsidR="00B62CCE" w:rsidRPr="009A4FC6">
        <w:rPr>
          <w:lang w:val="en-US"/>
        </w:rPr>
        <w:t xml:space="preserve">some </w:t>
      </w:r>
      <w:r w:rsidR="00B62CCE">
        <w:rPr>
          <w:lang w:val="en-US"/>
        </w:rPr>
        <w:t>“</w:t>
      </w:r>
      <w:r w:rsidR="00B62CCE" w:rsidRPr="009A4FC6">
        <w:rPr>
          <w:lang w:val="en-US"/>
        </w:rPr>
        <w:t>frameworks have already been proposed, but each of them leaves some open issues and calls for the need of re-formulate the undergoing statistical thinking</w:t>
      </w:r>
      <w:r w:rsidR="00B62CCE">
        <w:rPr>
          <w:lang w:val="en-US"/>
        </w:rPr>
        <w:t>”</w:t>
      </w:r>
      <w:r w:rsidR="00B62CCE" w:rsidRPr="009A4FC6">
        <w:rPr>
          <w:lang w:val="en-US"/>
        </w:rPr>
        <w:t xml:space="preserve"> (</w:t>
      </w:r>
      <w:r w:rsidR="00FA5BD5">
        <w:rPr>
          <w:lang w:val="en-US"/>
        </w:rPr>
        <w:t>[4]</w:t>
      </w:r>
      <w:r w:rsidR="00B62CCE" w:rsidRPr="009A4FC6">
        <w:rPr>
          <w:lang w:val="en-US"/>
        </w:rPr>
        <w:t>)</w:t>
      </w:r>
      <w:r w:rsidR="00B62CCE">
        <w:rPr>
          <w:lang w:val="en-US"/>
        </w:rPr>
        <w:t xml:space="preserve">. </w:t>
      </w:r>
    </w:p>
    <w:p w14:paraId="010C241C" w14:textId="2AA02F9D" w:rsidR="00951AC7" w:rsidRDefault="00B62CCE" w:rsidP="00951AC7">
      <w:pPr>
        <w:rPr>
          <w:lang w:val="en-US"/>
        </w:rPr>
      </w:pPr>
      <w:r w:rsidRPr="00B37F92">
        <w:rPr>
          <w:lang w:val="en-US"/>
        </w:rPr>
        <w:t xml:space="preserve">By applying the </w:t>
      </w:r>
      <w:proofErr w:type="spellStart"/>
      <w:r w:rsidRPr="00B37F92">
        <w:rPr>
          <w:lang w:val="en-US"/>
        </w:rPr>
        <w:t>TSE</w:t>
      </w:r>
      <w:r w:rsidRPr="00B37F92">
        <w:rPr>
          <w:i/>
          <w:lang w:val="en-US"/>
        </w:rPr>
        <w:t>adm</w:t>
      </w:r>
      <w:proofErr w:type="spellEnd"/>
      <w:r w:rsidRPr="00B37F92">
        <w:rPr>
          <w:lang w:val="en-US"/>
        </w:rPr>
        <w:t xml:space="preserve"> to the</w:t>
      </w:r>
      <w:r w:rsidR="00F725B2" w:rsidRPr="00B37F92">
        <w:rPr>
          <w:lang w:val="en-US"/>
        </w:rPr>
        <w:t xml:space="preserve"> Frame-SBS</w:t>
      </w:r>
      <w:r w:rsidR="0026191E" w:rsidRPr="00B37F92">
        <w:rPr>
          <w:lang w:val="en-US"/>
        </w:rPr>
        <w:t xml:space="preserve"> process</w:t>
      </w:r>
      <w:r w:rsidRPr="00B37F92">
        <w:rPr>
          <w:lang w:val="en-US"/>
        </w:rPr>
        <w:t xml:space="preserve">, we realized that </w:t>
      </w:r>
      <w:r w:rsidR="00F725B2" w:rsidRPr="00B37F92">
        <w:rPr>
          <w:lang w:val="en-US"/>
        </w:rPr>
        <w:t xml:space="preserve">the </w:t>
      </w:r>
      <w:r w:rsidRPr="00B37F92">
        <w:rPr>
          <w:lang w:val="en-US"/>
        </w:rPr>
        <w:t xml:space="preserve">entire production </w:t>
      </w:r>
      <w:r w:rsidR="00F725B2" w:rsidRPr="00B37F92">
        <w:rPr>
          <w:lang w:val="en-US"/>
        </w:rPr>
        <w:t xml:space="preserve">process would not be monitored in some </w:t>
      </w:r>
      <w:r w:rsidRPr="00B37F92">
        <w:rPr>
          <w:lang w:val="en-US"/>
        </w:rPr>
        <w:t>points,</w:t>
      </w:r>
      <w:r w:rsidR="00F725B2" w:rsidRPr="00B37F92">
        <w:rPr>
          <w:lang w:val="en-US"/>
        </w:rPr>
        <w:t xml:space="preserve"> that are considered </w:t>
      </w:r>
      <w:r w:rsidR="002267E2" w:rsidRPr="00B37F92">
        <w:rPr>
          <w:lang w:val="en-US"/>
        </w:rPr>
        <w:t xml:space="preserve">instead </w:t>
      </w:r>
      <w:r w:rsidR="00F725B2" w:rsidRPr="00B37F92">
        <w:rPr>
          <w:lang w:val="en-US"/>
        </w:rPr>
        <w:t xml:space="preserve">to be delicate. Furthermore, </w:t>
      </w:r>
      <w:r w:rsidR="00010289" w:rsidRPr="00B37F92">
        <w:rPr>
          <w:lang w:val="en-US"/>
        </w:rPr>
        <w:t>trying</w:t>
      </w:r>
      <w:r w:rsidR="00F725B2" w:rsidRPr="00B37F92">
        <w:rPr>
          <w:lang w:val="en-US"/>
        </w:rPr>
        <w:t xml:space="preserve"> to cover also the third phase, as Reid </w:t>
      </w:r>
      <w:r w:rsidR="00F725B2" w:rsidRPr="00B37F92">
        <w:rPr>
          <w:i/>
          <w:lang w:val="en-US"/>
        </w:rPr>
        <w:t>et al.</w:t>
      </w:r>
      <w:r w:rsidR="00F725B2" w:rsidRPr="00B37F92">
        <w:rPr>
          <w:lang w:val="en-US"/>
        </w:rPr>
        <w:t xml:space="preserve"> did, </w:t>
      </w:r>
      <w:r w:rsidR="00010289" w:rsidRPr="00B37F92">
        <w:rPr>
          <w:lang w:val="en-US"/>
        </w:rPr>
        <w:t>we realize</w:t>
      </w:r>
      <w:r w:rsidR="002267E2" w:rsidRPr="00B37F92">
        <w:rPr>
          <w:lang w:val="en-US"/>
        </w:rPr>
        <w:t>d</w:t>
      </w:r>
      <w:r w:rsidR="00010289" w:rsidRPr="00B37F92">
        <w:rPr>
          <w:lang w:val="en-US"/>
        </w:rPr>
        <w:t xml:space="preserve"> that the </w:t>
      </w:r>
      <w:r w:rsidR="009470AB" w:rsidRPr="00B37F92">
        <w:rPr>
          <w:lang w:val="en-US"/>
        </w:rPr>
        <w:t xml:space="preserve">type of </w:t>
      </w:r>
      <w:r w:rsidR="00010289" w:rsidRPr="00B37F92">
        <w:rPr>
          <w:lang w:val="en-US"/>
        </w:rPr>
        <w:t xml:space="preserve">final output </w:t>
      </w:r>
      <w:r w:rsidRPr="00B37F92">
        <w:rPr>
          <w:lang w:val="en-US"/>
        </w:rPr>
        <w:t xml:space="preserve">that can be defined from the Frame-SBS process </w:t>
      </w:r>
      <w:r w:rsidR="00010289" w:rsidRPr="00B37F92">
        <w:rPr>
          <w:lang w:val="en-US"/>
        </w:rPr>
        <w:t xml:space="preserve">is </w:t>
      </w:r>
      <w:r w:rsidR="00010289" w:rsidRPr="00B37F92">
        <w:rPr>
          <w:lang w:val="en-US"/>
        </w:rPr>
        <w:lastRenderedPageBreak/>
        <w:t xml:space="preserve">not unique </w:t>
      </w:r>
      <w:r w:rsidR="009470AB" w:rsidRPr="00B37F92">
        <w:rPr>
          <w:lang w:val="en-US"/>
        </w:rPr>
        <w:t xml:space="preserve">(register </w:t>
      </w:r>
      <w:r w:rsidR="00644B61" w:rsidRPr="00B37F92">
        <w:rPr>
          <w:lang w:val="en-US"/>
        </w:rPr>
        <w:t xml:space="preserve">of microdata </w:t>
      </w:r>
      <w:r w:rsidR="009470AB" w:rsidRPr="00B37F92">
        <w:rPr>
          <w:lang w:val="en-US"/>
        </w:rPr>
        <w:t xml:space="preserve">based only </w:t>
      </w:r>
      <w:r w:rsidRPr="00B37F92">
        <w:rPr>
          <w:lang w:val="en-US"/>
        </w:rPr>
        <w:t xml:space="preserve">on the use of </w:t>
      </w:r>
      <w:r w:rsidR="006B08E8" w:rsidRPr="00B37F92">
        <w:rPr>
          <w:lang w:val="en-US"/>
        </w:rPr>
        <w:t xml:space="preserve"> different </w:t>
      </w:r>
      <w:r w:rsidR="009470AB" w:rsidRPr="00B37F92">
        <w:rPr>
          <w:lang w:val="en-US"/>
        </w:rPr>
        <w:t xml:space="preserve">AD, register based on </w:t>
      </w:r>
      <w:r w:rsidR="00DE1956">
        <w:rPr>
          <w:lang w:val="en-US"/>
        </w:rPr>
        <w:t xml:space="preserve">the </w:t>
      </w:r>
      <w:r w:rsidR="009470AB" w:rsidRPr="00B37F92">
        <w:rPr>
          <w:lang w:val="en-US"/>
        </w:rPr>
        <w:t xml:space="preserve">integration of </w:t>
      </w:r>
      <w:r w:rsidR="006B08E8" w:rsidRPr="00B37F92">
        <w:rPr>
          <w:lang w:val="en-US"/>
        </w:rPr>
        <w:t xml:space="preserve">different </w:t>
      </w:r>
      <w:r w:rsidR="009470AB" w:rsidRPr="00B37F92">
        <w:rPr>
          <w:lang w:val="en-US"/>
        </w:rPr>
        <w:t>A</w:t>
      </w:r>
      <w:r w:rsidR="00644B61" w:rsidRPr="00B37F92">
        <w:rPr>
          <w:lang w:val="en-US"/>
        </w:rPr>
        <w:t>D</w:t>
      </w:r>
      <w:r w:rsidR="009470AB" w:rsidRPr="00B37F92">
        <w:rPr>
          <w:lang w:val="en-US"/>
        </w:rPr>
        <w:t xml:space="preserve"> </w:t>
      </w:r>
      <w:r w:rsidR="00DE1956">
        <w:rPr>
          <w:lang w:val="en-US"/>
        </w:rPr>
        <w:t>with</w:t>
      </w:r>
      <w:r w:rsidR="00DE1956" w:rsidRPr="00B37F92">
        <w:rPr>
          <w:lang w:val="en-US"/>
        </w:rPr>
        <w:t xml:space="preserve"> </w:t>
      </w:r>
      <w:proofErr w:type="spellStart"/>
      <w:r w:rsidR="009470AB" w:rsidRPr="00B37F92">
        <w:rPr>
          <w:lang w:val="en-US"/>
        </w:rPr>
        <w:t>imputat</w:t>
      </w:r>
      <w:r w:rsidR="00DE1956">
        <w:rPr>
          <w:lang w:val="en-US"/>
        </w:rPr>
        <w:t>ed</w:t>
      </w:r>
      <w:proofErr w:type="spellEnd"/>
      <w:r w:rsidR="009470AB" w:rsidRPr="00B37F92">
        <w:rPr>
          <w:lang w:val="en-US"/>
        </w:rPr>
        <w:t xml:space="preserve"> missing data, </w:t>
      </w:r>
      <w:r w:rsidR="00644B61" w:rsidRPr="00B37F92">
        <w:rPr>
          <w:lang w:val="en-US"/>
        </w:rPr>
        <w:t xml:space="preserve">estimates based on registers data, </w:t>
      </w:r>
      <w:r w:rsidR="009470AB" w:rsidRPr="00B37F92">
        <w:rPr>
          <w:lang w:val="en-US"/>
        </w:rPr>
        <w:t>etc.).</w:t>
      </w:r>
      <w:r w:rsidR="00951AC7" w:rsidRPr="00951AC7">
        <w:rPr>
          <w:lang w:val="en-US"/>
        </w:rPr>
        <w:t xml:space="preserve"> </w:t>
      </w:r>
    </w:p>
    <w:p w14:paraId="6DB6A4D9" w14:textId="5E4F59A6" w:rsidR="00951AC7" w:rsidRDefault="00951AC7" w:rsidP="00951AC7">
      <w:r w:rsidRPr="00B62CCE">
        <w:rPr>
          <w:lang w:val="en-US"/>
        </w:rPr>
        <w:t xml:space="preserve">Hence, further discussion and reasoning should be enhanced to achieve </w:t>
      </w:r>
      <w:r w:rsidRPr="00B62CCE">
        <w:t>a more compreh</w:t>
      </w:r>
      <w:r>
        <w:t>en</w:t>
      </w:r>
      <w:r w:rsidRPr="00B62CCE">
        <w:t xml:space="preserve">sive framework of multisource processes and outputs. As </w:t>
      </w:r>
      <w:r w:rsidRPr="00EB4781">
        <w:t xml:space="preserve">first ideas the following issues could/should be tackled/highlighted </w:t>
      </w:r>
      <w:r w:rsidRPr="00B62CCE">
        <w:t>(</w:t>
      </w:r>
      <w:proofErr w:type="spellStart"/>
      <w:r w:rsidR="00B37F92">
        <w:t>Rocci</w:t>
      </w:r>
      <w:proofErr w:type="spellEnd"/>
      <w:r w:rsidR="00B37F92">
        <w:t xml:space="preserve"> </w:t>
      </w:r>
      <w:r w:rsidR="00B37F92" w:rsidRPr="00B37F92">
        <w:rPr>
          <w:i/>
        </w:rPr>
        <w:t>et al.</w:t>
      </w:r>
      <w:r w:rsidR="00FA5BD5">
        <w:t>[8]</w:t>
      </w:r>
      <w:r w:rsidRPr="00B62CCE">
        <w:t>)</w:t>
      </w:r>
      <w:r w:rsidRPr="00EB4781">
        <w:t>: (</w:t>
      </w:r>
      <w:proofErr w:type="spellStart"/>
      <w:r w:rsidRPr="00EB4781">
        <w:t>i</w:t>
      </w:r>
      <w:proofErr w:type="spellEnd"/>
      <w:r w:rsidRPr="00EB4781">
        <w:t xml:space="preserve">) there is a lack of a well-defined vocabulary to distinguish which kind of data, processes and outputs are involved in each phase, (ii) there is a need to define and to distinguish different kinds of statistical outputs that can be obtained based on the </w:t>
      </w:r>
      <w:r w:rsidR="001D1D1F">
        <w:t xml:space="preserve">integrated </w:t>
      </w:r>
      <w:r w:rsidRPr="00EB4781">
        <w:t xml:space="preserve">use of AD, (iii) to consider how the processes are not still standardized, so that </w:t>
      </w:r>
      <w:r w:rsidR="006B08E8">
        <w:t xml:space="preserve">a quality evaluation framework </w:t>
      </w:r>
      <w:r>
        <w:t>should</w:t>
      </w:r>
      <w:r w:rsidRPr="00EB4781">
        <w:t xml:space="preserve"> be designed</w:t>
      </w:r>
      <w:r>
        <w:t xml:space="preserve"> in </w:t>
      </w:r>
      <w:r w:rsidR="006B08E8">
        <w:t xml:space="preserve">order to be </w:t>
      </w:r>
      <w:r w:rsidR="00DE1956">
        <w:t xml:space="preserve">as much </w:t>
      </w:r>
      <w:r w:rsidR="006B08E8">
        <w:t>flexible and general</w:t>
      </w:r>
      <w:r w:rsidR="00DE1956">
        <w:t xml:space="preserve"> as possible</w:t>
      </w:r>
      <w:r w:rsidR="006B08E8">
        <w:t>.</w:t>
      </w:r>
    </w:p>
    <w:p w14:paraId="21356B6A" w14:textId="3F8BD802" w:rsidR="000F67D2" w:rsidRDefault="00074070" w:rsidP="000F67D2">
      <w:pPr>
        <w:rPr>
          <w:lang w:val="en-US"/>
        </w:rPr>
      </w:pPr>
      <w:r>
        <w:rPr>
          <w:lang w:val="en-US"/>
        </w:rPr>
        <w:t xml:space="preserve">The point we started from is how to describe </w:t>
      </w:r>
      <w:r w:rsidR="009470AB" w:rsidRPr="009A4FC6">
        <w:rPr>
          <w:lang w:val="en-US"/>
        </w:rPr>
        <w:t>a process based on the use of external data</w:t>
      </w:r>
      <w:r w:rsidR="00951AC7">
        <w:rPr>
          <w:lang w:val="en-US"/>
        </w:rPr>
        <w:t xml:space="preserve"> (that </w:t>
      </w:r>
      <w:r w:rsidR="00951AC7" w:rsidRPr="000F67D2">
        <w:rPr>
          <w:lang w:val="en-US"/>
        </w:rPr>
        <w:t>come in many different varieties as can be combined in different ways</w:t>
      </w:r>
      <w:r w:rsidR="00951AC7">
        <w:rPr>
          <w:lang w:val="en-US"/>
        </w:rPr>
        <w:t>)</w:t>
      </w:r>
      <w:r>
        <w:rPr>
          <w:lang w:val="en-US"/>
        </w:rPr>
        <w:t xml:space="preserve"> in a </w:t>
      </w:r>
      <w:r w:rsidR="00AD460F">
        <w:rPr>
          <w:lang w:val="en-US"/>
        </w:rPr>
        <w:t>structured</w:t>
      </w:r>
      <w:r>
        <w:rPr>
          <w:lang w:val="en-US"/>
        </w:rPr>
        <w:t xml:space="preserve"> way. </w:t>
      </w:r>
      <w:r w:rsidR="00B62CCE">
        <w:rPr>
          <w:lang w:val="en-US"/>
        </w:rPr>
        <w:t>In this context, while</w:t>
      </w:r>
      <w:r w:rsidR="006473EE" w:rsidRPr="00B62CCE">
        <w:rPr>
          <w:lang w:val="en-US"/>
        </w:rPr>
        <w:t xml:space="preserve"> the </w:t>
      </w:r>
      <w:r w:rsidR="00B62CCE" w:rsidRPr="00B62CCE">
        <w:rPr>
          <w:lang w:val="en-US"/>
        </w:rPr>
        <w:t xml:space="preserve">Generic Statistical Business Process Model </w:t>
      </w:r>
      <w:r w:rsidR="00B62CCE">
        <w:rPr>
          <w:lang w:val="en-US"/>
        </w:rPr>
        <w:t>(</w:t>
      </w:r>
      <w:r w:rsidR="006473EE" w:rsidRPr="00B62CCE">
        <w:rPr>
          <w:lang w:val="en-US"/>
        </w:rPr>
        <w:t>GSBPM</w:t>
      </w:r>
      <w:r w:rsidR="00B62CCE">
        <w:rPr>
          <w:lang w:val="en-US"/>
        </w:rPr>
        <w:t>)</w:t>
      </w:r>
      <w:r w:rsidR="006473EE" w:rsidRPr="00B62CCE">
        <w:rPr>
          <w:lang w:val="en-US"/>
        </w:rPr>
        <w:t xml:space="preserve"> </w:t>
      </w:r>
      <w:r w:rsidR="009470AB" w:rsidRPr="00B62CCE">
        <w:rPr>
          <w:lang w:val="en-US"/>
        </w:rPr>
        <w:t>giv</w:t>
      </w:r>
      <w:r w:rsidR="006473EE" w:rsidRPr="00B62CCE">
        <w:rPr>
          <w:lang w:val="en-US"/>
        </w:rPr>
        <w:t>e</w:t>
      </w:r>
      <w:r w:rsidR="00B62CCE">
        <w:rPr>
          <w:lang w:val="en-US"/>
        </w:rPr>
        <w:t>s clear</w:t>
      </w:r>
      <w:r w:rsidR="009470AB" w:rsidRPr="00B62CCE">
        <w:rPr>
          <w:lang w:val="en-US"/>
        </w:rPr>
        <w:t xml:space="preserve"> guidelines on the conduction of </w:t>
      </w:r>
      <w:r w:rsidR="00B62CCE">
        <w:rPr>
          <w:lang w:val="en-US"/>
        </w:rPr>
        <w:t>an</w:t>
      </w:r>
      <w:r w:rsidR="00B62CCE" w:rsidRPr="00B62CCE">
        <w:rPr>
          <w:lang w:val="en-US"/>
        </w:rPr>
        <w:t xml:space="preserve"> </w:t>
      </w:r>
      <w:r w:rsidR="009470AB" w:rsidRPr="00B62CCE">
        <w:rPr>
          <w:lang w:val="en-US"/>
        </w:rPr>
        <w:t xml:space="preserve">entire survey, for these new processes we do not have a </w:t>
      </w:r>
      <w:r w:rsidR="00AD460F">
        <w:rPr>
          <w:lang w:val="en-US"/>
        </w:rPr>
        <w:t xml:space="preserve">standardized and </w:t>
      </w:r>
      <w:r w:rsidR="009470AB" w:rsidRPr="00B62CCE">
        <w:rPr>
          <w:lang w:val="en-US"/>
        </w:rPr>
        <w:t>systematic way to act</w:t>
      </w:r>
      <w:r w:rsidR="000F67D2">
        <w:rPr>
          <w:lang w:val="en-US"/>
        </w:rPr>
        <w:t xml:space="preserve">. In recent literature, </w:t>
      </w:r>
      <w:r w:rsidR="00FA5BD5">
        <w:rPr>
          <w:lang w:val="en-US"/>
        </w:rPr>
        <w:t>[9]</w:t>
      </w:r>
      <w:r w:rsidR="000F67D2">
        <w:rPr>
          <w:lang w:val="en-US"/>
        </w:rPr>
        <w:t xml:space="preserve"> guidelines </w:t>
      </w:r>
      <w:r w:rsidR="000F67D2" w:rsidRPr="000F67D2">
        <w:rPr>
          <w:lang w:val="en-US"/>
        </w:rPr>
        <w:t>for multi-source statistics</w:t>
      </w:r>
      <w:r w:rsidR="00DE1956">
        <w:rPr>
          <w:lang w:val="en-US"/>
        </w:rPr>
        <w:t xml:space="preserve"> are provided</w:t>
      </w:r>
      <w:r w:rsidR="000F67D2">
        <w:rPr>
          <w:lang w:val="en-US"/>
        </w:rPr>
        <w:t>.</w:t>
      </w:r>
    </w:p>
    <w:p w14:paraId="53CC4311" w14:textId="5CBCA30F" w:rsidR="00587434" w:rsidRDefault="00AD460F" w:rsidP="006473EE">
      <w:r>
        <w:t xml:space="preserve">In order to generalize the quality evaluation framework </w:t>
      </w:r>
      <w:r w:rsidR="006A63F6">
        <w:t xml:space="preserve">for multi-source processes </w:t>
      </w:r>
      <w:r w:rsidR="001D1D1F">
        <w:t xml:space="preserve">using AD </w:t>
      </w:r>
      <w:r w:rsidR="006A63F6">
        <w:t>described</w:t>
      </w:r>
      <w:r>
        <w:t xml:space="preserve"> in the current literature, we propose to: (</w:t>
      </w:r>
      <w:proofErr w:type="spellStart"/>
      <w:r>
        <w:t>i</w:t>
      </w:r>
      <w:proofErr w:type="spellEnd"/>
      <w:r>
        <w:t xml:space="preserve">) take distance from the </w:t>
      </w:r>
      <w:r w:rsidR="006A63F6">
        <w:t>“survey”</w:t>
      </w:r>
      <w:r>
        <w:t xml:space="preserve"> reasoning </w:t>
      </w:r>
      <w:r w:rsidR="006A63F6">
        <w:t xml:space="preserve">and name </w:t>
      </w:r>
      <w:r>
        <w:t>it Total Process Error</w:t>
      </w:r>
      <w:r w:rsidR="006B08E8">
        <w:t xml:space="preserve"> framework</w:t>
      </w:r>
      <w:r w:rsidR="00DE1956">
        <w:t xml:space="preserve"> (TPE hereafter)</w:t>
      </w:r>
      <w:r>
        <w:t>, (ii) split the second phase of the two-phases life-cycle (</w:t>
      </w:r>
      <w:r w:rsidR="00FA5BD5">
        <w:t>[2]</w:t>
      </w:r>
      <w:r>
        <w:t xml:space="preserve">) into two sub-phases, </w:t>
      </w:r>
      <w:r w:rsidR="006A63F6">
        <w:t>in order to</w:t>
      </w:r>
      <w:r>
        <w:t xml:space="preserve"> describe the process of combining different data sources, (iii) use a matrix connecting the </w:t>
      </w:r>
      <w:r w:rsidR="006A63F6">
        <w:t xml:space="preserve">steps of the </w:t>
      </w:r>
      <w:r>
        <w:t xml:space="preserve">entire production process and the </w:t>
      </w:r>
      <w:r w:rsidR="006A63F6">
        <w:t xml:space="preserve">phases of the </w:t>
      </w:r>
      <w:r>
        <w:t>quality evaluation framework</w:t>
      </w:r>
      <w:r w:rsidR="006A63F6">
        <w:t xml:space="preserve"> in order to identify every </w:t>
      </w:r>
      <w:r w:rsidR="00DE1956">
        <w:t xml:space="preserve">potential error </w:t>
      </w:r>
      <w:r w:rsidR="006A63F6">
        <w:t>source</w:t>
      </w:r>
      <w:r>
        <w:t xml:space="preserve">. The </w:t>
      </w:r>
      <w:r w:rsidR="006A63F6">
        <w:t>final</w:t>
      </w:r>
      <w:r>
        <w:t xml:space="preserve"> aim is to provide a flexible tool to evaluate the quality</w:t>
      </w:r>
      <w:r w:rsidR="006A63F6">
        <w:t xml:space="preserve"> of</w:t>
      </w:r>
      <w:r>
        <w:t xml:space="preserve"> </w:t>
      </w:r>
      <w:r w:rsidR="00DE1956">
        <w:t>complex</w:t>
      </w:r>
      <w:r>
        <w:t xml:space="preserve"> processes. </w:t>
      </w:r>
    </w:p>
    <w:p w14:paraId="1705BD33" w14:textId="30D3C163" w:rsidR="00EB4781" w:rsidRDefault="00EB4781" w:rsidP="006473EE">
      <w:r>
        <w:t xml:space="preserve">In the following, the case study </w:t>
      </w:r>
      <w:r w:rsidR="00074070">
        <w:t>Frame-SBS is showed</w:t>
      </w:r>
      <w:r w:rsidR="00951AC7">
        <w:t xml:space="preserve"> and</w:t>
      </w:r>
      <w:r w:rsidR="00074070">
        <w:t xml:space="preserve"> the </w:t>
      </w:r>
      <w:r w:rsidR="001D1D1F">
        <w:t xml:space="preserve">TPE framework is </w:t>
      </w:r>
      <w:r w:rsidR="00951AC7">
        <w:t>presented.</w:t>
      </w:r>
    </w:p>
    <w:p w14:paraId="18EA59AF" w14:textId="4A04DBDB" w:rsidR="009470AB" w:rsidRPr="00CF37DD" w:rsidRDefault="009470AB" w:rsidP="00E33B29">
      <w:pPr>
        <w:pStyle w:val="Titolo1"/>
        <w:numPr>
          <w:ilvl w:val="0"/>
          <w:numId w:val="29"/>
        </w:numPr>
        <w:tabs>
          <w:tab w:val="num" w:pos="480"/>
        </w:tabs>
        <w:ind w:left="482" w:hanging="482"/>
      </w:pPr>
      <w:r w:rsidRPr="009740A5">
        <w:t>Frame SBS: a short description</w:t>
      </w:r>
    </w:p>
    <w:p w14:paraId="3E091B95" w14:textId="5E01539A" w:rsidR="009C14A7" w:rsidRPr="00EF604A" w:rsidRDefault="009470AB" w:rsidP="00587434">
      <w:r w:rsidRPr="009740A5">
        <w:t xml:space="preserve">The statistical register Frame-SBS, designed to </w:t>
      </w:r>
      <w:r w:rsidR="008E3DF1">
        <w:t>meet</w:t>
      </w:r>
      <w:r w:rsidR="008E3DF1" w:rsidRPr="009740A5">
        <w:t xml:space="preserve"> </w:t>
      </w:r>
      <w:r w:rsidRPr="009740A5">
        <w:t xml:space="preserve">the European SBS regulation, is built for the annual release of statistics on loss and accounts of enterprises. It is designed with respect to the given international agreement on enterprises accountability and covers industry, construction, distributive trades and services, broken down to a very detailed sectoral level. In Italy, SBS </w:t>
      </w:r>
      <w:r w:rsidR="009C14A7" w:rsidRPr="009C14A7">
        <w:rPr>
          <w:i/>
        </w:rPr>
        <w:t>core</w:t>
      </w:r>
      <w:r w:rsidR="009C14A7">
        <w:t xml:space="preserve"> </w:t>
      </w:r>
      <w:r w:rsidRPr="009740A5">
        <w:t xml:space="preserve">variables </w:t>
      </w:r>
      <w:r w:rsidR="008E3DF1">
        <w:t xml:space="preserve">(such as Turnover, Costs, etc.) </w:t>
      </w:r>
      <w:r w:rsidRPr="009740A5">
        <w:t xml:space="preserve">are covered by a number of </w:t>
      </w:r>
      <w:r w:rsidR="008E3DF1">
        <w:t>AD</w:t>
      </w:r>
      <w:r w:rsidR="008E3DF1" w:rsidRPr="009740A5">
        <w:t xml:space="preserve"> </w:t>
      </w:r>
      <w:r w:rsidRPr="009740A5">
        <w:t xml:space="preserve">sources, </w:t>
      </w:r>
      <w:r w:rsidR="008E3DF1">
        <w:t>providing</w:t>
      </w:r>
      <w:r w:rsidRPr="009740A5">
        <w:t xml:space="preserve"> information on the enterprises’ accountability variables at micro level: the Financial Statements (hereafter FS), the Sector Studies survey (hereafter SS), the Tax returns (hereafter </w:t>
      </w:r>
      <w:proofErr w:type="spellStart"/>
      <w:r w:rsidRPr="009740A5">
        <w:t>Unico</w:t>
      </w:r>
      <w:proofErr w:type="spellEnd"/>
      <w:r w:rsidRPr="009740A5">
        <w:t xml:space="preserve">), the Regional Tax on Productive Activities (hereafter </w:t>
      </w:r>
      <w:proofErr w:type="spellStart"/>
      <w:r w:rsidRPr="009740A5">
        <w:t>Irap</w:t>
      </w:r>
      <w:proofErr w:type="spellEnd"/>
      <w:r w:rsidRPr="009740A5">
        <w:t xml:space="preserve">). </w:t>
      </w:r>
      <w:r w:rsidR="009C14A7">
        <w:t xml:space="preserve">SBS variables </w:t>
      </w:r>
      <w:r w:rsidR="008E3DF1">
        <w:t xml:space="preserve">which are </w:t>
      </w:r>
      <w:r w:rsidR="008E3DF1" w:rsidRPr="009C14A7">
        <w:rPr>
          <w:i/>
        </w:rPr>
        <w:t>component</w:t>
      </w:r>
      <w:r w:rsidR="008E3DF1">
        <w:rPr>
          <w:i/>
        </w:rPr>
        <w:t>s</w:t>
      </w:r>
      <w:r w:rsidR="008E3DF1">
        <w:t xml:space="preserve"> of the </w:t>
      </w:r>
      <w:r w:rsidR="008E3DF1">
        <w:rPr>
          <w:i/>
        </w:rPr>
        <w:t xml:space="preserve">core </w:t>
      </w:r>
      <w:r w:rsidR="008E3DF1">
        <w:t xml:space="preserve">variables </w:t>
      </w:r>
      <w:r w:rsidR="009C14A7" w:rsidRPr="00EF604A">
        <w:t>are</w:t>
      </w:r>
      <w:r w:rsidR="009C14A7">
        <w:t xml:space="preserve"> not properly represented by AD and are </w:t>
      </w:r>
      <w:r w:rsidR="008E3DF1">
        <w:t xml:space="preserve">estimated also exploiting </w:t>
      </w:r>
      <w:r w:rsidR="009C14A7">
        <w:t>survey data.</w:t>
      </w:r>
      <w:r w:rsidR="00587434">
        <w:t xml:space="preserve"> </w:t>
      </w:r>
      <w:r w:rsidR="0025183E">
        <w:t>T</w:t>
      </w:r>
      <w:r w:rsidRPr="009740A5">
        <w:t>he production process of the Frame-SBS is</w:t>
      </w:r>
      <w:r w:rsidR="00587434">
        <w:t xml:space="preserve"> composed by six main steps, and it represents the starting point to produce SBS.</w:t>
      </w:r>
      <w:r w:rsidR="009C14A7">
        <w:t xml:space="preserve"> </w:t>
      </w:r>
    </w:p>
    <w:p w14:paraId="68D22A22" w14:textId="46AEC503" w:rsidR="00002CB7" w:rsidRPr="00E33B29" w:rsidRDefault="009470AB" w:rsidP="00E33B29">
      <w:pPr>
        <w:pStyle w:val="Titolo1"/>
        <w:numPr>
          <w:ilvl w:val="0"/>
          <w:numId w:val="29"/>
        </w:numPr>
        <w:tabs>
          <w:tab w:val="num" w:pos="480"/>
        </w:tabs>
        <w:ind w:left="482" w:hanging="482"/>
      </w:pPr>
      <w:r w:rsidRPr="00E33B29">
        <w:t>The proposed quality evaluation framework</w:t>
      </w:r>
      <w:r w:rsidR="00E33B29">
        <w:t>: the TPE</w:t>
      </w:r>
      <w:r w:rsidR="006B08E8">
        <w:t xml:space="preserve"> framework</w:t>
      </w:r>
      <w:r w:rsidR="00E33B29">
        <w:t xml:space="preserve"> </w:t>
      </w:r>
    </w:p>
    <w:p w14:paraId="266FAFB4" w14:textId="169B4191" w:rsidR="009470AB" w:rsidRDefault="00002CB7" w:rsidP="009470AB">
      <w:r>
        <w:t>St</w:t>
      </w:r>
      <w:r w:rsidR="009470AB" w:rsidRPr="00EF604A">
        <w:t xml:space="preserve">arting from the analysis on how to apply the </w:t>
      </w:r>
      <w:proofErr w:type="spellStart"/>
      <w:r w:rsidR="009470AB" w:rsidRPr="00EF604A">
        <w:t>TSE</w:t>
      </w:r>
      <w:r w:rsidR="009470AB" w:rsidRPr="00587434">
        <w:rPr>
          <w:i/>
        </w:rPr>
        <w:t>adm</w:t>
      </w:r>
      <w:proofErr w:type="spellEnd"/>
      <w:r w:rsidR="009470AB" w:rsidRPr="00EF604A">
        <w:t xml:space="preserve"> to the Frame-SBS production process, a number of issues to be taken into account emerged, and some issues that need to be fu</w:t>
      </w:r>
      <w:r w:rsidR="00587434">
        <w:t>rther addressed were identified.</w:t>
      </w:r>
    </w:p>
    <w:p w14:paraId="5276FEC3" w14:textId="06016ECE" w:rsidR="009470AB" w:rsidRPr="00EF604A" w:rsidRDefault="00587434" w:rsidP="003759C6">
      <w:pPr>
        <w:spacing w:after="0"/>
      </w:pPr>
      <w:r>
        <w:lastRenderedPageBreak/>
        <w:t xml:space="preserve">As a first </w:t>
      </w:r>
      <w:r w:rsidR="009C14A7">
        <w:t>step</w:t>
      </w:r>
      <w:r>
        <w:t xml:space="preserve">, we </w:t>
      </w:r>
      <w:r w:rsidR="009470AB" w:rsidRPr="00EF604A">
        <w:t xml:space="preserve">propose </w:t>
      </w:r>
      <w:r w:rsidR="003759C6">
        <w:t xml:space="preserve">to split the second phase of the two-phases life-cycle </w:t>
      </w:r>
      <w:r w:rsidR="008E3DF1">
        <w:t xml:space="preserve">from </w:t>
      </w:r>
      <w:r w:rsidR="00FA5BD5">
        <w:t>[2]</w:t>
      </w:r>
      <w:r w:rsidR="003759C6">
        <w:t xml:space="preserve"> into two sub-phases, in order to describe the process of combining different data sources. Therefore, the TPE results to be composed</w:t>
      </w:r>
      <w:r w:rsidR="009470AB" w:rsidRPr="00EF604A">
        <w:t xml:space="preserve"> by two main Phases, which second Phase is composed by two sub-phases:</w:t>
      </w:r>
    </w:p>
    <w:p w14:paraId="3A185143" w14:textId="77777777" w:rsidR="009470AB" w:rsidRPr="00133326" w:rsidRDefault="009470AB" w:rsidP="003759C6">
      <w:pPr>
        <w:numPr>
          <w:ilvl w:val="0"/>
          <w:numId w:val="25"/>
        </w:numPr>
        <w:tabs>
          <w:tab w:val="clear" w:pos="720"/>
          <w:tab w:val="num" w:pos="426"/>
        </w:tabs>
        <w:spacing w:after="0"/>
        <w:ind w:hanging="720"/>
        <w:jc w:val="left"/>
        <w:rPr>
          <w:i/>
        </w:rPr>
      </w:pPr>
      <w:r w:rsidRPr="00133326">
        <w:rPr>
          <w:i/>
        </w:rPr>
        <w:t>Assessment of AD w.r.t. administrative purposes</w:t>
      </w:r>
    </w:p>
    <w:p w14:paraId="0EFBC9C6" w14:textId="333B447B" w:rsidR="00133326" w:rsidRPr="00EF604A" w:rsidRDefault="00133326" w:rsidP="00133326">
      <w:pPr>
        <w:spacing w:after="0"/>
        <w:ind w:left="426"/>
      </w:pPr>
      <w:r w:rsidRPr="00EF604A">
        <w:t>The first phase of a production process based on AD consists in the pre-treatment of each external source’s data. This phase is carried out separately for every source, and categorizes errors arising with respect to the original source’s target population and concepts, in order to give a quality measure of the source itself</w:t>
      </w:r>
      <w:r w:rsidRPr="00A82331">
        <w:t>. Therefore, an E&amp;I process may be performed separately for every source. This phase</w:t>
      </w:r>
      <w:r w:rsidRPr="00EF604A">
        <w:t xml:space="preserve"> coincides with Zhang’s phase 1 (</w:t>
      </w:r>
      <w:r w:rsidR="00FA5BD5">
        <w:t>[2]</w:t>
      </w:r>
      <w:r w:rsidRPr="00EF604A">
        <w:t xml:space="preserve">). </w:t>
      </w:r>
    </w:p>
    <w:p w14:paraId="768FCFDC" w14:textId="77777777" w:rsidR="00133326" w:rsidRPr="00133326" w:rsidRDefault="009470AB" w:rsidP="003759C6">
      <w:pPr>
        <w:numPr>
          <w:ilvl w:val="0"/>
          <w:numId w:val="25"/>
        </w:numPr>
        <w:tabs>
          <w:tab w:val="clear" w:pos="720"/>
          <w:tab w:val="num" w:pos="426"/>
        </w:tabs>
        <w:spacing w:after="0"/>
        <w:ind w:hanging="720"/>
        <w:jc w:val="left"/>
        <w:rPr>
          <w:i/>
        </w:rPr>
      </w:pPr>
      <w:r w:rsidRPr="00133326">
        <w:rPr>
          <w:i/>
        </w:rPr>
        <w:t>Combination/re-use/integratio</w:t>
      </w:r>
      <w:r w:rsidR="00133326" w:rsidRPr="00133326">
        <w:rPr>
          <w:i/>
        </w:rPr>
        <w:t>n of AD for statistical purpose</w:t>
      </w:r>
    </w:p>
    <w:p w14:paraId="51F25526" w14:textId="02960DB0" w:rsidR="009470AB" w:rsidRDefault="00133326" w:rsidP="00133326">
      <w:pPr>
        <w:spacing w:after="0"/>
        <w:ind w:left="426"/>
      </w:pPr>
      <w:r w:rsidRPr="00EF604A">
        <w:t>The reference point corresponds to the statistical population and to the statistical concepts to be measured.</w:t>
      </w:r>
      <w:r w:rsidR="009470AB" w:rsidRPr="00EF604A">
        <w:t xml:space="preserve">   </w:t>
      </w:r>
    </w:p>
    <w:p w14:paraId="58B97C87" w14:textId="77777777" w:rsidR="009470AB" w:rsidRPr="00133326" w:rsidRDefault="009470AB" w:rsidP="00133326">
      <w:pPr>
        <w:numPr>
          <w:ilvl w:val="1"/>
          <w:numId w:val="26"/>
        </w:numPr>
        <w:tabs>
          <w:tab w:val="clear" w:pos="1440"/>
          <w:tab w:val="num" w:pos="851"/>
        </w:tabs>
        <w:spacing w:after="0"/>
        <w:ind w:left="851" w:hanging="425"/>
        <w:jc w:val="left"/>
        <w:rPr>
          <w:i/>
        </w:rPr>
      </w:pPr>
      <w:r w:rsidRPr="00133326">
        <w:rPr>
          <w:i/>
        </w:rPr>
        <w:t>Assessment of  AD w.r.t. statistical purposes</w:t>
      </w:r>
    </w:p>
    <w:p w14:paraId="127578DC" w14:textId="77777777" w:rsidR="00133326" w:rsidRPr="00EF604A" w:rsidRDefault="00133326" w:rsidP="00133326">
      <w:pPr>
        <w:pStyle w:val="Paragrafoelenco"/>
        <w:tabs>
          <w:tab w:val="num" w:pos="851"/>
        </w:tabs>
        <w:spacing w:after="0"/>
        <w:ind w:left="851"/>
      </w:pPr>
      <w:r w:rsidRPr="00EF604A">
        <w:t xml:space="preserve">Each AD source is evaluated separately, in order to assess its quality with respect to the specific statistical targets (statistical units/variables). This phase provides useful elements to define the data selection and the integration strategy, e.g. when multiple sources are available for same target variables and/or sub-populations. </w:t>
      </w:r>
    </w:p>
    <w:p w14:paraId="5EEB2C32" w14:textId="77777777" w:rsidR="009470AB" w:rsidRPr="00133326" w:rsidRDefault="009470AB" w:rsidP="00133326">
      <w:pPr>
        <w:numPr>
          <w:ilvl w:val="1"/>
          <w:numId w:val="26"/>
        </w:numPr>
        <w:tabs>
          <w:tab w:val="clear" w:pos="1440"/>
          <w:tab w:val="num" w:pos="851"/>
        </w:tabs>
        <w:spacing w:after="0"/>
        <w:ind w:left="851" w:hanging="425"/>
        <w:jc w:val="left"/>
        <w:rPr>
          <w:i/>
        </w:rPr>
      </w:pPr>
      <w:r w:rsidRPr="00133326">
        <w:rPr>
          <w:i/>
        </w:rPr>
        <w:t>Assessment of the combined AD for statistical purposes.</w:t>
      </w:r>
    </w:p>
    <w:p w14:paraId="305C2297" w14:textId="51C263F6" w:rsidR="00133326" w:rsidRDefault="00133326" w:rsidP="00133326">
      <w:pPr>
        <w:pStyle w:val="Paragrafoelenco"/>
        <w:tabs>
          <w:tab w:val="num" w:pos="851"/>
        </w:tabs>
        <w:spacing w:after="0"/>
        <w:ind w:left="851"/>
      </w:pPr>
      <w:r w:rsidRPr="00EF604A">
        <w:t>In this phase, the integrated dataset is generated, and a further quality assessment is performed. This phase partly corresponds to the Zhang’s phase 2 (</w:t>
      </w:r>
      <w:r w:rsidR="00FA5BD5">
        <w:t>[2]</w:t>
      </w:r>
      <w:r w:rsidRPr="00EF604A">
        <w:t xml:space="preserve">). Additional actions should be taken into account in order to allow the evaluation of the complete production process. Actually, the integrated dataset is usually treated in order to resolve possible statistical inconsistencies (e.g. outliers), </w:t>
      </w:r>
      <w:r w:rsidRPr="00A82331">
        <w:t>or to impute partially or totally missing information (deriving from the sources incompleteness w.r.t. target variables and under-coverage w.r.t. target population, respectively), etc.</w:t>
      </w:r>
      <w:r w:rsidRPr="00EF604A">
        <w:t xml:space="preserve"> </w:t>
      </w:r>
    </w:p>
    <w:p w14:paraId="19997CF9" w14:textId="77777777" w:rsidR="00133326" w:rsidRPr="00EF604A" w:rsidRDefault="00133326" w:rsidP="00133326">
      <w:pPr>
        <w:tabs>
          <w:tab w:val="num" w:pos="993"/>
        </w:tabs>
        <w:spacing w:after="0"/>
        <w:jc w:val="left"/>
      </w:pPr>
    </w:p>
    <w:p w14:paraId="34707C10" w14:textId="4B866320" w:rsidR="00587434" w:rsidRPr="00360997" w:rsidRDefault="00587434" w:rsidP="00B37F92">
      <w:pPr>
        <w:spacing w:after="0"/>
      </w:pPr>
      <w:r w:rsidRPr="00360997">
        <w:t xml:space="preserve">As second </w:t>
      </w:r>
      <w:r w:rsidR="00133326" w:rsidRPr="00360997">
        <w:t>step</w:t>
      </w:r>
      <w:r w:rsidRPr="00360997">
        <w:t xml:space="preserve">, we propose to use a </w:t>
      </w:r>
      <w:r w:rsidR="002474D2" w:rsidRPr="00360997">
        <w:t xml:space="preserve">connection scheme between </w:t>
      </w:r>
      <w:r w:rsidRPr="00360997">
        <w:t xml:space="preserve">the steps of the entire </w:t>
      </w:r>
      <w:r w:rsidR="002474D2" w:rsidRPr="00360997">
        <w:t xml:space="preserve">register </w:t>
      </w:r>
      <w:r w:rsidRPr="00360997">
        <w:t xml:space="preserve">production process and the phases of the </w:t>
      </w:r>
      <w:proofErr w:type="spellStart"/>
      <w:r w:rsidR="00360997" w:rsidRPr="00360997">
        <w:t>TPE</w:t>
      </w:r>
      <w:proofErr w:type="spellEnd"/>
      <w:r w:rsidRPr="00360997">
        <w:t xml:space="preserve"> framework</w:t>
      </w:r>
      <w:r w:rsidR="00133326" w:rsidRPr="00360997">
        <w:t xml:space="preserve"> as a tool</w:t>
      </w:r>
      <w:r w:rsidRPr="00360997">
        <w:t xml:space="preserve"> to identify every source of specific errors.</w:t>
      </w:r>
      <w:r w:rsidR="00133326" w:rsidRPr="00360997">
        <w:t xml:space="preserve"> </w:t>
      </w:r>
      <w:r w:rsidR="009470AB" w:rsidRPr="00360997">
        <w:t xml:space="preserve">This schema is useful to show where the decisions on the process are taken, and to monitor the entire process. </w:t>
      </w:r>
      <w:r w:rsidR="00B37F92" w:rsidRPr="00360997">
        <w:t>Table 1 represents</w:t>
      </w:r>
      <w:r w:rsidRPr="00360997">
        <w:t xml:space="preserve"> the application of the general </w:t>
      </w:r>
      <w:r w:rsidR="00360997">
        <w:t>TPE</w:t>
      </w:r>
      <w:bookmarkStart w:id="0" w:name="_GoBack"/>
      <w:bookmarkEnd w:id="0"/>
      <w:r w:rsidRPr="00360997">
        <w:t xml:space="preserve"> framework to the production process of the Frame-SBS register, by describing the link between the steps of its production process and the phases </w:t>
      </w:r>
      <w:r w:rsidR="00133326" w:rsidRPr="00360997">
        <w:t>of the evaluation framework</w:t>
      </w:r>
      <w:r w:rsidRPr="00360997">
        <w:t>.</w:t>
      </w:r>
      <w:r w:rsidR="00B37F92" w:rsidRPr="00360997">
        <w:t xml:space="preserve"> The schema </w:t>
      </w:r>
      <w:r w:rsidR="002474D2" w:rsidRPr="00360997">
        <w:t xml:space="preserve">can also </w:t>
      </w:r>
      <w:r w:rsidR="00B37F92" w:rsidRPr="00360997">
        <w:t>be used as guideline to build a system of indicators useful to identify potential sources of errors, to measure their effect on the output and to prevent them, in order to progressively improve the production process.</w:t>
      </w:r>
    </w:p>
    <w:p w14:paraId="106075BA" w14:textId="2BBFF271" w:rsidR="00B37F92" w:rsidRPr="00EF604A" w:rsidRDefault="00B37F92" w:rsidP="00B37F92">
      <w:pPr>
        <w:spacing w:after="0"/>
      </w:pPr>
      <w:r w:rsidRPr="00360997">
        <w:t xml:space="preserve">This proposal has to be considered as an initial step of a complex project. </w:t>
      </w:r>
      <w:r w:rsidR="002474D2" w:rsidRPr="00360997">
        <w:t xml:space="preserve">In particular, a final phase has to be defined in order to </w:t>
      </w:r>
      <w:r w:rsidRPr="00360997">
        <w:t xml:space="preserve">complete </w:t>
      </w:r>
      <w:r w:rsidR="002474D2" w:rsidRPr="00360997">
        <w:t xml:space="preserve">the </w:t>
      </w:r>
      <w:r w:rsidRPr="00360997">
        <w:t>framework</w:t>
      </w:r>
      <w:r w:rsidR="002474D2" w:rsidRPr="00360997">
        <w:t xml:space="preserve">, consisting in </w:t>
      </w:r>
      <w:r w:rsidRPr="00360997">
        <w:t xml:space="preserve">the classification of </w:t>
      </w:r>
      <w:r w:rsidR="002474D2" w:rsidRPr="00360997">
        <w:t xml:space="preserve">the </w:t>
      </w:r>
      <w:r w:rsidRPr="00360997">
        <w:t xml:space="preserve">possible outputs of </w:t>
      </w:r>
      <w:r w:rsidR="001A115F" w:rsidRPr="00360997">
        <w:t xml:space="preserve">a </w:t>
      </w:r>
      <w:r w:rsidRPr="00360997">
        <w:t>multi-source statistical processes</w:t>
      </w:r>
      <w:r w:rsidR="001A115F" w:rsidRPr="00360997">
        <w:t xml:space="preserve"> involving the use of AD</w:t>
      </w:r>
      <w:r w:rsidRPr="00360997">
        <w:t xml:space="preserve">, and </w:t>
      </w:r>
      <w:r w:rsidR="002474D2" w:rsidRPr="00360997">
        <w:t xml:space="preserve">in </w:t>
      </w:r>
      <w:r w:rsidRPr="00360997">
        <w:t xml:space="preserve">the development of </w:t>
      </w:r>
      <w:r w:rsidR="001A115F" w:rsidRPr="00360997">
        <w:t xml:space="preserve">a </w:t>
      </w:r>
      <w:r w:rsidRPr="00360997">
        <w:t>proper</w:t>
      </w:r>
      <w:r w:rsidR="001A115F" w:rsidRPr="00360997">
        <w:t xml:space="preserve"> set of</w:t>
      </w:r>
      <w:r w:rsidRPr="00360997">
        <w:t xml:space="preserve"> quality measures for </w:t>
      </w:r>
      <w:r w:rsidR="001A115F" w:rsidRPr="00360997">
        <w:t xml:space="preserve">assessing </w:t>
      </w:r>
      <w:r w:rsidRPr="00360997">
        <w:t>the</w:t>
      </w:r>
      <w:r w:rsidR="002474D2" w:rsidRPr="00360997">
        <w:t>m</w:t>
      </w:r>
      <w:r w:rsidR="0025183E" w:rsidRPr="00360997">
        <w:t>.</w:t>
      </w:r>
    </w:p>
    <w:p w14:paraId="7498E353" w14:textId="77777777" w:rsidR="009470AB" w:rsidRPr="00EF604A" w:rsidRDefault="009470AB" w:rsidP="009470AB"/>
    <w:p w14:paraId="2855E27D" w14:textId="7DC52A68" w:rsidR="009470AB" w:rsidRPr="009C14A7" w:rsidRDefault="009470AB" w:rsidP="009C14A7">
      <w:pPr>
        <w:pStyle w:val="Didascalia"/>
      </w:pPr>
      <w:r w:rsidRPr="009C14A7">
        <w:t>Table 1. Frame</w:t>
      </w:r>
      <w:r w:rsidR="002474D2">
        <w:t>-</w:t>
      </w:r>
      <w:r w:rsidRPr="009C14A7">
        <w:t>SBS process, steps and phases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05"/>
        <w:gridCol w:w="2480"/>
        <w:gridCol w:w="2712"/>
      </w:tblGrid>
      <w:tr w:rsidR="009470AB" w:rsidRPr="00133326" w14:paraId="09D15BF2" w14:textId="77777777" w:rsidTr="009C14A7">
        <w:trPr>
          <w:cantSplit/>
        </w:trPr>
        <w:tc>
          <w:tcPr>
            <w:tcW w:w="936" w:type="dxa"/>
            <w:vMerge w:val="restart"/>
            <w:shd w:val="clear" w:color="auto" w:fill="auto"/>
            <w:vAlign w:val="center"/>
          </w:tcPr>
          <w:p w14:paraId="53416699"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Steps</w:t>
            </w:r>
          </w:p>
        </w:tc>
        <w:tc>
          <w:tcPr>
            <w:tcW w:w="7897" w:type="dxa"/>
            <w:gridSpan w:val="3"/>
            <w:shd w:val="clear" w:color="auto" w:fill="auto"/>
            <w:vAlign w:val="center"/>
          </w:tcPr>
          <w:p w14:paraId="0F09E636"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Phase</w:t>
            </w:r>
          </w:p>
        </w:tc>
      </w:tr>
      <w:tr w:rsidR="009470AB" w:rsidRPr="00133326" w14:paraId="49F6AB50" w14:textId="77777777" w:rsidTr="009C14A7">
        <w:trPr>
          <w:cantSplit/>
        </w:trPr>
        <w:tc>
          <w:tcPr>
            <w:tcW w:w="936" w:type="dxa"/>
            <w:vMerge/>
            <w:shd w:val="clear" w:color="auto" w:fill="auto"/>
            <w:vAlign w:val="center"/>
          </w:tcPr>
          <w:p w14:paraId="3FC0FA7A" w14:textId="77777777" w:rsidR="009470AB" w:rsidRPr="00133326" w:rsidRDefault="009470AB" w:rsidP="009C14A7">
            <w:pPr>
              <w:spacing w:after="0" w:line="360" w:lineRule="auto"/>
              <w:jc w:val="center"/>
              <w:rPr>
                <w:rFonts w:eastAsia="Calibri"/>
                <w:b/>
                <w:sz w:val="22"/>
                <w:szCs w:val="22"/>
              </w:rPr>
            </w:pPr>
          </w:p>
        </w:tc>
        <w:tc>
          <w:tcPr>
            <w:tcW w:w="2705" w:type="dxa"/>
            <w:vMerge w:val="restart"/>
            <w:shd w:val="clear" w:color="auto" w:fill="auto"/>
            <w:vAlign w:val="center"/>
          </w:tcPr>
          <w:p w14:paraId="6955F090"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1. Assessment of AD w.r.t. administrative purposes</w:t>
            </w:r>
          </w:p>
        </w:tc>
        <w:tc>
          <w:tcPr>
            <w:tcW w:w="5192" w:type="dxa"/>
            <w:gridSpan w:val="2"/>
            <w:shd w:val="clear" w:color="auto" w:fill="auto"/>
            <w:vAlign w:val="center"/>
          </w:tcPr>
          <w:p w14:paraId="20FAA0C7"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2 . Combination/re-use/integration of AD for statistical purpose</w:t>
            </w:r>
          </w:p>
        </w:tc>
      </w:tr>
      <w:tr w:rsidR="009470AB" w:rsidRPr="00133326" w14:paraId="16E56F77" w14:textId="77777777" w:rsidTr="009C14A7">
        <w:trPr>
          <w:cantSplit/>
        </w:trPr>
        <w:tc>
          <w:tcPr>
            <w:tcW w:w="936" w:type="dxa"/>
            <w:vMerge/>
            <w:shd w:val="clear" w:color="auto" w:fill="auto"/>
            <w:vAlign w:val="center"/>
          </w:tcPr>
          <w:p w14:paraId="1716FEAC" w14:textId="77777777" w:rsidR="009470AB" w:rsidRPr="00133326" w:rsidRDefault="009470AB" w:rsidP="009C14A7">
            <w:pPr>
              <w:spacing w:after="0" w:line="360" w:lineRule="auto"/>
              <w:jc w:val="center"/>
              <w:rPr>
                <w:rFonts w:eastAsia="Calibri"/>
                <w:b/>
                <w:sz w:val="22"/>
                <w:szCs w:val="22"/>
              </w:rPr>
            </w:pPr>
          </w:p>
        </w:tc>
        <w:tc>
          <w:tcPr>
            <w:tcW w:w="2705" w:type="dxa"/>
            <w:vMerge/>
            <w:shd w:val="clear" w:color="auto" w:fill="auto"/>
            <w:vAlign w:val="center"/>
          </w:tcPr>
          <w:p w14:paraId="6834C175" w14:textId="77777777" w:rsidR="009470AB" w:rsidRPr="00133326" w:rsidRDefault="009470AB" w:rsidP="009C14A7">
            <w:pPr>
              <w:spacing w:after="0" w:line="360" w:lineRule="auto"/>
              <w:jc w:val="center"/>
              <w:rPr>
                <w:rFonts w:eastAsia="Calibri"/>
                <w:b/>
                <w:sz w:val="22"/>
                <w:szCs w:val="22"/>
              </w:rPr>
            </w:pPr>
          </w:p>
        </w:tc>
        <w:tc>
          <w:tcPr>
            <w:tcW w:w="2480" w:type="dxa"/>
            <w:shd w:val="clear" w:color="auto" w:fill="auto"/>
            <w:vAlign w:val="center"/>
          </w:tcPr>
          <w:p w14:paraId="4AEE8F74"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2a. Assessment of  AD w.r.t. statistical purposes</w:t>
            </w:r>
          </w:p>
        </w:tc>
        <w:tc>
          <w:tcPr>
            <w:tcW w:w="2712" w:type="dxa"/>
            <w:shd w:val="clear" w:color="auto" w:fill="auto"/>
            <w:vAlign w:val="center"/>
          </w:tcPr>
          <w:p w14:paraId="3D0228D6"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2b. Assessment of the combined AD for statistical purposes</w:t>
            </w:r>
          </w:p>
        </w:tc>
      </w:tr>
      <w:tr w:rsidR="009470AB" w:rsidRPr="00133326" w14:paraId="33B0B9C8" w14:textId="77777777" w:rsidTr="009C14A7">
        <w:trPr>
          <w:cantSplit/>
        </w:trPr>
        <w:tc>
          <w:tcPr>
            <w:tcW w:w="936" w:type="dxa"/>
            <w:shd w:val="clear" w:color="auto" w:fill="auto"/>
            <w:vAlign w:val="center"/>
          </w:tcPr>
          <w:p w14:paraId="7AF1D3E9"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1</w:t>
            </w:r>
          </w:p>
        </w:tc>
        <w:tc>
          <w:tcPr>
            <w:tcW w:w="2705" w:type="dxa"/>
            <w:shd w:val="clear" w:color="auto" w:fill="auto"/>
          </w:tcPr>
          <w:p w14:paraId="2A5B8DE1" w14:textId="77777777" w:rsidR="009470AB" w:rsidRPr="00133326" w:rsidRDefault="009470AB" w:rsidP="009C14A7">
            <w:pPr>
              <w:spacing w:after="0" w:line="360" w:lineRule="auto"/>
              <w:jc w:val="center"/>
              <w:rPr>
                <w:rFonts w:eastAsia="Calibri"/>
                <w:sz w:val="22"/>
                <w:szCs w:val="22"/>
              </w:rPr>
            </w:pPr>
            <w:r w:rsidRPr="00133326">
              <w:rPr>
                <w:rFonts w:eastAsia="Calibri"/>
                <w:sz w:val="22"/>
                <w:szCs w:val="22"/>
              </w:rPr>
              <w:t>Quality assessment of each candidate AD source</w:t>
            </w:r>
          </w:p>
          <w:p w14:paraId="155EAA83" w14:textId="77777777" w:rsidR="009470AB" w:rsidRPr="00133326" w:rsidRDefault="009470AB" w:rsidP="009C14A7">
            <w:pPr>
              <w:spacing w:after="0" w:line="360" w:lineRule="auto"/>
              <w:jc w:val="center"/>
              <w:rPr>
                <w:rFonts w:eastAsia="Calibri"/>
                <w:sz w:val="22"/>
                <w:szCs w:val="22"/>
              </w:rPr>
            </w:pPr>
            <w:r w:rsidRPr="00133326">
              <w:rPr>
                <w:rFonts w:eastAsia="Calibri"/>
                <w:sz w:val="22"/>
                <w:szCs w:val="22"/>
              </w:rPr>
              <w:t>(</w:t>
            </w:r>
            <w:r w:rsidRPr="00133326">
              <w:rPr>
                <w:rFonts w:eastAsia="Calibri"/>
                <w:i/>
                <w:sz w:val="22"/>
                <w:szCs w:val="22"/>
              </w:rPr>
              <w:t xml:space="preserve">FS, SS, </w:t>
            </w:r>
            <w:proofErr w:type="spellStart"/>
            <w:r w:rsidRPr="00133326">
              <w:rPr>
                <w:rFonts w:eastAsia="Calibri"/>
                <w:i/>
                <w:sz w:val="22"/>
                <w:szCs w:val="22"/>
              </w:rPr>
              <w:t>Unico</w:t>
            </w:r>
            <w:proofErr w:type="spellEnd"/>
            <w:r w:rsidRPr="00133326">
              <w:rPr>
                <w:rFonts w:eastAsia="Calibri"/>
                <w:i/>
                <w:sz w:val="22"/>
                <w:szCs w:val="22"/>
              </w:rPr>
              <w:t xml:space="preserve">, </w:t>
            </w:r>
            <w:proofErr w:type="spellStart"/>
            <w:r w:rsidRPr="00133326">
              <w:rPr>
                <w:rFonts w:eastAsia="Calibri"/>
                <w:i/>
                <w:sz w:val="22"/>
                <w:szCs w:val="22"/>
              </w:rPr>
              <w:t>Irap</w:t>
            </w:r>
            <w:proofErr w:type="spellEnd"/>
            <w:r w:rsidRPr="00133326">
              <w:rPr>
                <w:rFonts w:eastAsia="Calibri"/>
                <w:sz w:val="22"/>
                <w:szCs w:val="22"/>
              </w:rPr>
              <w:t>)</w:t>
            </w:r>
          </w:p>
        </w:tc>
        <w:tc>
          <w:tcPr>
            <w:tcW w:w="2480" w:type="dxa"/>
            <w:shd w:val="clear" w:color="auto" w:fill="auto"/>
          </w:tcPr>
          <w:p w14:paraId="6BC018C9" w14:textId="77777777" w:rsidR="009470AB" w:rsidRPr="00133326" w:rsidRDefault="009470AB" w:rsidP="009C14A7">
            <w:pPr>
              <w:spacing w:after="0" w:line="360" w:lineRule="auto"/>
              <w:jc w:val="center"/>
              <w:rPr>
                <w:rFonts w:eastAsia="Calibri"/>
                <w:sz w:val="22"/>
                <w:szCs w:val="22"/>
              </w:rPr>
            </w:pPr>
          </w:p>
        </w:tc>
        <w:tc>
          <w:tcPr>
            <w:tcW w:w="2712" w:type="dxa"/>
            <w:shd w:val="clear" w:color="auto" w:fill="auto"/>
          </w:tcPr>
          <w:p w14:paraId="4383D5E0" w14:textId="77777777" w:rsidR="009470AB" w:rsidRPr="00133326" w:rsidRDefault="009470AB" w:rsidP="009C14A7">
            <w:pPr>
              <w:spacing w:after="0" w:line="360" w:lineRule="auto"/>
              <w:jc w:val="center"/>
              <w:rPr>
                <w:rFonts w:eastAsia="Calibri"/>
                <w:sz w:val="22"/>
                <w:szCs w:val="22"/>
              </w:rPr>
            </w:pPr>
          </w:p>
        </w:tc>
      </w:tr>
      <w:tr w:rsidR="009470AB" w:rsidRPr="00133326" w14:paraId="4024DCAE" w14:textId="77777777" w:rsidTr="009C14A7">
        <w:trPr>
          <w:cantSplit/>
        </w:trPr>
        <w:tc>
          <w:tcPr>
            <w:tcW w:w="936" w:type="dxa"/>
            <w:shd w:val="clear" w:color="auto" w:fill="auto"/>
            <w:vAlign w:val="center"/>
          </w:tcPr>
          <w:p w14:paraId="1DD40B78"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2</w:t>
            </w:r>
          </w:p>
        </w:tc>
        <w:tc>
          <w:tcPr>
            <w:tcW w:w="2705" w:type="dxa"/>
            <w:shd w:val="clear" w:color="auto" w:fill="auto"/>
          </w:tcPr>
          <w:p w14:paraId="6AC8BDF4" w14:textId="77777777" w:rsidR="009470AB" w:rsidRPr="00133326" w:rsidRDefault="009470AB" w:rsidP="009C14A7">
            <w:pPr>
              <w:spacing w:after="0" w:line="360" w:lineRule="auto"/>
              <w:jc w:val="center"/>
              <w:rPr>
                <w:rFonts w:eastAsia="Calibri"/>
                <w:sz w:val="22"/>
                <w:szCs w:val="22"/>
              </w:rPr>
            </w:pPr>
          </w:p>
        </w:tc>
        <w:tc>
          <w:tcPr>
            <w:tcW w:w="2480" w:type="dxa"/>
            <w:shd w:val="clear" w:color="auto" w:fill="auto"/>
          </w:tcPr>
          <w:p w14:paraId="322C1ECC" w14:textId="77777777" w:rsidR="009470AB" w:rsidRPr="00133326" w:rsidRDefault="009470AB" w:rsidP="009C14A7">
            <w:pPr>
              <w:spacing w:after="0" w:line="360" w:lineRule="auto"/>
              <w:jc w:val="center"/>
              <w:rPr>
                <w:rFonts w:eastAsia="Calibri"/>
                <w:sz w:val="22"/>
                <w:szCs w:val="22"/>
              </w:rPr>
            </w:pPr>
            <w:r w:rsidRPr="00133326">
              <w:rPr>
                <w:rFonts w:eastAsia="Calibri"/>
                <w:sz w:val="22"/>
                <w:szCs w:val="22"/>
              </w:rPr>
              <w:t>Quality assessment of each AD source (</w:t>
            </w:r>
            <w:r w:rsidRPr="00133326">
              <w:rPr>
                <w:rFonts w:eastAsia="Calibri"/>
                <w:i/>
                <w:sz w:val="22"/>
                <w:szCs w:val="22"/>
              </w:rPr>
              <w:t xml:space="preserve">FS, SS, </w:t>
            </w:r>
            <w:proofErr w:type="spellStart"/>
            <w:r w:rsidRPr="00133326">
              <w:rPr>
                <w:rFonts w:eastAsia="Calibri"/>
                <w:i/>
                <w:sz w:val="22"/>
                <w:szCs w:val="22"/>
              </w:rPr>
              <w:t>Unico</w:t>
            </w:r>
            <w:proofErr w:type="spellEnd"/>
            <w:r w:rsidRPr="00133326">
              <w:rPr>
                <w:rFonts w:eastAsia="Calibri"/>
                <w:i/>
                <w:sz w:val="22"/>
                <w:szCs w:val="22"/>
              </w:rPr>
              <w:t xml:space="preserve">, </w:t>
            </w:r>
            <w:proofErr w:type="spellStart"/>
            <w:r w:rsidRPr="00133326">
              <w:rPr>
                <w:rFonts w:eastAsia="Calibri"/>
                <w:i/>
                <w:sz w:val="22"/>
                <w:szCs w:val="22"/>
              </w:rPr>
              <w:t>Irap</w:t>
            </w:r>
            <w:proofErr w:type="spellEnd"/>
            <w:r w:rsidRPr="00133326">
              <w:rPr>
                <w:rFonts w:eastAsia="Calibri"/>
                <w:sz w:val="22"/>
                <w:szCs w:val="22"/>
              </w:rPr>
              <w:t>) in terms of SBS purposes</w:t>
            </w:r>
          </w:p>
        </w:tc>
        <w:tc>
          <w:tcPr>
            <w:tcW w:w="2712" w:type="dxa"/>
            <w:shd w:val="clear" w:color="auto" w:fill="auto"/>
          </w:tcPr>
          <w:p w14:paraId="61A633FA" w14:textId="77777777" w:rsidR="009470AB" w:rsidRPr="00133326" w:rsidRDefault="009470AB" w:rsidP="009C14A7">
            <w:pPr>
              <w:spacing w:after="0" w:line="360" w:lineRule="auto"/>
              <w:jc w:val="center"/>
              <w:rPr>
                <w:rFonts w:eastAsia="Calibri"/>
                <w:sz w:val="22"/>
                <w:szCs w:val="22"/>
              </w:rPr>
            </w:pPr>
          </w:p>
        </w:tc>
      </w:tr>
      <w:tr w:rsidR="009470AB" w:rsidRPr="00133326" w14:paraId="3E7C1B10" w14:textId="77777777" w:rsidTr="009C14A7">
        <w:trPr>
          <w:cantSplit/>
        </w:trPr>
        <w:tc>
          <w:tcPr>
            <w:tcW w:w="936" w:type="dxa"/>
            <w:shd w:val="clear" w:color="auto" w:fill="auto"/>
            <w:vAlign w:val="center"/>
          </w:tcPr>
          <w:p w14:paraId="6132D766"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3</w:t>
            </w:r>
          </w:p>
        </w:tc>
        <w:tc>
          <w:tcPr>
            <w:tcW w:w="2705" w:type="dxa"/>
            <w:shd w:val="clear" w:color="auto" w:fill="auto"/>
          </w:tcPr>
          <w:p w14:paraId="767E5C3D" w14:textId="77777777" w:rsidR="009470AB" w:rsidRPr="00133326" w:rsidRDefault="009470AB" w:rsidP="009C14A7">
            <w:pPr>
              <w:spacing w:after="0" w:line="360" w:lineRule="auto"/>
              <w:jc w:val="center"/>
              <w:rPr>
                <w:rFonts w:eastAsia="Calibri"/>
                <w:sz w:val="22"/>
                <w:szCs w:val="22"/>
              </w:rPr>
            </w:pPr>
          </w:p>
        </w:tc>
        <w:tc>
          <w:tcPr>
            <w:tcW w:w="2480" w:type="dxa"/>
            <w:shd w:val="clear" w:color="auto" w:fill="auto"/>
          </w:tcPr>
          <w:p w14:paraId="68A5777C" w14:textId="77777777" w:rsidR="009470AB" w:rsidRPr="00133326" w:rsidRDefault="009470AB" w:rsidP="009C14A7">
            <w:pPr>
              <w:spacing w:after="0" w:line="360" w:lineRule="auto"/>
              <w:jc w:val="center"/>
              <w:rPr>
                <w:rFonts w:eastAsia="Calibri"/>
                <w:sz w:val="22"/>
                <w:szCs w:val="22"/>
              </w:rPr>
            </w:pPr>
          </w:p>
        </w:tc>
        <w:tc>
          <w:tcPr>
            <w:tcW w:w="2712" w:type="dxa"/>
            <w:shd w:val="clear" w:color="auto" w:fill="auto"/>
          </w:tcPr>
          <w:p w14:paraId="2EE5BC78" w14:textId="77777777" w:rsidR="009470AB" w:rsidRPr="00133326" w:rsidRDefault="009470AB" w:rsidP="009C14A7">
            <w:pPr>
              <w:keepNext/>
              <w:spacing w:after="0" w:line="360" w:lineRule="auto"/>
              <w:jc w:val="center"/>
              <w:rPr>
                <w:rFonts w:eastAsia="Calibri"/>
                <w:sz w:val="22"/>
                <w:szCs w:val="22"/>
              </w:rPr>
            </w:pPr>
            <w:r w:rsidRPr="00133326">
              <w:rPr>
                <w:rFonts w:eastAsia="Calibri"/>
                <w:sz w:val="22"/>
                <w:szCs w:val="22"/>
              </w:rPr>
              <w:t>Integration of AD sources (</w:t>
            </w:r>
            <w:r w:rsidRPr="00133326">
              <w:rPr>
                <w:rFonts w:eastAsia="Calibri"/>
                <w:i/>
                <w:sz w:val="22"/>
                <w:szCs w:val="22"/>
              </w:rPr>
              <w:t xml:space="preserve">FS, SS, </w:t>
            </w:r>
            <w:proofErr w:type="spellStart"/>
            <w:r w:rsidRPr="00133326">
              <w:rPr>
                <w:rFonts w:eastAsia="Calibri"/>
                <w:i/>
                <w:sz w:val="22"/>
                <w:szCs w:val="22"/>
              </w:rPr>
              <w:t>Unico</w:t>
            </w:r>
            <w:proofErr w:type="spellEnd"/>
            <w:r w:rsidRPr="00133326">
              <w:rPr>
                <w:rFonts w:eastAsia="Calibri"/>
                <w:i/>
                <w:sz w:val="22"/>
                <w:szCs w:val="22"/>
              </w:rPr>
              <w:t xml:space="preserve">, </w:t>
            </w:r>
            <w:proofErr w:type="spellStart"/>
            <w:r w:rsidRPr="00133326">
              <w:rPr>
                <w:rFonts w:eastAsia="Calibri"/>
                <w:i/>
                <w:sz w:val="22"/>
                <w:szCs w:val="22"/>
              </w:rPr>
              <w:t>Irap</w:t>
            </w:r>
            <w:proofErr w:type="spellEnd"/>
            <w:r w:rsidRPr="00133326">
              <w:rPr>
                <w:rFonts w:eastAsia="Calibri"/>
                <w:i/>
                <w:sz w:val="22"/>
                <w:szCs w:val="22"/>
              </w:rPr>
              <w:t>)</w:t>
            </w:r>
          </w:p>
        </w:tc>
      </w:tr>
      <w:tr w:rsidR="009470AB" w:rsidRPr="00133326" w14:paraId="3D5235B8" w14:textId="77777777" w:rsidTr="009C14A7">
        <w:trPr>
          <w:cantSplit/>
        </w:trPr>
        <w:tc>
          <w:tcPr>
            <w:tcW w:w="936" w:type="dxa"/>
            <w:shd w:val="clear" w:color="auto" w:fill="auto"/>
            <w:vAlign w:val="center"/>
          </w:tcPr>
          <w:p w14:paraId="3A271BFD"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4</w:t>
            </w:r>
          </w:p>
        </w:tc>
        <w:tc>
          <w:tcPr>
            <w:tcW w:w="2705" w:type="dxa"/>
            <w:shd w:val="clear" w:color="auto" w:fill="auto"/>
          </w:tcPr>
          <w:p w14:paraId="09699753" w14:textId="77777777" w:rsidR="009470AB" w:rsidRPr="00133326" w:rsidRDefault="009470AB" w:rsidP="009C14A7">
            <w:pPr>
              <w:spacing w:after="0" w:line="360" w:lineRule="auto"/>
              <w:jc w:val="center"/>
              <w:rPr>
                <w:rFonts w:eastAsia="Calibri"/>
                <w:sz w:val="22"/>
                <w:szCs w:val="22"/>
              </w:rPr>
            </w:pPr>
          </w:p>
        </w:tc>
        <w:tc>
          <w:tcPr>
            <w:tcW w:w="2480" w:type="dxa"/>
            <w:shd w:val="clear" w:color="auto" w:fill="auto"/>
          </w:tcPr>
          <w:p w14:paraId="32DEF989" w14:textId="77777777" w:rsidR="009470AB" w:rsidRPr="00133326" w:rsidRDefault="009470AB" w:rsidP="009C14A7">
            <w:pPr>
              <w:spacing w:after="0" w:line="360" w:lineRule="auto"/>
              <w:jc w:val="center"/>
              <w:rPr>
                <w:rFonts w:eastAsia="Calibri"/>
                <w:sz w:val="22"/>
                <w:szCs w:val="22"/>
              </w:rPr>
            </w:pPr>
          </w:p>
        </w:tc>
        <w:tc>
          <w:tcPr>
            <w:tcW w:w="2712" w:type="dxa"/>
            <w:shd w:val="clear" w:color="auto" w:fill="auto"/>
          </w:tcPr>
          <w:p w14:paraId="2F17C0F5" w14:textId="77777777" w:rsidR="009470AB" w:rsidRPr="00133326" w:rsidRDefault="009470AB" w:rsidP="009C14A7">
            <w:pPr>
              <w:keepNext/>
              <w:spacing w:after="0" w:line="360" w:lineRule="auto"/>
              <w:jc w:val="center"/>
              <w:rPr>
                <w:rFonts w:eastAsia="Calibri"/>
                <w:sz w:val="22"/>
                <w:szCs w:val="22"/>
              </w:rPr>
            </w:pPr>
            <w:r w:rsidRPr="00133326">
              <w:rPr>
                <w:rFonts w:eastAsia="Calibri"/>
                <w:sz w:val="22"/>
                <w:szCs w:val="22"/>
              </w:rPr>
              <w:t xml:space="preserve">Prediction/imputation of the missing values of the </w:t>
            </w:r>
            <w:r w:rsidRPr="00133326">
              <w:rPr>
                <w:rFonts w:eastAsia="Calibri"/>
                <w:i/>
                <w:sz w:val="22"/>
                <w:szCs w:val="22"/>
              </w:rPr>
              <w:t>core</w:t>
            </w:r>
            <w:r w:rsidRPr="00133326">
              <w:rPr>
                <w:rFonts w:eastAsia="Calibri"/>
                <w:sz w:val="22"/>
                <w:szCs w:val="22"/>
              </w:rPr>
              <w:t xml:space="preserve"> variables for partially uncovered units</w:t>
            </w:r>
          </w:p>
        </w:tc>
      </w:tr>
      <w:tr w:rsidR="009470AB" w:rsidRPr="00133326" w14:paraId="0024D0EC" w14:textId="77777777" w:rsidTr="009C14A7">
        <w:trPr>
          <w:cantSplit/>
        </w:trPr>
        <w:tc>
          <w:tcPr>
            <w:tcW w:w="936" w:type="dxa"/>
            <w:shd w:val="clear" w:color="auto" w:fill="auto"/>
            <w:vAlign w:val="center"/>
          </w:tcPr>
          <w:p w14:paraId="15E3AEF6"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5</w:t>
            </w:r>
          </w:p>
        </w:tc>
        <w:tc>
          <w:tcPr>
            <w:tcW w:w="2705" w:type="dxa"/>
            <w:shd w:val="clear" w:color="auto" w:fill="auto"/>
          </w:tcPr>
          <w:p w14:paraId="5ABBC20C" w14:textId="77777777" w:rsidR="009470AB" w:rsidRPr="00133326" w:rsidRDefault="009470AB" w:rsidP="009C14A7">
            <w:pPr>
              <w:spacing w:after="0" w:line="360" w:lineRule="auto"/>
              <w:jc w:val="center"/>
              <w:rPr>
                <w:rFonts w:eastAsia="Calibri"/>
                <w:sz w:val="22"/>
                <w:szCs w:val="22"/>
              </w:rPr>
            </w:pPr>
          </w:p>
        </w:tc>
        <w:tc>
          <w:tcPr>
            <w:tcW w:w="2480" w:type="dxa"/>
            <w:shd w:val="clear" w:color="auto" w:fill="auto"/>
          </w:tcPr>
          <w:p w14:paraId="7010266A" w14:textId="77777777" w:rsidR="009470AB" w:rsidRPr="00133326" w:rsidRDefault="009470AB" w:rsidP="009C14A7">
            <w:pPr>
              <w:spacing w:after="0" w:line="360" w:lineRule="auto"/>
              <w:jc w:val="center"/>
              <w:rPr>
                <w:rFonts w:eastAsia="Calibri"/>
                <w:sz w:val="22"/>
                <w:szCs w:val="22"/>
              </w:rPr>
            </w:pPr>
          </w:p>
        </w:tc>
        <w:tc>
          <w:tcPr>
            <w:tcW w:w="2712" w:type="dxa"/>
            <w:shd w:val="clear" w:color="auto" w:fill="auto"/>
          </w:tcPr>
          <w:p w14:paraId="369EAB77" w14:textId="77777777" w:rsidR="009470AB" w:rsidRPr="00133326" w:rsidRDefault="009470AB" w:rsidP="009C14A7">
            <w:pPr>
              <w:keepNext/>
              <w:spacing w:after="0" w:line="360" w:lineRule="auto"/>
              <w:jc w:val="center"/>
              <w:rPr>
                <w:rFonts w:eastAsia="Calibri"/>
                <w:sz w:val="22"/>
                <w:szCs w:val="22"/>
              </w:rPr>
            </w:pPr>
            <w:r w:rsidRPr="00133326">
              <w:rPr>
                <w:rFonts w:eastAsia="Calibri"/>
                <w:sz w:val="22"/>
                <w:szCs w:val="22"/>
              </w:rPr>
              <w:t xml:space="preserve">Prediction/imputation of the </w:t>
            </w:r>
            <w:r w:rsidRPr="00133326">
              <w:rPr>
                <w:rFonts w:eastAsia="Calibri"/>
                <w:i/>
                <w:sz w:val="22"/>
                <w:szCs w:val="22"/>
              </w:rPr>
              <w:t>core</w:t>
            </w:r>
            <w:r w:rsidRPr="00133326">
              <w:rPr>
                <w:rFonts w:eastAsia="Calibri"/>
                <w:sz w:val="22"/>
                <w:szCs w:val="22"/>
              </w:rPr>
              <w:t xml:space="preserve"> variables for totally uncovered units</w:t>
            </w:r>
          </w:p>
        </w:tc>
      </w:tr>
      <w:tr w:rsidR="009470AB" w:rsidRPr="00133326" w14:paraId="1CFD4D20" w14:textId="77777777" w:rsidTr="009C14A7">
        <w:trPr>
          <w:cantSplit/>
        </w:trPr>
        <w:tc>
          <w:tcPr>
            <w:tcW w:w="936" w:type="dxa"/>
            <w:shd w:val="clear" w:color="auto" w:fill="auto"/>
            <w:vAlign w:val="center"/>
          </w:tcPr>
          <w:p w14:paraId="1F6F954D" w14:textId="77777777" w:rsidR="009470AB" w:rsidRPr="00133326" w:rsidRDefault="009470AB" w:rsidP="009C14A7">
            <w:pPr>
              <w:spacing w:after="0" w:line="360" w:lineRule="auto"/>
              <w:jc w:val="center"/>
              <w:rPr>
                <w:rFonts w:eastAsia="Calibri"/>
                <w:b/>
                <w:sz w:val="22"/>
                <w:szCs w:val="22"/>
              </w:rPr>
            </w:pPr>
            <w:r w:rsidRPr="00133326">
              <w:rPr>
                <w:rFonts w:eastAsia="Calibri"/>
                <w:b/>
                <w:sz w:val="22"/>
                <w:szCs w:val="22"/>
              </w:rPr>
              <w:t>6</w:t>
            </w:r>
          </w:p>
        </w:tc>
        <w:tc>
          <w:tcPr>
            <w:tcW w:w="2705" w:type="dxa"/>
            <w:shd w:val="clear" w:color="auto" w:fill="auto"/>
          </w:tcPr>
          <w:p w14:paraId="16BF5ADB" w14:textId="77777777" w:rsidR="009470AB" w:rsidRPr="00133326" w:rsidRDefault="009470AB" w:rsidP="009C14A7">
            <w:pPr>
              <w:spacing w:after="0" w:line="360" w:lineRule="auto"/>
              <w:jc w:val="center"/>
              <w:rPr>
                <w:rFonts w:eastAsia="Calibri"/>
                <w:sz w:val="22"/>
                <w:szCs w:val="22"/>
              </w:rPr>
            </w:pPr>
          </w:p>
        </w:tc>
        <w:tc>
          <w:tcPr>
            <w:tcW w:w="2480" w:type="dxa"/>
            <w:shd w:val="clear" w:color="auto" w:fill="auto"/>
          </w:tcPr>
          <w:p w14:paraId="460D480B" w14:textId="77777777" w:rsidR="009470AB" w:rsidRPr="00133326" w:rsidRDefault="009470AB" w:rsidP="009C14A7">
            <w:pPr>
              <w:spacing w:after="0" w:line="360" w:lineRule="auto"/>
              <w:jc w:val="center"/>
              <w:rPr>
                <w:rFonts w:eastAsia="Calibri"/>
                <w:sz w:val="22"/>
                <w:szCs w:val="22"/>
              </w:rPr>
            </w:pPr>
          </w:p>
        </w:tc>
        <w:tc>
          <w:tcPr>
            <w:tcW w:w="2712" w:type="dxa"/>
            <w:shd w:val="clear" w:color="auto" w:fill="auto"/>
          </w:tcPr>
          <w:p w14:paraId="0691A897" w14:textId="77777777" w:rsidR="009470AB" w:rsidRPr="00133326" w:rsidRDefault="009470AB" w:rsidP="009C14A7">
            <w:pPr>
              <w:keepNext/>
              <w:spacing w:after="0" w:line="360" w:lineRule="auto"/>
              <w:jc w:val="center"/>
              <w:rPr>
                <w:rFonts w:eastAsia="Calibri"/>
                <w:sz w:val="22"/>
                <w:szCs w:val="22"/>
              </w:rPr>
            </w:pPr>
            <w:r w:rsidRPr="00133326">
              <w:rPr>
                <w:rFonts w:eastAsia="Calibri"/>
                <w:sz w:val="22"/>
                <w:szCs w:val="22"/>
              </w:rPr>
              <w:t xml:space="preserve">Estimation of the </w:t>
            </w:r>
            <w:r w:rsidRPr="00133326">
              <w:rPr>
                <w:rFonts w:eastAsia="Calibri"/>
                <w:i/>
                <w:sz w:val="22"/>
                <w:szCs w:val="22"/>
              </w:rPr>
              <w:t>components</w:t>
            </w:r>
            <w:r w:rsidRPr="00133326">
              <w:rPr>
                <w:rFonts w:eastAsia="Calibri"/>
                <w:sz w:val="22"/>
                <w:szCs w:val="22"/>
              </w:rPr>
              <w:t xml:space="preserve"> variables</w:t>
            </w:r>
          </w:p>
        </w:tc>
      </w:tr>
    </w:tbl>
    <w:p w14:paraId="7510D1F3" w14:textId="77777777" w:rsidR="00E33B29" w:rsidRDefault="00E33B29" w:rsidP="00E33B29">
      <w:pPr>
        <w:spacing w:after="0"/>
      </w:pPr>
    </w:p>
    <w:p w14:paraId="5879E8F2" w14:textId="56E8E643" w:rsidR="00BC6AFE" w:rsidRPr="00E13690" w:rsidRDefault="00BC6AFE" w:rsidP="009B4EE0">
      <w:pPr>
        <w:pStyle w:val="Titolo1"/>
        <w:ind w:left="480" w:hanging="480"/>
        <w:rPr>
          <w:lang w:val="it-IT"/>
        </w:rPr>
      </w:pPr>
      <w:proofErr w:type="spellStart"/>
      <w:r w:rsidRPr="00E13690">
        <w:rPr>
          <w:lang w:val="it-IT"/>
        </w:rPr>
        <w:t>References</w:t>
      </w:r>
      <w:proofErr w:type="spellEnd"/>
      <w:r w:rsidR="00D75D04" w:rsidRPr="00E13690">
        <w:rPr>
          <w:lang w:val="it-IT"/>
        </w:rPr>
        <w:t xml:space="preserve"> </w:t>
      </w:r>
    </w:p>
    <w:p w14:paraId="3FD685A9" w14:textId="4C690F78" w:rsidR="00E13690" w:rsidRPr="00FA5BD5" w:rsidRDefault="00E13690" w:rsidP="00FA5BD5">
      <w:pPr>
        <w:pStyle w:val="Text1"/>
        <w:numPr>
          <w:ilvl w:val="0"/>
          <w:numId w:val="20"/>
        </w:numPr>
        <w:spacing w:after="0"/>
        <w:ind w:left="357" w:hanging="357"/>
        <w:rPr>
          <w:rStyle w:val="None"/>
          <w:sz w:val="22"/>
          <w:szCs w:val="22"/>
        </w:rPr>
      </w:pPr>
      <w:r w:rsidRPr="00AD18BB">
        <w:rPr>
          <w:rStyle w:val="None"/>
          <w:sz w:val="22"/>
          <w:szCs w:val="22"/>
          <w:lang w:val="en-US"/>
        </w:rPr>
        <w:t xml:space="preserve">R. M. Groves and </w:t>
      </w:r>
      <w:proofErr w:type="spellStart"/>
      <w:r w:rsidRPr="00AD18BB">
        <w:rPr>
          <w:rStyle w:val="None"/>
          <w:sz w:val="22"/>
          <w:szCs w:val="22"/>
          <w:lang w:val="en-US"/>
        </w:rPr>
        <w:t>L.E</w:t>
      </w:r>
      <w:proofErr w:type="spellEnd"/>
      <w:r w:rsidRPr="00AD18BB">
        <w:rPr>
          <w:rStyle w:val="None"/>
          <w:sz w:val="22"/>
          <w:szCs w:val="22"/>
          <w:lang w:val="en-US"/>
        </w:rPr>
        <w:t xml:space="preserve">. </w:t>
      </w:r>
      <w:proofErr w:type="spellStart"/>
      <w:r w:rsidRPr="00AD18BB">
        <w:rPr>
          <w:rStyle w:val="None"/>
          <w:sz w:val="22"/>
          <w:szCs w:val="22"/>
          <w:lang w:val="en-US"/>
        </w:rPr>
        <w:t>Lyberg</w:t>
      </w:r>
      <w:proofErr w:type="spellEnd"/>
      <w:r w:rsidRPr="00AD18BB">
        <w:rPr>
          <w:rStyle w:val="None"/>
          <w:sz w:val="22"/>
          <w:szCs w:val="22"/>
          <w:lang w:val="en-US"/>
        </w:rPr>
        <w:t xml:space="preserve">, </w:t>
      </w:r>
      <w:r w:rsidRPr="00FA5BD5">
        <w:rPr>
          <w:rStyle w:val="None"/>
          <w:sz w:val="22"/>
          <w:szCs w:val="22"/>
          <w:lang w:val="en-US"/>
        </w:rPr>
        <w:t xml:space="preserve">Total Survey Error: Past, Present, and Future, </w:t>
      </w:r>
      <w:r w:rsidRPr="00FA5BD5">
        <w:rPr>
          <w:rStyle w:val="None"/>
          <w:i/>
          <w:iCs/>
          <w:sz w:val="22"/>
          <w:szCs w:val="22"/>
          <w:lang w:val="en-US"/>
        </w:rPr>
        <w:t>Public Opinion Quarterl</w:t>
      </w:r>
      <w:r w:rsidRPr="00FA5BD5">
        <w:rPr>
          <w:rStyle w:val="None"/>
          <w:sz w:val="22"/>
          <w:szCs w:val="22"/>
          <w:lang w:val="en-US"/>
        </w:rPr>
        <w:t>y, 74(1), (</w:t>
      </w:r>
      <w:r w:rsidRPr="00AD18BB">
        <w:rPr>
          <w:rStyle w:val="None"/>
          <w:sz w:val="22"/>
          <w:szCs w:val="22"/>
          <w:lang w:val="en-US"/>
        </w:rPr>
        <w:t xml:space="preserve">2010), </w:t>
      </w:r>
      <w:r w:rsidRPr="00FA5BD5">
        <w:rPr>
          <w:rStyle w:val="None"/>
          <w:sz w:val="22"/>
          <w:szCs w:val="22"/>
          <w:lang w:val="en-US"/>
        </w:rPr>
        <w:t xml:space="preserve">849-879. </w:t>
      </w:r>
    </w:p>
    <w:p w14:paraId="661371CF" w14:textId="77777777" w:rsidR="00E13690" w:rsidRPr="00FA5BD5" w:rsidRDefault="00E13690" w:rsidP="00FA5BD5">
      <w:pPr>
        <w:pStyle w:val="Text1"/>
        <w:numPr>
          <w:ilvl w:val="0"/>
          <w:numId w:val="20"/>
        </w:numPr>
        <w:spacing w:after="0"/>
        <w:ind w:left="357" w:hanging="357"/>
        <w:rPr>
          <w:sz w:val="22"/>
          <w:szCs w:val="22"/>
        </w:rPr>
      </w:pPr>
      <w:r w:rsidRPr="00FA5BD5">
        <w:rPr>
          <w:sz w:val="22"/>
          <w:szCs w:val="22"/>
        </w:rPr>
        <w:t xml:space="preserve">L.C. Zhang, Topics of statistical theory for register-based statistics and data integration. </w:t>
      </w:r>
      <w:proofErr w:type="spellStart"/>
      <w:r w:rsidRPr="00FA5BD5">
        <w:rPr>
          <w:sz w:val="22"/>
          <w:szCs w:val="22"/>
        </w:rPr>
        <w:t>Statistica</w:t>
      </w:r>
      <w:proofErr w:type="spellEnd"/>
      <w:r w:rsidRPr="00FA5BD5">
        <w:rPr>
          <w:sz w:val="22"/>
          <w:szCs w:val="22"/>
        </w:rPr>
        <w:t xml:space="preserve"> </w:t>
      </w:r>
      <w:proofErr w:type="spellStart"/>
      <w:r w:rsidRPr="00FA5BD5">
        <w:rPr>
          <w:sz w:val="22"/>
          <w:szCs w:val="22"/>
        </w:rPr>
        <w:t>Neerlandica</w:t>
      </w:r>
      <w:proofErr w:type="spellEnd"/>
      <w:r w:rsidRPr="00FA5BD5">
        <w:rPr>
          <w:sz w:val="22"/>
          <w:szCs w:val="22"/>
        </w:rPr>
        <w:t xml:space="preserve"> (2012), 66(1), 41-63.</w:t>
      </w:r>
    </w:p>
    <w:p w14:paraId="58E71807" w14:textId="77777777" w:rsidR="00E13690" w:rsidRPr="00FA5BD5" w:rsidRDefault="00E13690" w:rsidP="00FA5BD5">
      <w:pPr>
        <w:pStyle w:val="Text1"/>
        <w:numPr>
          <w:ilvl w:val="0"/>
          <w:numId w:val="20"/>
        </w:numPr>
        <w:spacing w:after="0"/>
        <w:ind w:left="357" w:hanging="357"/>
        <w:rPr>
          <w:sz w:val="22"/>
          <w:szCs w:val="22"/>
        </w:rPr>
      </w:pPr>
      <w:r w:rsidRPr="00FA5BD5">
        <w:rPr>
          <w:sz w:val="22"/>
          <w:szCs w:val="22"/>
        </w:rPr>
        <w:t xml:space="preserve">F. </w:t>
      </w:r>
      <w:proofErr w:type="spellStart"/>
      <w:r w:rsidRPr="00FA5BD5">
        <w:rPr>
          <w:sz w:val="22"/>
          <w:szCs w:val="22"/>
        </w:rPr>
        <w:t>Zabala</w:t>
      </w:r>
      <w:proofErr w:type="spellEnd"/>
      <w:r w:rsidRPr="00FA5BD5">
        <w:rPr>
          <w:sz w:val="22"/>
          <w:szCs w:val="22"/>
        </w:rPr>
        <w:t xml:space="preserve">, G. Reid, J. </w:t>
      </w:r>
      <w:proofErr w:type="spellStart"/>
      <w:r w:rsidRPr="00FA5BD5">
        <w:rPr>
          <w:sz w:val="22"/>
          <w:szCs w:val="22"/>
        </w:rPr>
        <w:t>Gudgeon</w:t>
      </w:r>
      <w:proofErr w:type="spellEnd"/>
      <w:r w:rsidRPr="00FA5BD5">
        <w:rPr>
          <w:sz w:val="22"/>
          <w:szCs w:val="22"/>
        </w:rPr>
        <w:t xml:space="preserve"> and M. </w:t>
      </w:r>
      <w:proofErr w:type="spellStart"/>
      <w:r w:rsidRPr="00FA5BD5">
        <w:rPr>
          <w:sz w:val="22"/>
          <w:szCs w:val="22"/>
        </w:rPr>
        <w:t>Feyen</w:t>
      </w:r>
      <w:proofErr w:type="spellEnd"/>
      <w:r w:rsidRPr="00FA5BD5">
        <w:rPr>
          <w:sz w:val="22"/>
          <w:szCs w:val="22"/>
        </w:rPr>
        <w:t>, Quality Measures for Statistical Outputs using Administrative Data, Statistical Methods, Statistics New Zealand (2013).</w:t>
      </w:r>
    </w:p>
    <w:p w14:paraId="2F6879B1" w14:textId="77777777" w:rsidR="00E13690" w:rsidRPr="00FA5BD5" w:rsidRDefault="00E13690" w:rsidP="00FA5BD5">
      <w:pPr>
        <w:pStyle w:val="Text1"/>
        <w:numPr>
          <w:ilvl w:val="0"/>
          <w:numId w:val="20"/>
        </w:numPr>
        <w:spacing w:after="0"/>
        <w:ind w:left="357" w:hanging="357"/>
        <w:rPr>
          <w:sz w:val="22"/>
          <w:szCs w:val="22"/>
        </w:rPr>
      </w:pPr>
      <w:r w:rsidRPr="00FA5BD5">
        <w:rPr>
          <w:sz w:val="22"/>
          <w:szCs w:val="22"/>
        </w:rPr>
        <w:t xml:space="preserve">G. Reid, F. </w:t>
      </w:r>
      <w:proofErr w:type="spellStart"/>
      <w:r w:rsidRPr="00FA5BD5">
        <w:rPr>
          <w:sz w:val="22"/>
          <w:szCs w:val="22"/>
        </w:rPr>
        <w:t>Zabala</w:t>
      </w:r>
      <w:proofErr w:type="spellEnd"/>
      <w:r w:rsidRPr="00FA5BD5">
        <w:rPr>
          <w:sz w:val="22"/>
          <w:szCs w:val="22"/>
        </w:rPr>
        <w:t xml:space="preserve"> and A. Holmberg, Extending TSE to Administrative Data: A Quality Framework and Case Studies from Stats NZ, Journal of Official Statistics, (2017), 33(2), 477–511.</w:t>
      </w:r>
    </w:p>
    <w:p w14:paraId="0C28C9E6" w14:textId="77777777" w:rsidR="00E13690" w:rsidRPr="00FA5BD5" w:rsidRDefault="00E13690" w:rsidP="00FA5BD5">
      <w:pPr>
        <w:pStyle w:val="Text1"/>
        <w:numPr>
          <w:ilvl w:val="0"/>
          <w:numId w:val="20"/>
        </w:numPr>
        <w:spacing w:after="0"/>
        <w:ind w:left="357" w:hanging="357"/>
        <w:rPr>
          <w:sz w:val="22"/>
          <w:szCs w:val="22"/>
        </w:rPr>
      </w:pPr>
      <w:r w:rsidRPr="00FA5BD5">
        <w:rPr>
          <w:sz w:val="22"/>
          <w:szCs w:val="22"/>
        </w:rPr>
        <w:t xml:space="preserve">O. Luzi and R. </w:t>
      </w:r>
      <w:proofErr w:type="spellStart"/>
      <w:r w:rsidRPr="00FA5BD5">
        <w:rPr>
          <w:sz w:val="22"/>
          <w:szCs w:val="22"/>
        </w:rPr>
        <w:t>Monducci</w:t>
      </w:r>
      <w:proofErr w:type="spellEnd"/>
      <w:r w:rsidRPr="00FA5BD5">
        <w:rPr>
          <w:sz w:val="22"/>
          <w:szCs w:val="22"/>
        </w:rPr>
        <w:t xml:space="preserve">, The new statistical register Frame-SBS: overview and perspectives, </w:t>
      </w:r>
      <w:proofErr w:type="spellStart"/>
      <w:r w:rsidRPr="00FA5BD5">
        <w:rPr>
          <w:sz w:val="22"/>
          <w:szCs w:val="22"/>
        </w:rPr>
        <w:t>Rivista</w:t>
      </w:r>
      <w:proofErr w:type="spellEnd"/>
      <w:r w:rsidRPr="00FA5BD5">
        <w:rPr>
          <w:sz w:val="22"/>
          <w:szCs w:val="22"/>
        </w:rPr>
        <w:t xml:space="preserve"> di </w:t>
      </w:r>
      <w:proofErr w:type="spellStart"/>
      <w:r w:rsidRPr="00FA5BD5">
        <w:rPr>
          <w:sz w:val="22"/>
          <w:szCs w:val="22"/>
        </w:rPr>
        <w:t>Statistica</w:t>
      </w:r>
      <w:proofErr w:type="spellEnd"/>
      <w:r w:rsidRPr="00FA5BD5">
        <w:rPr>
          <w:sz w:val="22"/>
          <w:szCs w:val="22"/>
        </w:rPr>
        <w:t xml:space="preserve"> </w:t>
      </w:r>
      <w:proofErr w:type="spellStart"/>
      <w:r w:rsidRPr="00FA5BD5">
        <w:rPr>
          <w:sz w:val="22"/>
          <w:szCs w:val="22"/>
        </w:rPr>
        <w:t>Ufficiale</w:t>
      </w:r>
      <w:proofErr w:type="spellEnd"/>
      <w:r w:rsidRPr="00FA5BD5">
        <w:rPr>
          <w:sz w:val="22"/>
          <w:szCs w:val="22"/>
        </w:rPr>
        <w:t>, N.1/2016 (2016), 5-14.</w:t>
      </w:r>
    </w:p>
    <w:p w14:paraId="13D6458A" w14:textId="77777777" w:rsidR="00E13690" w:rsidRPr="00FA5BD5" w:rsidRDefault="00E13690" w:rsidP="00FA5BD5">
      <w:pPr>
        <w:pStyle w:val="Text1"/>
        <w:numPr>
          <w:ilvl w:val="0"/>
          <w:numId w:val="20"/>
        </w:numPr>
        <w:spacing w:after="0"/>
        <w:ind w:left="357" w:hanging="357"/>
        <w:rPr>
          <w:sz w:val="22"/>
          <w:szCs w:val="22"/>
        </w:rPr>
      </w:pPr>
      <w:r w:rsidRPr="00FA5BD5">
        <w:rPr>
          <w:sz w:val="22"/>
          <w:szCs w:val="22"/>
        </w:rPr>
        <w:t xml:space="preserve">O. Luzi, F. </w:t>
      </w:r>
      <w:proofErr w:type="spellStart"/>
      <w:r w:rsidRPr="00FA5BD5">
        <w:rPr>
          <w:sz w:val="22"/>
          <w:szCs w:val="22"/>
        </w:rPr>
        <w:t>Rocci</w:t>
      </w:r>
      <w:proofErr w:type="spellEnd"/>
      <w:r w:rsidRPr="00FA5BD5">
        <w:rPr>
          <w:sz w:val="22"/>
          <w:szCs w:val="22"/>
        </w:rPr>
        <w:t xml:space="preserve">, R. </w:t>
      </w:r>
      <w:proofErr w:type="spellStart"/>
      <w:r w:rsidRPr="00FA5BD5">
        <w:rPr>
          <w:sz w:val="22"/>
          <w:szCs w:val="22"/>
        </w:rPr>
        <w:t>Sanzo</w:t>
      </w:r>
      <w:proofErr w:type="spellEnd"/>
      <w:r w:rsidRPr="00FA5BD5">
        <w:rPr>
          <w:sz w:val="22"/>
          <w:szCs w:val="22"/>
        </w:rPr>
        <w:t xml:space="preserve">, R. Varriale and G. </w:t>
      </w:r>
      <w:proofErr w:type="spellStart"/>
      <w:r w:rsidRPr="00FA5BD5">
        <w:rPr>
          <w:sz w:val="22"/>
          <w:szCs w:val="22"/>
        </w:rPr>
        <w:t>Brancato</w:t>
      </w:r>
      <w:proofErr w:type="spellEnd"/>
      <w:r w:rsidRPr="00FA5BD5">
        <w:rPr>
          <w:sz w:val="22"/>
          <w:szCs w:val="22"/>
        </w:rPr>
        <w:t>, Quality evaluation for statistical register: the Italian FRAME-SBS, European Conference on Quality in Official Statistics Q2016 (2016).</w:t>
      </w:r>
    </w:p>
    <w:p w14:paraId="785EC0B2" w14:textId="2DF02111" w:rsidR="00E13690" w:rsidRPr="00FA5BD5" w:rsidRDefault="00E13690" w:rsidP="00FA5BD5">
      <w:pPr>
        <w:pStyle w:val="Text1"/>
        <w:numPr>
          <w:ilvl w:val="0"/>
          <w:numId w:val="20"/>
        </w:numPr>
        <w:spacing w:after="0"/>
        <w:ind w:left="357" w:hanging="357"/>
        <w:rPr>
          <w:sz w:val="22"/>
          <w:szCs w:val="22"/>
        </w:rPr>
      </w:pPr>
      <w:r w:rsidRPr="00FA5BD5">
        <w:rPr>
          <w:sz w:val="22"/>
          <w:szCs w:val="22"/>
        </w:rPr>
        <w:t xml:space="preserve">O. Luzi, U. Guarnera and P. </w:t>
      </w:r>
      <w:proofErr w:type="spellStart"/>
      <w:r w:rsidRPr="00FA5BD5">
        <w:rPr>
          <w:sz w:val="22"/>
          <w:szCs w:val="22"/>
        </w:rPr>
        <w:t>Righi</w:t>
      </w:r>
      <w:proofErr w:type="spellEnd"/>
      <w:r w:rsidRPr="00FA5BD5">
        <w:rPr>
          <w:sz w:val="22"/>
          <w:szCs w:val="22"/>
        </w:rPr>
        <w:t>, The new multiple-source system for Italian Structural Business Statistics based on administrative and survey data, European Conference on Quality in Official Statistics Q2014 (2014).</w:t>
      </w:r>
    </w:p>
    <w:p w14:paraId="57F7EA5B" w14:textId="52E638FB" w:rsidR="00FA5BD5" w:rsidRPr="00FA5BD5" w:rsidRDefault="00FA5BD5" w:rsidP="00FA5BD5">
      <w:pPr>
        <w:pStyle w:val="Text1"/>
        <w:numPr>
          <w:ilvl w:val="0"/>
          <w:numId w:val="20"/>
        </w:numPr>
        <w:spacing w:after="0"/>
        <w:ind w:left="426" w:hanging="426"/>
        <w:rPr>
          <w:sz w:val="22"/>
          <w:szCs w:val="22"/>
          <w:lang w:val="en-US"/>
        </w:rPr>
      </w:pPr>
      <w:r w:rsidRPr="00FA5BD5">
        <w:rPr>
          <w:sz w:val="22"/>
          <w:szCs w:val="22"/>
          <w:lang w:val="en-US"/>
        </w:rPr>
        <w:t xml:space="preserve">F. </w:t>
      </w:r>
      <w:proofErr w:type="spellStart"/>
      <w:r w:rsidRPr="00FA5BD5">
        <w:rPr>
          <w:sz w:val="22"/>
          <w:szCs w:val="22"/>
          <w:lang w:val="en-US"/>
        </w:rPr>
        <w:t>Rocci</w:t>
      </w:r>
      <w:proofErr w:type="spellEnd"/>
      <w:r w:rsidRPr="00FA5BD5">
        <w:rPr>
          <w:sz w:val="22"/>
          <w:szCs w:val="22"/>
          <w:lang w:val="en-US"/>
        </w:rPr>
        <w:t>, R. Varriale and O. Luzi, A proposal of an evaluation framework for processes based on the use of AD, Workshop on Statistical Data Editing UNECE 2018 (2018), 1-10.</w:t>
      </w:r>
    </w:p>
    <w:p w14:paraId="2A02FFED" w14:textId="5B6423BE" w:rsidR="00A23EDD" w:rsidRPr="00FA5BD5" w:rsidRDefault="00A23EDD" w:rsidP="00FA5BD5">
      <w:pPr>
        <w:pStyle w:val="Text1"/>
        <w:numPr>
          <w:ilvl w:val="0"/>
          <w:numId w:val="20"/>
        </w:numPr>
        <w:spacing w:after="0"/>
        <w:ind w:left="357" w:hanging="357"/>
        <w:rPr>
          <w:sz w:val="22"/>
          <w:szCs w:val="22"/>
        </w:rPr>
      </w:pPr>
      <w:r w:rsidRPr="00FA5BD5">
        <w:rPr>
          <w:sz w:val="22"/>
          <w:szCs w:val="22"/>
        </w:rPr>
        <w:t xml:space="preserve">T. de Waal, A. van </w:t>
      </w:r>
      <w:proofErr w:type="spellStart"/>
      <w:r w:rsidRPr="00FA5BD5">
        <w:rPr>
          <w:sz w:val="22"/>
          <w:szCs w:val="22"/>
        </w:rPr>
        <w:t>Delden</w:t>
      </w:r>
      <w:proofErr w:type="spellEnd"/>
      <w:r w:rsidRPr="00FA5BD5">
        <w:rPr>
          <w:sz w:val="22"/>
          <w:szCs w:val="22"/>
        </w:rPr>
        <w:t xml:space="preserve"> and S. Scholtus, Multi-source Statistics: Basic Situations and Methods, Discussion Paper CBS (2017), 2-38</w:t>
      </w:r>
    </w:p>
    <w:sectPr w:rsidR="00A23EDD" w:rsidRPr="00FA5BD5"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91A4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EA8689" w16cid:durableId="1F6B3BE1"/>
  <w16cid:commentId w16cid:paraId="4891A46D" w16cid:durableId="1F6B3D18"/>
  <w16cid:commentId w16cid:paraId="722A8FA3" w16cid:durableId="1F6B4467"/>
  <w16cid:commentId w16cid:paraId="1DC50E85" w16cid:durableId="1F6B3BE4"/>
  <w16cid:commentId w16cid:paraId="46175671" w16cid:durableId="1F6B3DB8"/>
  <w16cid:commentId w16cid:paraId="36CEF3D6" w16cid:durableId="1F6B3F2E"/>
  <w16cid:commentId w16cid:paraId="65DFD9A2" w16cid:durableId="1F6B3BE5"/>
  <w16cid:commentId w16cid:paraId="77C3157E" w16cid:durableId="1F6B4708"/>
  <w16cid:commentId w16cid:paraId="0FE7ED06" w16cid:durableId="1F6B3BE6"/>
  <w16cid:commentId w16cid:paraId="292DED2A" w16cid:durableId="1F6B3BE7"/>
  <w16cid:commentId w16cid:paraId="0CDBB948" w16cid:durableId="1F6B3BE8"/>
  <w16cid:commentId w16cid:paraId="559828F7" w16cid:durableId="1F6B3B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8DB3C" w14:textId="77777777" w:rsidR="00B32B4F" w:rsidRDefault="00B32B4F" w:rsidP="00BC6AFE">
      <w:pPr>
        <w:spacing w:after="0"/>
      </w:pPr>
      <w:r>
        <w:separator/>
      </w:r>
    </w:p>
  </w:endnote>
  <w:endnote w:type="continuationSeparator" w:id="0">
    <w:p w14:paraId="4D3F10A7" w14:textId="77777777" w:rsidR="00B32B4F" w:rsidRDefault="00B32B4F"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F095" w14:textId="0B03CFC4" w:rsidR="009A6B4C" w:rsidRDefault="009A6B4C">
    <w:pPr>
      <w:pStyle w:val="Pidipagina"/>
      <w:jc w:val="center"/>
    </w:pPr>
    <w:r>
      <w:fldChar w:fldCharType="begin"/>
    </w:r>
    <w:r>
      <w:instrText>PAGE</w:instrText>
    </w:r>
    <w:r>
      <w:fldChar w:fldCharType="separate"/>
    </w:r>
    <w:r w:rsidR="0036099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82667" w14:textId="77777777" w:rsidR="009A6B4C" w:rsidRDefault="009A6B4C">
    <w:pPr>
      <w:pStyle w:val="Pidipagina"/>
      <w:rPr>
        <w:sz w:val="24"/>
        <w:szCs w:val="24"/>
      </w:rPr>
    </w:pPr>
  </w:p>
  <w:p w14:paraId="30E6117D" w14:textId="77777777" w:rsidR="009A6B4C" w:rsidRDefault="009A6B4C">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0539BA9C" w14:textId="77777777" w:rsidR="009A6B4C" w:rsidRDefault="009A6B4C">
    <w:pPr>
      <w:pStyle w:val="Pidipagina"/>
    </w:pPr>
  </w:p>
  <w:p w14:paraId="12B8B01E" w14:textId="77777777" w:rsidR="009A6B4C" w:rsidRDefault="009A6B4C">
    <w:pPr>
      <w:pStyle w:val="Pidipagina"/>
    </w:pPr>
    <w:r>
      <w:t>http://epp.eurostat.ec.europa.eu</w:t>
    </w:r>
  </w:p>
  <w:p w14:paraId="52492047" w14:textId="77777777" w:rsidR="009A6B4C" w:rsidRDefault="009A6B4C">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FCF80" w14:textId="77777777" w:rsidR="00B32B4F" w:rsidRDefault="00B32B4F" w:rsidP="00BC6AFE">
      <w:pPr>
        <w:spacing w:after="0"/>
      </w:pPr>
      <w:r>
        <w:separator/>
      </w:r>
    </w:p>
  </w:footnote>
  <w:footnote w:type="continuationSeparator" w:id="0">
    <w:p w14:paraId="76C173A9" w14:textId="77777777" w:rsidR="00B32B4F" w:rsidRDefault="00B32B4F"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71ED5" w14:textId="77777777" w:rsidR="009A6B4C" w:rsidRDefault="009A6B4C">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10203D"/>
    <w:multiLevelType w:val="hybridMultilevel"/>
    <w:tmpl w:val="139228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7">
    <w:nsid w:val="218B08B2"/>
    <w:multiLevelType w:val="hybridMultilevel"/>
    <w:tmpl w:val="A810DA1E"/>
    <w:lvl w:ilvl="0" w:tplc="0410000F">
      <w:start w:val="1"/>
      <w:numFmt w:val="decimal"/>
      <w:lvlText w:val="%1."/>
      <w:lvlJc w:val="left"/>
      <w:pPr>
        <w:tabs>
          <w:tab w:val="num" w:pos="720"/>
        </w:tabs>
        <w:ind w:left="720" w:hanging="360"/>
      </w:pPr>
      <w:rPr>
        <w:rFonts w:hint="default"/>
      </w:rPr>
    </w:lvl>
    <w:lvl w:ilvl="1" w:tplc="8D7E8DE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BF33CBC"/>
    <w:multiLevelType w:val="hybridMultilevel"/>
    <w:tmpl w:val="77E88D00"/>
    <w:lvl w:ilvl="0" w:tplc="20ACEEE0">
      <w:start w:val="1"/>
      <w:numFmt w:val="lowerLetter"/>
      <w:lvlText w:val="(%1)"/>
      <w:lvlJc w:val="left"/>
      <w:pPr>
        <w:tabs>
          <w:tab w:val="num" w:pos="720"/>
        </w:tabs>
        <w:ind w:left="720" w:hanging="360"/>
      </w:pPr>
      <w:rPr>
        <w:rFonts w:hint="default"/>
      </w:rPr>
    </w:lvl>
    <w:lvl w:ilvl="1" w:tplc="C9D6B1A8">
      <w:start w:val="1"/>
      <w:numFmt w:val="lowerLetter"/>
      <w:lvlText w:val="2%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0AA0083"/>
    <w:multiLevelType w:val="hybridMultilevel"/>
    <w:tmpl w:val="A15A9746"/>
    <w:lvl w:ilvl="0" w:tplc="41D61046">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8109BA"/>
    <w:multiLevelType w:val="hybridMultilevel"/>
    <w:tmpl w:val="9FC24492"/>
    <w:lvl w:ilvl="0" w:tplc="04100001">
      <w:start w:val="1"/>
      <w:numFmt w:val="bullet"/>
      <w:lvlText w:val=""/>
      <w:lvlJc w:val="left"/>
      <w:pPr>
        <w:tabs>
          <w:tab w:val="num" w:pos="720"/>
        </w:tabs>
        <w:ind w:left="720" w:hanging="360"/>
      </w:pPr>
      <w:rPr>
        <w:rFonts w:ascii="Symbol" w:hAnsi="Symbol" w:hint="default"/>
      </w:rPr>
    </w:lvl>
    <w:lvl w:ilvl="1" w:tplc="8D7E8DE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nsid w:val="669775E5"/>
    <w:multiLevelType w:val="hybridMultilevel"/>
    <w:tmpl w:val="AB0EA53C"/>
    <w:lvl w:ilvl="0" w:tplc="20ACEEE0">
      <w:start w:val="1"/>
      <w:numFmt w:val="lowerLetter"/>
      <w:lvlText w:val="(%1)"/>
      <w:lvlJc w:val="left"/>
      <w:pPr>
        <w:tabs>
          <w:tab w:val="num" w:pos="720"/>
        </w:tabs>
        <w:ind w:left="720" w:hanging="360"/>
      </w:pPr>
      <w:rPr>
        <w:rFonts w:hint="default"/>
      </w:rPr>
    </w:lvl>
    <w:lvl w:ilvl="1" w:tplc="8D7E8DE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C832D6D"/>
    <w:multiLevelType w:val="hybridMultilevel"/>
    <w:tmpl w:val="E38E3C42"/>
    <w:lvl w:ilvl="0" w:tplc="F95CEB56">
      <w:start w:val="1"/>
      <w:numFmt w:val="lowerLetter"/>
      <w:lvlText w:val="(%1)"/>
      <w:lvlJc w:val="left"/>
      <w:pPr>
        <w:tabs>
          <w:tab w:val="num" w:pos="720"/>
        </w:tabs>
        <w:ind w:left="720" w:hanging="360"/>
      </w:pPr>
      <w:rPr>
        <w:rFonts w:hint="default"/>
      </w:rPr>
    </w:lvl>
    <w:lvl w:ilvl="1" w:tplc="8D7E8DE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7298788B"/>
    <w:multiLevelType w:val="hybridMultilevel"/>
    <w:tmpl w:val="5B065944"/>
    <w:lvl w:ilvl="0" w:tplc="09C8C0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78254A"/>
    <w:multiLevelType w:val="hybridMultilevel"/>
    <w:tmpl w:val="930C9CA6"/>
    <w:lvl w:ilvl="0" w:tplc="0712AE9E">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19"/>
  </w:num>
  <w:num w:numId="5">
    <w:abstractNumId w:val="11"/>
  </w:num>
  <w:num w:numId="6">
    <w:abstractNumId w:val="10"/>
  </w:num>
  <w:num w:numId="7">
    <w:abstractNumId w:val="6"/>
  </w:num>
  <w:num w:numId="8">
    <w:abstractNumId w:val="5"/>
  </w:num>
  <w:num w:numId="9">
    <w:abstractNumId w:val="20"/>
  </w:num>
  <w:num w:numId="10">
    <w:abstractNumId w:val="23"/>
  </w:num>
  <w:num w:numId="11">
    <w:abstractNumId w:val="21"/>
  </w:num>
  <w:num w:numId="12">
    <w:abstractNumId w:val="25"/>
  </w:num>
  <w:num w:numId="13">
    <w:abstractNumId w:val="8"/>
  </w:num>
  <w:num w:numId="14">
    <w:abstractNumId w:val="13"/>
  </w:num>
  <w:num w:numId="15">
    <w:abstractNumId w:val="15"/>
  </w:num>
  <w:num w:numId="16">
    <w:abstractNumId w:val="14"/>
  </w:num>
  <w:num w:numId="17">
    <w:abstractNumId w:val="2"/>
  </w:num>
  <w:num w:numId="18">
    <w:abstractNumId w:val="17"/>
  </w:num>
  <w:num w:numId="19">
    <w:abstractNumId w:val="18"/>
  </w:num>
  <w:num w:numId="20">
    <w:abstractNumId w:val="3"/>
  </w:num>
  <w:num w:numId="21">
    <w:abstractNumId w:val="16"/>
  </w:num>
  <w:num w:numId="22">
    <w:abstractNumId w:val="22"/>
  </w:num>
  <w:num w:numId="23">
    <w:abstractNumId w:val="24"/>
  </w:num>
  <w:num w:numId="24">
    <w:abstractNumId w:val="12"/>
  </w:num>
  <w:num w:numId="25">
    <w:abstractNumId w:val="7"/>
  </w:num>
  <w:num w:numId="26">
    <w:abstractNumId w:val="9"/>
  </w:num>
  <w:num w:numId="27">
    <w:abstractNumId w:val="27"/>
  </w:num>
  <w:num w:numId="28">
    <w:abstractNumId w:val="26"/>
  </w:num>
  <w:num w:numId="29">
    <w:abstractNumId w:val="4"/>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ana rocci">
    <w15:presenceInfo w15:providerId="Windows Live" w15:userId="b57ce33dcd3cc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9B7B5A"/>
    <w:rsid w:val="00002CB7"/>
    <w:rsid w:val="00010289"/>
    <w:rsid w:val="000403CE"/>
    <w:rsid w:val="0005164D"/>
    <w:rsid w:val="000642A1"/>
    <w:rsid w:val="00074070"/>
    <w:rsid w:val="000A2C57"/>
    <w:rsid w:val="000E4875"/>
    <w:rsid w:val="000F67D2"/>
    <w:rsid w:val="000F7438"/>
    <w:rsid w:val="0010474D"/>
    <w:rsid w:val="00127067"/>
    <w:rsid w:val="00133326"/>
    <w:rsid w:val="001857CF"/>
    <w:rsid w:val="001A115F"/>
    <w:rsid w:val="001B50CE"/>
    <w:rsid w:val="001B6571"/>
    <w:rsid w:val="001D1D1F"/>
    <w:rsid w:val="002012A8"/>
    <w:rsid w:val="002051BA"/>
    <w:rsid w:val="002267E2"/>
    <w:rsid w:val="00236DE1"/>
    <w:rsid w:val="00243A2C"/>
    <w:rsid w:val="002474D2"/>
    <w:rsid w:val="0025183E"/>
    <w:rsid w:val="0026191E"/>
    <w:rsid w:val="002957B2"/>
    <w:rsid w:val="002B047D"/>
    <w:rsid w:val="002C131F"/>
    <w:rsid w:val="00310D90"/>
    <w:rsid w:val="00332D6F"/>
    <w:rsid w:val="00354871"/>
    <w:rsid w:val="00360997"/>
    <w:rsid w:val="003759C6"/>
    <w:rsid w:val="00392E24"/>
    <w:rsid w:val="003A0766"/>
    <w:rsid w:val="003C4652"/>
    <w:rsid w:val="003D30B8"/>
    <w:rsid w:val="003E2EF8"/>
    <w:rsid w:val="00463FB5"/>
    <w:rsid w:val="004D4782"/>
    <w:rsid w:val="005369CF"/>
    <w:rsid w:val="005469E1"/>
    <w:rsid w:val="00551CE1"/>
    <w:rsid w:val="00570226"/>
    <w:rsid w:val="00573E28"/>
    <w:rsid w:val="005845D8"/>
    <w:rsid w:val="00587434"/>
    <w:rsid w:val="005A6C64"/>
    <w:rsid w:val="005B4EA5"/>
    <w:rsid w:val="005F003D"/>
    <w:rsid w:val="006312AF"/>
    <w:rsid w:val="00644B61"/>
    <w:rsid w:val="006473EE"/>
    <w:rsid w:val="006617E6"/>
    <w:rsid w:val="00680191"/>
    <w:rsid w:val="0068388D"/>
    <w:rsid w:val="006875D6"/>
    <w:rsid w:val="006A63F6"/>
    <w:rsid w:val="006B08E8"/>
    <w:rsid w:val="006C5484"/>
    <w:rsid w:val="0071188B"/>
    <w:rsid w:val="00734BE8"/>
    <w:rsid w:val="00741D43"/>
    <w:rsid w:val="007C061F"/>
    <w:rsid w:val="007C6C5E"/>
    <w:rsid w:val="00806441"/>
    <w:rsid w:val="00820BDC"/>
    <w:rsid w:val="008847C3"/>
    <w:rsid w:val="008A75D0"/>
    <w:rsid w:val="008B79F8"/>
    <w:rsid w:val="008D1569"/>
    <w:rsid w:val="008E29ED"/>
    <w:rsid w:val="008E3DF1"/>
    <w:rsid w:val="00915CE4"/>
    <w:rsid w:val="00923850"/>
    <w:rsid w:val="009470AB"/>
    <w:rsid w:val="00950793"/>
    <w:rsid w:val="00951AC7"/>
    <w:rsid w:val="00957C5A"/>
    <w:rsid w:val="00984D36"/>
    <w:rsid w:val="009A41E5"/>
    <w:rsid w:val="009A4FC6"/>
    <w:rsid w:val="009A6B4C"/>
    <w:rsid w:val="009B4EE0"/>
    <w:rsid w:val="009B7B5A"/>
    <w:rsid w:val="009C14A7"/>
    <w:rsid w:val="00A17E8C"/>
    <w:rsid w:val="00A23EDD"/>
    <w:rsid w:val="00A32105"/>
    <w:rsid w:val="00AB4423"/>
    <w:rsid w:val="00AD18BB"/>
    <w:rsid w:val="00AD30D0"/>
    <w:rsid w:val="00AD460F"/>
    <w:rsid w:val="00AE798F"/>
    <w:rsid w:val="00B32B4F"/>
    <w:rsid w:val="00B350B7"/>
    <w:rsid w:val="00B37F92"/>
    <w:rsid w:val="00B62118"/>
    <w:rsid w:val="00B62CCE"/>
    <w:rsid w:val="00B9492F"/>
    <w:rsid w:val="00BC17F5"/>
    <w:rsid w:val="00BC6AFE"/>
    <w:rsid w:val="00BD6386"/>
    <w:rsid w:val="00BF386F"/>
    <w:rsid w:val="00C7259D"/>
    <w:rsid w:val="00CB02CB"/>
    <w:rsid w:val="00CF1B90"/>
    <w:rsid w:val="00D24082"/>
    <w:rsid w:val="00D44060"/>
    <w:rsid w:val="00D52EA1"/>
    <w:rsid w:val="00D745C2"/>
    <w:rsid w:val="00D75D04"/>
    <w:rsid w:val="00D83B35"/>
    <w:rsid w:val="00DB601E"/>
    <w:rsid w:val="00DC0C73"/>
    <w:rsid w:val="00DE1956"/>
    <w:rsid w:val="00E109F6"/>
    <w:rsid w:val="00E13690"/>
    <w:rsid w:val="00E17D40"/>
    <w:rsid w:val="00E33B29"/>
    <w:rsid w:val="00E36098"/>
    <w:rsid w:val="00EA1F14"/>
    <w:rsid w:val="00EB4781"/>
    <w:rsid w:val="00EC52FF"/>
    <w:rsid w:val="00EF219A"/>
    <w:rsid w:val="00F01036"/>
    <w:rsid w:val="00F725B2"/>
    <w:rsid w:val="00F94614"/>
    <w:rsid w:val="00FA5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6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spacing w:before="240"/>
      <w:outlineLvl w:val="0"/>
    </w:pPr>
    <w:rPr>
      <w:b/>
      <w:smallCaps/>
    </w:rPr>
  </w:style>
  <w:style w:type="paragraph" w:styleId="Titolo2">
    <w:name w:val="heading 2"/>
    <w:basedOn w:val="Normale"/>
    <w:next w:val="Text2"/>
    <w:link w:val="Titolo2Carattere"/>
    <w:qFormat/>
    <w:pPr>
      <w:keepNext/>
      <w:outlineLvl w:val="1"/>
    </w:pPr>
    <w:rPr>
      <w:b/>
    </w:rPr>
  </w:style>
  <w:style w:type="paragraph" w:styleId="Titolo3">
    <w:name w:val="heading 3"/>
    <w:basedOn w:val="Normale"/>
    <w:next w:val="Text3"/>
    <w:qFormat/>
    <w:pPr>
      <w:keepNext/>
      <w:outlineLvl w:val="2"/>
    </w:pPr>
    <w:rPr>
      <w:i/>
    </w:rPr>
  </w:style>
  <w:style w:type="paragraph" w:styleId="Titolo4">
    <w:name w:val="heading 4"/>
    <w:basedOn w:val="Normale"/>
    <w:next w:val="Text4"/>
    <w:qFormat/>
    <w:pPr>
      <w:keepNext/>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link w:val="TitoloCaratter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A4FC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4FC6"/>
    <w:rPr>
      <w:rFonts w:ascii="Tahoma" w:hAnsi="Tahoma" w:cs="Tahoma"/>
      <w:sz w:val="16"/>
      <w:szCs w:val="16"/>
      <w:lang w:val="en-GB" w:eastAsia="en-US"/>
    </w:rPr>
  </w:style>
  <w:style w:type="paragraph" w:styleId="Revisione">
    <w:name w:val="Revision"/>
    <w:hidden/>
    <w:uiPriority w:val="99"/>
    <w:semiHidden/>
    <w:rsid w:val="008D1569"/>
    <w:rPr>
      <w:sz w:val="24"/>
      <w:lang w:val="en-GB" w:eastAsia="en-US"/>
    </w:rPr>
  </w:style>
  <w:style w:type="character" w:styleId="Rimandocommento">
    <w:name w:val="annotation reference"/>
    <w:basedOn w:val="Carpredefinitoparagrafo"/>
    <w:uiPriority w:val="99"/>
    <w:semiHidden/>
    <w:unhideWhenUsed/>
    <w:rsid w:val="00D83B35"/>
    <w:rPr>
      <w:sz w:val="16"/>
      <w:szCs w:val="16"/>
    </w:rPr>
  </w:style>
  <w:style w:type="paragraph" w:styleId="Soggettocommento">
    <w:name w:val="annotation subject"/>
    <w:basedOn w:val="Testocommento"/>
    <w:next w:val="Testocommento"/>
    <w:link w:val="SoggettocommentoCarattere"/>
    <w:uiPriority w:val="99"/>
    <w:semiHidden/>
    <w:unhideWhenUsed/>
    <w:rsid w:val="00D83B35"/>
    <w:rPr>
      <w:b/>
      <w:bCs/>
    </w:rPr>
  </w:style>
  <w:style w:type="character" w:customStyle="1" w:styleId="TestocommentoCarattere">
    <w:name w:val="Testo commento Carattere"/>
    <w:basedOn w:val="Carpredefinitoparagrafo"/>
    <w:link w:val="Testocommento"/>
    <w:semiHidden/>
    <w:rsid w:val="00D83B35"/>
    <w:rPr>
      <w:lang w:val="en-GB" w:eastAsia="en-US"/>
    </w:rPr>
  </w:style>
  <w:style w:type="character" w:customStyle="1" w:styleId="SoggettocommentoCarattere">
    <w:name w:val="Soggetto commento Carattere"/>
    <w:basedOn w:val="TestocommentoCarattere"/>
    <w:link w:val="Soggettocommento"/>
    <w:uiPriority w:val="99"/>
    <w:semiHidden/>
    <w:rsid w:val="00D83B35"/>
    <w:rPr>
      <w:b/>
      <w:bCs/>
      <w:lang w:val="en-GB" w:eastAsia="en-US"/>
    </w:rPr>
  </w:style>
  <w:style w:type="paragraph" w:customStyle="1" w:styleId="RSU01Testo">
    <w:name w:val="RSU_01_Testo"/>
    <w:rsid w:val="00010289"/>
    <w:pPr>
      <w:widowControl w:val="0"/>
      <w:pBdr>
        <w:top w:val="nil"/>
        <w:left w:val="nil"/>
        <w:bottom w:val="nil"/>
        <w:right w:val="nil"/>
        <w:between w:val="nil"/>
        <w:bar w:val="nil"/>
      </w:pBdr>
      <w:ind w:firstLine="284"/>
      <w:jc w:val="both"/>
    </w:pPr>
    <w:rPr>
      <w:color w:val="000000"/>
      <w:u w:color="000000"/>
      <w:bdr w:val="nil"/>
    </w:rPr>
  </w:style>
  <w:style w:type="character" w:customStyle="1" w:styleId="None">
    <w:name w:val="None"/>
    <w:rsid w:val="00010289"/>
  </w:style>
  <w:style w:type="paragraph" w:customStyle="1" w:styleId="RSU15TabelleGraficiTitolo">
    <w:name w:val="RSU_15_Tabelle/Grafici Titolo"/>
    <w:rsid w:val="00010289"/>
    <w:pPr>
      <w:pBdr>
        <w:top w:val="nil"/>
        <w:left w:val="nil"/>
        <w:bottom w:val="nil"/>
        <w:right w:val="nil"/>
        <w:between w:val="nil"/>
        <w:bar w:val="nil"/>
      </w:pBdr>
      <w:spacing w:before="300" w:after="100" w:line="160" w:lineRule="exact"/>
      <w:ind w:left="737" w:hanging="737"/>
      <w:jc w:val="both"/>
    </w:pPr>
    <w:rPr>
      <w:rFonts w:ascii="Arial" w:eastAsia="Arial Unicode MS" w:hAnsi="Arial" w:cs="Arial Unicode MS"/>
      <w:b/>
      <w:bCs/>
      <w:color w:val="000000"/>
      <w:sz w:val="16"/>
      <w:szCs w:val="16"/>
      <w:u w:color="000000"/>
      <w:bdr w:val="nil"/>
    </w:rPr>
  </w:style>
  <w:style w:type="paragraph" w:customStyle="1" w:styleId="RSU06Titololiv11">
    <w:name w:val="RSU_06_Titolo_liv 1.1"/>
    <w:rsid w:val="00010289"/>
    <w:pPr>
      <w:widowControl w:val="0"/>
      <w:pBdr>
        <w:top w:val="nil"/>
        <w:left w:val="nil"/>
        <w:bottom w:val="nil"/>
        <w:right w:val="nil"/>
        <w:between w:val="nil"/>
        <w:bar w:val="nil"/>
      </w:pBdr>
      <w:tabs>
        <w:tab w:val="left" w:pos="397"/>
      </w:tabs>
      <w:spacing w:before="240" w:after="120"/>
      <w:ind w:left="397" w:hanging="397"/>
      <w:jc w:val="both"/>
    </w:pPr>
    <w:rPr>
      <w:rFonts w:ascii="Arial" w:eastAsia="Arial" w:hAnsi="Arial" w:cs="Arial"/>
      <w:color w:val="000000"/>
      <w:sz w:val="22"/>
      <w:szCs w:val="22"/>
      <w:u w:color="000000"/>
      <w:bdr w:val="nil"/>
      <w:lang w:val="en-US"/>
    </w:rPr>
  </w:style>
  <w:style w:type="paragraph" w:styleId="Paragrafoelenco">
    <w:name w:val="List Paragraph"/>
    <w:basedOn w:val="Normale"/>
    <w:uiPriority w:val="34"/>
    <w:qFormat/>
    <w:rsid w:val="003A0766"/>
    <w:pPr>
      <w:ind w:left="720"/>
      <w:contextualSpacing/>
    </w:pPr>
  </w:style>
  <w:style w:type="character" w:customStyle="1" w:styleId="TitoloCarattere">
    <w:name w:val="Titolo Carattere"/>
    <w:basedOn w:val="Carpredefinitoparagrafo"/>
    <w:link w:val="Titolo"/>
    <w:rsid w:val="00074070"/>
    <w:rPr>
      <w:rFonts w:ascii="Arial" w:hAnsi="Arial"/>
      <w:b/>
      <w:kern w:val="28"/>
      <w:sz w:val="32"/>
      <w:lang w:val="en-GB" w:eastAsia="en-US"/>
    </w:rPr>
  </w:style>
  <w:style w:type="paragraph" w:customStyle="1" w:styleId="RSU21bibliografia">
    <w:name w:val="RSU_21_bibliografia"/>
    <w:rsid w:val="00E13690"/>
    <w:pPr>
      <w:pBdr>
        <w:top w:val="nil"/>
        <w:left w:val="nil"/>
        <w:bottom w:val="nil"/>
        <w:right w:val="nil"/>
        <w:between w:val="nil"/>
        <w:bar w:val="nil"/>
      </w:pBdr>
      <w:spacing w:after="60"/>
      <w:ind w:left="284" w:hanging="284"/>
      <w:jc w:val="both"/>
    </w:pPr>
    <w:rPr>
      <w:rFonts w:eastAsia="Arial Unicode MS" w:cs="Arial Unicode MS"/>
      <w:color w:val="000000"/>
      <w:u w:color="000000"/>
      <w:bdr w:val="nil"/>
    </w:rPr>
  </w:style>
  <w:style w:type="character" w:customStyle="1" w:styleId="Hyperlink2">
    <w:name w:val="Hyperlink.2"/>
    <w:basedOn w:val="None"/>
    <w:rsid w:val="00E13690"/>
    <w:rPr>
      <w:color w:val="0000FF"/>
      <w:u w:val="single" w:color="0000FF"/>
      <w:lang w:val="en-US"/>
    </w:rPr>
  </w:style>
  <w:style w:type="paragraph" w:customStyle="1" w:styleId="CVNormal-FirstLine">
    <w:name w:val="CV Normal - First Line"/>
    <w:basedOn w:val="Normale"/>
    <w:next w:val="Normale"/>
    <w:rsid w:val="00FA5BD5"/>
    <w:pPr>
      <w:suppressAutoHyphens/>
      <w:spacing w:before="74" w:after="0"/>
      <w:ind w:left="113" w:right="113"/>
      <w:jc w:val="left"/>
    </w:pPr>
    <w:rPr>
      <w:rFonts w:ascii="Arial Narrow" w:hAnsi="Arial Narrow"/>
      <w:sz w:val="20"/>
      <w:lang w:val="it-I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spacing w:before="240"/>
      <w:outlineLvl w:val="0"/>
    </w:pPr>
    <w:rPr>
      <w:b/>
      <w:smallCaps/>
    </w:rPr>
  </w:style>
  <w:style w:type="paragraph" w:styleId="Titolo2">
    <w:name w:val="heading 2"/>
    <w:basedOn w:val="Normale"/>
    <w:next w:val="Text2"/>
    <w:link w:val="Titolo2Carattere"/>
    <w:qFormat/>
    <w:pPr>
      <w:keepNext/>
      <w:outlineLvl w:val="1"/>
    </w:pPr>
    <w:rPr>
      <w:b/>
    </w:rPr>
  </w:style>
  <w:style w:type="paragraph" w:styleId="Titolo3">
    <w:name w:val="heading 3"/>
    <w:basedOn w:val="Normale"/>
    <w:next w:val="Text3"/>
    <w:qFormat/>
    <w:pPr>
      <w:keepNext/>
      <w:outlineLvl w:val="2"/>
    </w:pPr>
    <w:rPr>
      <w:i/>
    </w:rPr>
  </w:style>
  <w:style w:type="paragraph" w:styleId="Titolo4">
    <w:name w:val="heading 4"/>
    <w:basedOn w:val="Normale"/>
    <w:next w:val="Text4"/>
    <w:qFormat/>
    <w:pPr>
      <w:keepNext/>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link w:val="TitoloCaratter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A4FC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4FC6"/>
    <w:rPr>
      <w:rFonts w:ascii="Tahoma" w:hAnsi="Tahoma" w:cs="Tahoma"/>
      <w:sz w:val="16"/>
      <w:szCs w:val="16"/>
      <w:lang w:val="en-GB" w:eastAsia="en-US"/>
    </w:rPr>
  </w:style>
  <w:style w:type="paragraph" w:styleId="Revisione">
    <w:name w:val="Revision"/>
    <w:hidden/>
    <w:uiPriority w:val="99"/>
    <w:semiHidden/>
    <w:rsid w:val="008D1569"/>
    <w:rPr>
      <w:sz w:val="24"/>
      <w:lang w:val="en-GB" w:eastAsia="en-US"/>
    </w:rPr>
  </w:style>
  <w:style w:type="character" w:styleId="Rimandocommento">
    <w:name w:val="annotation reference"/>
    <w:basedOn w:val="Carpredefinitoparagrafo"/>
    <w:uiPriority w:val="99"/>
    <w:semiHidden/>
    <w:unhideWhenUsed/>
    <w:rsid w:val="00D83B35"/>
    <w:rPr>
      <w:sz w:val="16"/>
      <w:szCs w:val="16"/>
    </w:rPr>
  </w:style>
  <w:style w:type="paragraph" w:styleId="Soggettocommento">
    <w:name w:val="annotation subject"/>
    <w:basedOn w:val="Testocommento"/>
    <w:next w:val="Testocommento"/>
    <w:link w:val="SoggettocommentoCarattere"/>
    <w:uiPriority w:val="99"/>
    <w:semiHidden/>
    <w:unhideWhenUsed/>
    <w:rsid w:val="00D83B35"/>
    <w:rPr>
      <w:b/>
      <w:bCs/>
    </w:rPr>
  </w:style>
  <w:style w:type="character" w:customStyle="1" w:styleId="TestocommentoCarattere">
    <w:name w:val="Testo commento Carattere"/>
    <w:basedOn w:val="Carpredefinitoparagrafo"/>
    <w:link w:val="Testocommento"/>
    <w:semiHidden/>
    <w:rsid w:val="00D83B35"/>
    <w:rPr>
      <w:lang w:val="en-GB" w:eastAsia="en-US"/>
    </w:rPr>
  </w:style>
  <w:style w:type="character" w:customStyle="1" w:styleId="SoggettocommentoCarattere">
    <w:name w:val="Soggetto commento Carattere"/>
    <w:basedOn w:val="TestocommentoCarattere"/>
    <w:link w:val="Soggettocommento"/>
    <w:uiPriority w:val="99"/>
    <w:semiHidden/>
    <w:rsid w:val="00D83B35"/>
    <w:rPr>
      <w:b/>
      <w:bCs/>
      <w:lang w:val="en-GB" w:eastAsia="en-US"/>
    </w:rPr>
  </w:style>
  <w:style w:type="paragraph" w:customStyle="1" w:styleId="RSU01Testo">
    <w:name w:val="RSU_01_Testo"/>
    <w:rsid w:val="00010289"/>
    <w:pPr>
      <w:widowControl w:val="0"/>
      <w:pBdr>
        <w:top w:val="nil"/>
        <w:left w:val="nil"/>
        <w:bottom w:val="nil"/>
        <w:right w:val="nil"/>
        <w:between w:val="nil"/>
        <w:bar w:val="nil"/>
      </w:pBdr>
      <w:ind w:firstLine="284"/>
      <w:jc w:val="both"/>
    </w:pPr>
    <w:rPr>
      <w:color w:val="000000"/>
      <w:u w:color="000000"/>
      <w:bdr w:val="nil"/>
    </w:rPr>
  </w:style>
  <w:style w:type="character" w:customStyle="1" w:styleId="None">
    <w:name w:val="None"/>
    <w:rsid w:val="00010289"/>
  </w:style>
  <w:style w:type="paragraph" w:customStyle="1" w:styleId="RSU15TabelleGraficiTitolo">
    <w:name w:val="RSU_15_Tabelle/Grafici Titolo"/>
    <w:rsid w:val="00010289"/>
    <w:pPr>
      <w:pBdr>
        <w:top w:val="nil"/>
        <w:left w:val="nil"/>
        <w:bottom w:val="nil"/>
        <w:right w:val="nil"/>
        <w:between w:val="nil"/>
        <w:bar w:val="nil"/>
      </w:pBdr>
      <w:spacing w:before="300" w:after="100" w:line="160" w:lineRule="exact"/>
      <w:ind w:left="737" w:hanging="737"/>
      <w:jc w:val="both"/>
    </w:pPr>
    <w:rPr>
      <w:rFonts w:ascii="Arial" w:eastAsia="Arial Unicode MS" w:hAnsi="Arial" w:cs="Arial Unicode MS"/>
      <w:b/>
      <w:bCs/>
      <w:color w:val="000000"/>
      <w:sz w:val="16"/>
      <w:szCs w:val="16"/>
      <w:u w:color="000000"/>
      <w:bdr w:val="nil"/>
    </w:rPr>
  </w:style>
  <w:style w:type="paragraph" w:customStyle="1" w:styleId="RSU06Titololiv11">
    <w:name w:val="RSU_06_Titolo_liv 1.1"/>
    <w:rsid w:val="00010289"/>
    <w:pPr>
      <w:widowControl w:val="0"/>
      <w:pBdr>
        <w:top w:val="nil"/>
        <w:left w:val="nil"/>
        <w:bottom w:val="nil"/>
        <w:right w:val="nil"/>
        <w:between w:val="nil"/>
        <w:bar w:val="nil"/>
      </w:pBdr>
      <w:tabs>
        <w:tab w:val="left" w:pos="397"/>
      </w:tabs>
      <w:spacing w:before="240" w:after="120"/>
      <w:ind w:left="397" w:hanging="397"/>
      <w:jc w:val="both"/>
    </w:pPr>
    <w:rPr>
      <w:rFonts w:ascii="Arial" w:eastAsia="Arial" w:hAnsi="Arial" w:cs="Arial"/>
      <w:color w:val="000000"/>
      <w:sz w:val="22"/>
      <w:szCs w:val="22"/>
      <w:u w:color="000000"/>
      <w:bdr w:val="nil"/>
      <w:lang w:val="en-US"/>
    </w:rPr>
  </w:style>
  <w:style w:type="paragraph" w:styleId="Paragrafoelenco">
    <w:name w:val="List Paragraph"/>
    <w:basedOn w:val="Normale"/>
    <w:uiPriority w:val="34"/>
    <w:qFormat/>
    <w:rsid w:val="003A0766"/>
    <w:pPr>
      <w:ind w:left="720"/>
      <w:contextualSpacing/>
    </w:pPr>
  </w:style>
  <w:style w:type="character" w:customStyle="1" w:styleId="TitoloCarattere">
    <w:name w:val="Titolo Carattere"/>
    <w:basedOn w:val="Carpredefinitoparagrafo"/>
    <w:link w:val="Titolo"/>
    <w:rsid w:val="00074070"/>
    <w:rPr>
      <w:rFonts w:ascii="Arial" w:hAnsi="Arial"/>
      <w:b/>
      <w:kern w:val="28"/>
      <w:sz w:val="32"/>
      <w:lang w:val="en-GB" w:eastAsia="en-US"/>
    </w:rPr>
  </w:style>
  <w:style w:type="paragraph" w:customStyle="1" w:styleId="RSU21bibliografia">
    <w:name w:val="RSU_21_bibliografia"/>
    <w:rsid w:val="00E13690"/>
    <w:pPr>
      <w:pBdr>
        <w:top w:val="nil"/>
        <w:left w:val="nil"/>
        <w:bottom w:val="nil"/>
        <w:right w:val="nil"/>
        <w:between w:val="nil"/>
        <w:bar w:val="nil"/>
      </w:pBdr>
      <w:spacing w:after="60"/>
      <w:ind w:left="284" w:hanging="284"/>
      <w:jc w:val="both"/>
    </w:pPr>
    <w:rPr>
      <w:rFonts w:eastAsia="Arial Unicode MS" w:cs="Arial Unicode MS"/>
      <w:color w:val="000000"/>
      <w:u w:color="000000"/>
      <w:bdr w:val="nil"/>
    </w:rPr>
  </w:style>
  <w:style w:type="character" w:customStyle="1" w:styleId="Hyperlink2">
    <w:name w:val="Hyperlink.2"/>
    <w:basedOn w:val="None"/>
    <w:rsid w:val="00E13690"/>
    <w:rPr>
      <w:color w:val="0000FF"/>
      <w:u w:val="single" w:color="0000FF"/>
      <w:lang w:val="en-US"/>
    </w:rPr>
  </w:style>
  <w:style w:type="paragraph" w:customStyle="1" w:styleId="CVNormal-FirstLine">
    <w:name w:val="CV Normal - First Line"/>
    <w:basedOn w:val="Normale"/>
    <w:next w:val="Normale"/>
    <w:rsid w:val="00FA5BD5"/>
    <w:pPr>
      <w:suppressAutoHyphens/>
      <w:spacing w:before="74" w:after="0"/>
      <w:ind w:left="113" w:right="113"/>
      <w:jc w:val="left"/>
    </w:pPr>
    <w:rPr>
      <w:rFonts w:ascii="Arial Narrow" w:hAnsi="Arial Narrow"/>
      <w:sz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i%20Utente\Varriale\articoli_convegni_MIEI\NTTS_2019\ntts2019abstrac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B4475818-A263-430D-9118-9AC4A566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1</TotalTime>
  <Pages>4</Pages>
  <Words>1830</Words>
  <Characters>10435</Characters>
  <Application>Microsoft Office Word</Application>
  <DocSecurity>0</DocSecurity>
  <PresentationFormat>Microsoft Word 14.0</PresentationFormat>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RV. Varriale</dc:creator>
  <cp:keywords>EL4</cp:keywords>
  <cp:lastModifiedBy>Roberta RV. Varriale</cp:lastModifiedBy>
  <cp:revision>3</cp:revision>
  <cp:lastPrinted>2018-05-29T10:06:00Z</cp:lastPrinted>
  <dcterms:created xsi:type="dcterms:W3CDTF">2018-10-15T09:48:00Z</dcterms:created>
  <dcterms:modified xsi:type="dcterms:W3CDTF">2018-10-15T09:59:00Z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