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CE" w:rsidRDefault="005F4B44" w:rsidP="00BC6AFE">
      <w:pPr>
        <w:pStyle w:val="Title"/>
        <w:rPr>
          <w:color w:val="FF0000"/>
        </w:rPr>
      </w:pPr>
      <w:bookmarkStart w:id="0" w:name="_GoBack"/>
      <w:bookmarkEnd w:id="0"/>
      <w:r w:rsidRPr="00295C82">
        <w:t>Mining Big Data for Finite Population Inferences</w:t>
      </w:r>
      <w:r w:rsidR="00B9492F">
        <w:rPr>
          <w:color w:val="FF0000"/>
        </w:rPr>
        <w:t xml:space="preserve"> </w:t>
      </w:r>
    </w:p>
    <w:p w:rsidR="00295C82" w:rsidRDefault="00295C82" w:rsidP="00BC6AFE">
      <w:pPr>
        <w:pStyle w:val="Title"/>
      </w:pPr>
    </w:p>
    <w:p w:rsidR="00243A2C" w:rsidRDefault="00243A2C" w:rsidP="00243A2C">
      <w:r w:rsidRPr="00243A2C">
        <w:rPr>
          <w:b/>
          <w:u w:val="single"/>
        </w:rPr>
        <w:t>Keywords</w:t>
      </w:r>
      <w:r w:rsidRPr="00243A2C">
        <w:rPr>
          <w:b/>
        </w:rPr>
        <w:t>:</w:t>
      </w:r>
      <w:r>
        <w:t xml:space="preserve"> </w:t>
      </w:r>
      <w:r w:rsidR="005F4B44" w:rsidRPr="00EC0CBF">
        <w:t xml:space="preserve">Big Data, Data Integration, Measurement Errors, </w:t>
      </w:r>
      <w:r w:rsidR="00EC0CBF">
        <w:t xml:space="preserve">Non-response adjustment, </w:t>
      </w:r>
      <w:r w:rsidR="005F4B44" w:rsidRPr="00EC0CBF">
        <w:t>Under</w:t>
      </w:r>
      <w:r w:rsidR="00EC0CBF">
        <w:t>-c</w:t>
      </w:r>
      <w:r w:rsidR="005F4B44" w:rsidRPr="00EC0CBF">
        <w:t>overage Bias</w:t>
      </w:r>
      <w:r w:rsidR="001B50CE" w:rsidRPr="00EC0CBF">
        <w:t>.</w:t>
      </w:r>
    </w:p>
    <w:p w:rsidR="002012A8" w:rsidRDefault="005D30C0" w:rsidP="00295C82">
      <w:pPr>
        <w:pStyle w:val="Heading1"/>
        <w:numPr>
          <w:ilvl w:val="0"/>
          <w:numId w:val="0"/>
        </w:numPr>
      </w:pPr>
      <w:r>
        <w:t>1.</w:t>
      </w:r>
      <w:r>
        <w:tab/>
      </w:r>
      <w:r w:rsidR="002012A8">
        <w:t>Introduction</w:t>
      </w:r>
    </w:p>
    <w:p w:rsidR="00EC0CBF" w:rsidRDefault="00EC0CBF" w:rsidP="00EC0CBF">
      <w:pPr>
        <w:pStyle w:val="ListParagraph"/>
        <w:spacing w:after="16" w:line="360" w:lineRule="auto"/>
        <w:ind w:left="0"/>
      </w:pPr>
      <w:r>
        <w:t xml:space="preserve">In 2006, an UK mathematician, Clive Humby, pronounced that </w:t>
      </w:r>
      <w:r w:rsidRPr="00647994">
        <w:t>“Data is the new oil. It’s valuable, but if unrefined</w:t>
      </w:r>
      <w:r w:rsidR="00941FEA">
        <w:t>,</w:t>
      </w:r>
      <w:r w:rsidRPr="00647994">
        <w:t xml:space="preserve"> it cannot really be used. It has to be changed into gas, plastic, chemicals, etc</w:t>
      </w:r>
      <w:r>
        <w:t>.</w:t>
      </w:r>
      <w:r w:rsidRPr="00647994">
        <w:t xml:space="preserve"> to create a valuable entity that drives profitable activity; so </w:t>
      </w:r>
      <w:r>
        <w:t>must data be broken down, analys</w:t>
      </w:r>
      <w:r w:rsidRPr="00647994">
        <w:t>ed for it to have value.”</w:t>
      </w:r>
      <w:r>
        <w:t xml:space="preserve">  We agree.  Like oil, how the data is created in the first instance, how it is “refined” for statistics production, will determine its public value.  Indeed, in official statistics, data that is not representative of the population on which public and private decisions  are made, or data that are susceptible to measurement errors, are of  at best limited value.   However, rather than ignoring this type of data, which is increasingly becoming available from the Internet of things, the challenges for official statisticians</w:t>
      </w:r>
      <w:r w:rsidR="00941FEA">
        <w:t xml:space="preserve"> are how to harness them effectively</w:t>
      </w:r>
      <w:r>
        <w:t xml:space="preserve">.   </w:t>
      </w:r>
      <w:r w:rsidR="00794919">
        <w:t>Challenges in using Big Data for official statistics are o</w:t>
      </w:r>
      <w:r w:rsidR="005D30C0">
        <w:t>utlined in Tam and Clark (2015) and Pfeffermann (2015).</w:t>
      </w:r>
    </w:p>
    <w:p w:rsidR="00BC6AFE" w:rsidRDefault="005D30C0" w:rsidP="00EC0CBF">
      <w:pPr>
        <w:pStyle w:val="Heading1"/>
        <w:numPr>
          <w:ilvl w:val="0"/>
          <w:numId w:val="0"/>
        </w:numPr>
        <w:ind w:left="480" w:hanging="480"/>
      </w:pPr>
      <w:r>
        <w:t>2.</w:t>
      </w:r>
      <w:r>
        <w:tab/>
      </w:r>
      <w:r w:rsidR="00BC6AFE">
        <w:t>Methods</w:t>
      </w:r>
    </w:p>
    <w:p w:rsidR="00EC0CBF" w:rsidRDefault="00EC0CBF" w:rsidP="00EC0CBF">
      <w:pPr>
        <w:pStyle w:val="ListParagraph"/>
        <w:spacing w:after="16" w:line="360" w:lineRule="auto"/>
        <w:ind w:left="0"/>
      </w:pPr>
      <w:r>
        <w:t xml:space="preserve">Assume that the variable of interest, Y, is a continuous variable and we are interested to estimate the finite population total, </w:t>
      </w:r>
      <w:r w:rsidRPr="000D492B">
        <w:rPr>
          <w:position w:val="-26"/>
        </w:rPr>
        <w:object w:dxaOrig="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12" o:title=""/>
          </v:shape>
          <o:OLEObject Type="Embed" ProgID="Equation.DSMT4" ShapeID="_x0000_i1025" DrawAspect="Content" ObjectID="_1597856245" r:id="rId13"/>
        </w:object>
      </w:r>
      <w:r>
        <w:t xml:space="preserve"> Assume further that we have a data source B whose data is fully observed without measurement error; and also a probability sample A with no measurement error</w:t>
      </w:r>
      <w:r w:rsidR="00941FEA">
        <w:t>, nor unit non-response</w:t>
      </w:r>
      <w:r>
        <w:t xml:space="preserve"> in the data.  If we consider the target population to be divided into two strata, one comprising the data from data source B, and the other comprising the complement of B in the population, i.e. U\B, the population total, </w:t>
      </w:r>
      <w:r w:rsidR="00941FEA" w:rsidRPr="00941FEA">
        <w:rPr>
          <w:position w:val="-4"/>
        </w:rPr>
        <w:object w:dxaOrig="220" w:dyaOrig="260">
          <v:shape id="_x0000_i1064" type="#_x0000_t75" style="width:11.25pt;height:12.75pt" o:ole="">
            <v:imagedata r:id="rId14" o:title=""/>
          </v:shape>
          <o:OLEObject Type="Embed" ProgID="Equation.DSMT4" ShapeID="_x0000_i1064" DrawAspect="Content" ObjectID="_1597856246" r:id="rId15"/>
        </w:object>
      </w:r>
      <w:r>
        <w:t xml:space="preserve">, will be just the sum of the totals from both strata, i.e.  </w:t>
      </w:r>
      <w:r w:rsidRPr="00442F21">
        <w:rPr>
          <w:position w:val="-26"/>
        </w:rPr>
        <w:object w:dxaOrig="2320" w:dyaOrig="620">
          <v:shape id="_x0000_i1026" type="#_x0000_t75" style="width:115.5pt;height:30.75pt" o:ole="">
            <v:imagedata r:id="rId16" o:title=""/>
          </v:shape>
          <o:OLEObject Type="Embed" ProgID="Equation.DSMT4" ShapeID="_x0000_i1026" DrawAspect="Content" ObjectID="_1597856247" r:id="rId17"/>
        </w:object>
      </w:r>
      <w:r>
        <w:t xml:space="preserve"> Using the sample units in A</w:t>
      </w:r>
      <w:r w:rsidRPr="006741B5">
        <w:rPr>
          <w:position w:val="-4"/>
        </w:rPr>
        <w:object w:dxaOrig="260" w:dyaOrig="200">
          <v:shape id="_x0000_i1027" type="#_x0000_t75" style="width:13.5pt;height:9.75pt" o:ole="">
            <v:imagedata r:id="rId18" o:title=""/>
          </v:shape>
          <o:OLEObject Type="Embed" ProgID="Equation.DSMT4" ShapeID="_x0000_i1027" DrawAspect="Content" ObjectID="_1597856248" r:id="rId19"/>
        </w:object>
      </w:r>
      <w:r>
        <w:t xml:space="preserve">U\B, the total for the stratum U\B can be estimated by </w:t>
      </w:r>
      <w:r w:rsidRPr="00937E5E">
        <w:rPr>
          <w:position w:val="-46"/>
        </w:rPr>
        <w:object w:dxaOrig="1760" w:dyaOrig="1040">
          <v:shape id="_x0000_i1028" type="#_x0000_t75" style="width:88.5pt;height:51.75pt" o:ole="">
            <v:imagedata r:id="rId20" o:title=""/>
          </v:shape>
          <o:OLEObject Type="Embed" ProgID="Equation.DSMT4" ShapeID="_x0000_i1028" DrawAspect="Content" ObjectID="_1597856249" r:id="rId21"/>
        </w:object>
      </w:r>
      <w:r>
        <w:t xml:space="preserve">, and the population total by a post-stratified estimator, as follows: </w:t>
      </w:r>
    </w:p>
    <w:p w:rsidR="00EC0CBF" w:rsidRDefault="00EC0CBF" w:rsidP="00EC0CBF">
      <w:pPr>
        <w:spacing w:after="16" w:line="360" w:lineRule="auto"/>
        <w:jc w:val="center"/>
      </w:pPr>
      <w:r w:rsidRPr="00937E5E">
        <w:rPr>
          <w:position w:val="-46"/>
        </w:rPr>
        <w:object w:dxaOrig="5960" w:dyaOrig="1040">
          <v:shape id="_x0000_i1029" type="#_x0000_t75" style="width:297.75pt;height:51.75pt" o:ole="">
            <v:imagedata r:id="rId22" o:title=""/>
          </v:shape>
          <o:OLEObject Type="Embed" ProgID="Equation.DSMT4" ShapeID="_x0000_i1029" DrawAspect="Content" ObjectID="_1597856250" r:id="rId23"/>
        </w:object>
      </w:r>
    </w:p>
    <w:p w:rsidR="00EC0CBF" w:rsidRDefault="00EC0CBF" w:rsidP="00EC0CBF">
      <w:pPr>
        <w:spacing w:after="16" w:line="360" w:lineRule="auto"/>
      </w:pPr>
      <w:r w:rsidRPr="00937E5E">
        <w:rPr>
          <w:position w:val="-12"/>
        </w:rPr>
        <w:object w:dxaOrig="6740" w:dyaOrig="380">
          <v:shape id="_x0000_i1030" type="#_x0000_t75" style="width:337.5pt;height:19.5pt" o:ole="">
            <v:imagedata r:id="rId24" o:title=""/>
          </v:shape>
          <o:OLEObject Type="Embed" ProgID="Equation.DSMT4" ShapeID="_x0000_i1030" DrawAspect="Content" ObjectID="_1597856251" r:id="rId25"/>
        </w:object>
      </w:r>
      <w:r>
        <w:t xml:space="preserve">  </w:t>
      </w:r>
    </w:p>
    <w:p w:rsidR="00EC0CBF" w:rsidRDefault="00EC0CBF" w:rsidP="00EC0CBF">
      <w:pPr>
        <w:spacing w:after="16" w:line="360" w:lineRule="auto"/>
      </w:pPr>
    </w:p>
    <w:p w:rsidR="00EC0CBF" w:rsidRDefault="00EC0CBF" w:rsidP="00EC0CBF">
      <w:pPr>
        <w:spacing w:after="16" w:line="360" w:lineRule="auto"/>
      </w:pPr>
      <w:r>
        <w:t xml:space="preserve">    If the size of the simple random sample, </w:t>
      </w:r>
      <w:r w:rsidRPr="008302E2">
        <w:rPr>
          <w:position w:val="-8"/>
        </w:rPr>
        <w:object w:dxaOrig="2100" w:dyaOrig="279">
          <v:shape id="_x0000_i1031" type="#_x0000_t75" style="width:105.75pt;height:13.5pt" o:ole="">
            <v:imagedata r:id="rId26" o:title=""/>
          </v:shape>
          <o:OLEObject Type="Embed" ProgID="Equation.DSMT4" ShapeID="_x0000_i1031" DrawAspect="Content" ObjectID="_1597856252" r:id="rId27"/>
        </w:object>
      </w:r>
      <w:r>
        <w:t>, it can easily be shown that</w:t>
      </w:r>
    </w:p>
    <w:p w:rsidR="00EC0CBF" w:rsidRDefault="00EC0CBF" w:rsidP="00EC0CBF">
      <w:pPr>
        <w:spacing w:after="16" w:line="360" w:lineRule="auto"/>
        <w:jc w:val="center"/>
      </w:pPr>
      <w:r w:rsidRPr="00937E5E">
        <w:rPr>
          <w:position w:val="-24"/>
        </w:rPr>
        <w:object w:dxaOrig="2420" w:dyaOrig="660">
          <v:shape id="_x0000_i1032" type="#_x0000_t75" style="width:120.75pt;height:33pt" o:ole="">
            <v:imagedata r:id="rId28" o:title=""/>
          </v:shape>
          <o:OLEObject Type="Embed" ProgID="Equation.DSMT4" ShapeID="_x0000_i1032" DrawAspect="Content" ObjectID="_1597856253" r:id="rId29"/>
        </w:object>
      </w:r>
    </w:p>
    <w:p w:rsidR="006A6BC3" w:rsidRDefault="00EC0CBF" w:rsidP="00EC0CBF">
      <w:pPr>
        <w:spacing w:after="16" w:line="360" w:lineRule="auto"/>
      </w:pPr>
      <w:r w:rsidRPr="00937E5E">
        <w:rPr>
          <w:position w:val="-28"/>
        </w:rPr>
        <w:object w:dxaOrig="6880" w:dyaOrig="680">
          <v:shape id="_x0000_i1033" type="#_x0000_t75" style="width:344.25pt;height:33.75pt" o:ole="">
            <v:imagedata r:id="rId30" o:title=""/>
          </v:shape>
          <o:OLEObject Type="Embed" ProgID="Equation.DSMT4" ShapeID="_x0000_i1033" DrawAspect="Content" ObjectID="_1597856254" r:id="rId31"/>
        </w:object>
      </w:r>
      <w:r>
        <w:t xml:space="preserve"> </w:t>
      </w:r>
    </w:p>
    <w:p w:rsidR="00EC0CBF" w:rsidRDefault="00EC0CBF" w:rsidP="00941FEA">
      <w:pPr>
        <w:spacing w:after="16" w:line="360" w:lineRule="auto"/>
        <w:jc w:val="left"/>
      </w:pPr>
      <w:r>
        <w:t>Let</w:t>
      </w:r>
      <w:r w:rsidRPr="00442F21">
        <w:rPr>
          <w:position w:val="-26"/>
        </w:rPr>
        <w:object w:dxaOrig="1900" w:dyaOrig="620">
          <v:shape id="_x0000_i1034" type="#_x0000_t75" style="width:95.25pt;height:30.75pt" o:ole="">
            <v:imagedata r:id="rId32" o:title=""/>
          </v:shape>
          <o:OLEObject Type="Embed" ProgID="Equation.DSMT4" ShapeID="_x0000_i1034" DrawAspect="Content" ObjectID="_1597856255" r:id="rId33"/>
        </w:object>
      </w:r>
      <w:r>
        <w:t xml:space="preserve">and </w:t>
      </w:r>
      <w:r w:rsidR="00941FEA" w:rsidRPr="00937E5E">
        <w:rPr>
          <w:position w:val="-28"/>
        </w:rPr>
        <w:object w:dxaOrig="1500" w:dyaOrig="560">
          <v:shape id="_x0000_i1065" type="#_x0000_t75" style="width:75pt;height:27.75pt" o:ole="">
            <v:imagedata r:id="rId34" o:title=""/>
          </v:shape>
          <o:OLEObject Type="Embed" ProgID="Equation.DSMT4" ShapeID="_x0000_i1065" DrawAspect="Content" ObjectID="_1597856256" r:id="rId35"/>
        </w:object>
      </w:r>
      <w:r>
        <w:t xml:space="preserve">.  We have </w:t>
      </w:r>
      <w:r w:rsidRPr="008302E2">
        <w:rPr>
          <w:position w:val="-32"/>
        </w:rPr>
        <w:object w:dxaOrig="3760" w:dyaOrig="760">
          <v:shape id="_x0000_i1035" type="#_x0000_t75" style="width:187.5pt;height:38.25pt" o:ole="">
            <v:imagedata r:id="rId36" o:title=""/>
          </v:shape>
          <o:OLEObject Type="Embed" ProgID="Equation.DSMT4" ShapeID="_x0000_i1035" DrawAspect="Content" ObjectID="_1597856257" r:id="rId37"/>
        </w:object>
      </w:r>
      <w:r>
        <w:t xml:space="preserve">  Thus by using post-stratification to integrate the data source B, we can effectively increase the sample size of A, by a factor of </w:t>
      </w:r>
      <w:r w:rsidRPr="008531FB">
        <w:rPr>
          <w:position w:val="-12"/>
        </w:rPr>
        <w:object w:dxaOrig="1080" w:dyaOrig="360">
          <v:shape id="_x0000_i1036" type="#_x0000_t75" style="width:54pt;height:18pt" o:ole="">
            <v:imagedata r:id="rId38" o:title=""/>
          </v:shape>
          <o:OLEObject Type="Embed" ProgID="Equation.DSMT4" ShapeID="_x0000_i1036" DrawAspect="Content" ObjectID="_1597856258" r:id="rId39"/>
        </w:object>
      </w:r>
      <w:r>
        <w:t xml:space="preserve">  If </w:t>
      </w:r>
      <w:r w:rsidRPr="008531FB">
        <w:rPr>
          <w:position w:val="-12"/>
        </w:rPr>
        <w:object w:dxaOrig="340" w:dyaOrig="360">
          <v:shape id="_x0000_i1037" type="#_x0000_t75" style="width:17.25pt;height:18pt" o:ole="">
            <v:imagedata r:id="rId40" o:title=""/>
          </v:shape>
          <o:OLEObject Type="Embed" ProgID="Equation.DSMT4" ShapeID="_x0000_i1037" DrawAspect="Content" ObjectID="_1597856259" r:id="rId41"/>
        </w:object>
      </w:r>
      <w:r>
        <w:t xml:space="preserve">= 0.5, this factor is 2; and is 5 if </w:t>
      </w:r>
      <w:r w:rsidRPr="008531FB">
        <w:rPr>
          <w:position w:val="-12"/>
        </w:rPr>
        <w:object w:dxaOrig="340" w:dyaOrig="360">
          <v:shape id="_x0000_i1038" type="#_x0000_t75" style="width:17.25pt;height:18pt" o:ole="">
            <v:imagedata r:id="rId40" o:title=""/>
          </v:shape>
          <o:OLEObject Type="Embed" ProgID="Equation.DSMT4" ShapeID="_x0000_i1038" DrawAspect="Content" ObjectID="_1597856260" r:id="rId42"/>
        </w:object>
      </w:r>
      <w:r>
        <w:t xml:space="preserve">= 0.8.  </w:t>
      </w:r>
    </w:p>
    <w:p w:rsidR="00EC0CBF" w:rsidRDefault="00EC0CBF" w:rsidP="00EC0CBF">
      <w:pPr>
        <w:spacing w:after="16" w:line="360" w:lineRule="auto"/>
      </w:pPr>
    </w:p>
    <w:p w:rsidR="00EC0CBF" w:rsidRDefault="00EC0CBF" w:rsidP="00EC0CBF">
      <w:pPr>
        <w:spacing w:after="16" w:line="360" w:lineRule="auto"/>
      </w:pPr>
      <w:r>
        <w:t xml:space="preserve">    Define</w:t>
      </w:r>
      <w:r w:rsidRPr="008531FB">
        <w:rPr>
          <w:position w:val="-12"/>
        </w:rPr>
        <w:object w:dxaOrig="1860" w:dyaOrig="360">
          <v:shape id="_x0000_i1039" type="#_x0000_t75" style="width:93pt;height:18pt" o:ole="">
            <v:imagedata r:id="rId43" o:title=""/>
          </v:shape>
          <o:OLEObject Type="Embed" ProgID="Equation.DSMT4" ShapeID="_x0000_i1039" DrawAspect="Content" ObjectID="_1597856261" r:id="rId44"/>
        </w:object>
      </w:r>
      <w:r>
        <w:t xml:space="preserve"> for </w:t>
      </w:r>
      <w:r w:rsidRPr="001231F8">
        <w:rPr>
          <w:position w:val="-10"/>
        </w:rPr>
        <w:object w:dxaOrig="1060" w:dyaOrig="320">
          <v:shape id="_x0000_i1040" type="#_x0000_t75" style="width:53.25pt;height:16.5pt" o:ole="">
            <v:imagedata r:id="rId45" o:title=""/>
          </v:shape>
          <o:OLEObject Type="Embed" ProgID="Equation.DSMT4" ShapeID="_x0000_i1040" DrawAspect="Content" ObjectID="_1597856262" r:id="rId46"/>
        </w:object>
      </w:r>
      <w:r>
        <w:t xml:space="preserve"> and the Regression Data Integration (RegDI) estimator of </w:t>
      </w:r>
      <w:r w:rsidRPr="00937E5E">
        <w:rPr>
          <w:position w:val="-4"/>
        </w:rPr>
        <w:object w:dxaOrig="220" w:dyaOrig="260">
          <v:shape id="_x0000_i1041" type="#_x0000_t75" style="width:11.25pt;height:13.5pt" o:ole="">
            <v:imagedata r:id="rId47" o:title=""/>
          </v:shape>
          <o:OLEObject Type="Embed" ProgID="Equation.DSMT4" ShapeID="_x0000_i1041" DrawAspect="Content" ObjectID="_1597856263" r:id="rId48"/>
        </w:object>
      </w:r>
      <w:r>
        <w:t xml:space="preserve">, </w:t>
      </w:r>
      <w:r w:rsidRPr="001231F8">
        <w:rPr>
          <w:position w:val="-28"/>
        </w:rPr>
        <w:object w:dxaOrig="2540" w:dyaOrig="560">
          <v:shape id="_x0000_i1042" type="#_x0000_t75" style="width:126.75pt;height:28.5pt" o:ole="">
            <v:imagedata r:id="rId49" o:title=""/>
          </v:shape>
          <o:OLEObject Type="Embed" ProgID="Equation.DSMT4" ShapeID="_x0000_i1042" DrawAspect="Content" ObjectID="_1597856264" r:id="rId50"/>
        </w:object>
      </w:r>
      <w:r>
        <w:t xml:space="preserve">where the weights, </w:t>
      </w:r>
      <w:r w:rsidRPr="001231F8">
        <w:rPr>
          <w:position w:val="-12"/>
        </w:rPr>
        <w:object w:dxaOrig="540" w:dyaOrig="360">
          <v:shape id="_x0000_i1043" type="#_x0000_t75" style="width:27pt;height:18pt" o:ole="">
            <v:imagedata r:id="rId51" o:title=""/>
          </v:shape>
          <o:OLEObject Type="Embed" ProgID="Equation.DSMT4" ShapeID="_x0000_i1043" DrawAspect="Content" ObjectID="_1597856265" r:id="rId52"/>
        </w:object>
      </w:r>
      <w:r>
        <w:t xml:space="preserve"> are determined by minimising  </w:t>
      </w:r>
      <w:r w:rsidRPr="006418FC">
        <w:rPr>
          <w:position w:val="-10"/>
        </w:rPr>
        <w:object w:dxaOrig="800" w:dyaOrig="320">
          <v:shape id="_x0000_i1044" type="#_x0000_t75" style="width:40.5pt;height:16.5pt" o:ole="">
            <v:imagedata r:id="rId53" o:title=""/>
          </v:shape>
          <o:OLEObject Type="Embed" ProgID="Equation.DSMT4" ShapeID="_x0000_i1044" DrawAspect="Content" ObjectID="_1597856266" r:id="rId54"/>
        </w:object>
      </w:r>
      <w:r>
        <w:t>defined by:</w:t>
      </w:r>
    </w:p>
    <w:p w:rsidR="00EC0CBF" w:rsidRDefault="00EC0CBF" w:rsidP="00EC0CBF">
      <w:pPr>
        <w:spacing w:after="16" w:line="360" w:lineRule="auto"/>
        <w:jc w:val="center"/>
      </w:pPr>
      <w:r w:rsidRPr="00937E5E">
        <w:rPr>
          <w:position w:val="-30"/>
        </w:rPr>
        <w:object w:dxaOrig="5980" w:dyaOrig="680">
          <v:shape id="_x0000_i1045" type="#_x0000_t75" style="width:299.25pt;height:33.75pt" o:ole="">
            <v:imagedata r:id="rId55" o:title=""/>
          </v:shape>
          <o:OLEObject Type="Embed" ProgID="Equation.DSMT4" ShapeID="_x0000_i1045" DrawAspect="Content" ObjectID="_1597856267" r:id="rId56"/>
        </w:object>
      </w:r>
    </w:p>
    <w:p w:rsidR="00EC0CBF" w:rsidRDefault="00EC0CBF" w:rsidP="00EC0CBF">
      <w:pPr>
        <w:spacing w:after="16" w:line="360" w:lineRule="auto"/>
      </w:pPr>
      <w:r>
        <w:t>subject  to</w:t>
      </w:r>
    </w:p>
    <w:p w:rsidR="00EC0CBF" w:rsidRDefault="00941FEA" w:rsidP="00EC0CBF">
      <w:pPr>
        <w:spacing w:after="16" w:line="360" w:lineRule="auto"/>
        <w:jc w:val="center"/>
      </w:pPr>
      <w:r w:rsidRPr="00937E5E">
        <w:rPr>
          <w:position w:val="-28"/>
        </w:rPr>
        <w:object w:dxaOrig="5920" w:dyaOrig="680">
          <v:shape id="_x0000_i1066" type="#_x0000_t75" style="width:296.25pt;height:33.75pt" o:ole="">
            <v:imagedata r:id="rId57" o:title=""/>
          </v:shape>
          <o:OLEObject Type="Embed" ProgID="Equation.DSMT4" ShapeID="_x0000_i1066" DrawAspect="Content" ObjectID="_1597856268" r:id="rId58"/>
        </w:object>
      </w:r>
    </w:p>
    <w:p w:rsidR="00EC0CBF" w:rsidRDefault="00EC0CBF" w:rsidP="00EC0CBF">
      <w:pPr>
        <w:spacing w:after="16" w:line="360" w:lineRule="auto"/>
      </w:pPr>
    </w:p>
    <w:p w:rsidR="00183536" w:rsidRDefault="00EC0CBF" w:rsidP="00EC0CBF">
      <w:pPr>
        <w:spacing w:after="16" w:line="360" w:lineRule="auto"/>
      </w:pPr>
      <w:r>
        <w:t xml:space="preserve">(2) requires the weights, </w:t>
      </w:r>
      <w:r w:rsidRPr="008302E2">
        <w:rPr>
          <w:position w:val="-12"/>
        </w:rPr>
        <w:object w:dxaOrig="480" w:dyaOrig="360">
          <v:shape id="_x0000_i1046" type="#_x0000_t75" style="width:24pt;height:18pt" o:ole="">
            <v:imagedata r:id="rId59" o:title=""/>
          </v:shape>
          <o:OLEObject Type="Embed" ProgID="Equation.DSMT4" ShapeID="_x0000_i1046" DrawAspect="Content" ObjectID="_1597856269" r:id="rId60"/>
        </w:object>
      </w:r>
      <w:r>
        <w:t xml:space="preserve">, to be close to the Horvitz-Thompson weights, </w:t>
      </w:r>
      <w:r w:rsidRPr="008302E2">
        <w:rPr>
          <w:position w:val="-12"/>
        </w:rPr>
        <w:object w:dxaOrig="460" w:dyaOrig="360">
          <v:shape id="_x0000_i1047" type="#_x0000_t75" style="width:23.25pt;height:18pt" o:ole="">
            <v:imagedata r:id="rId61" o:title=""/>
          </v:shape>
          <o:OLEObject Type="Embed" ProgID="Equation.DSMT4" ShapeID="_x0000_i1047" DrawAspect="Content" ObjectID="_1597856270" r:id="rId62"/>
        </w:object>
      </w:r>
      <w:r>
        <w:t xml:space="preserve">and (3) requires the weights to be calibrated to the known benchmarks, </w:t>
      </w:r>
      <w:r w:rsidRPr="00375F3C">
        <w:rPr>
          <w:position w:val="-28"/>
        </w:rPr>
        <w:object w:dxaOrig="1920" w:dyaOrig="680">
          <v:shape id="_x0000_i1048" type="#_x0000_t75" style="width:96pt;height:33.75pt" o:ole="">
            <v:imagedata r:id="rId63" o:title=""/>
          </v:shape>
          <o:OLEObject Type="Embed" ProgID="Equation.DSMT4" ShapeID="_x0000_i1048" DrawAspect="Content" ObjectID="_1597856271" r:id="rId64"/>
        </w:object>
      </w:r>
      <w:r w:rsidR="00183536">
        <w:t xml:space="preserve">  It can be shown by tedious algebra that</w:t>
      </w:r>
      <w:r w:rsidR="00183536" w:rsidRPr="00183536">
        <w:t xml:space="preserve"> </w:t>
      </w:r>
      <w:r w:rsidR="00183536" w:rsidRPr="001C67BE">
        <w:rPr>
          <w:position w:val="-14"/>
        </w:rPr>
        <w:object w:dxaOrig="1080" w:dyaOrig="420">
          <v:shape id="_x0000_i1049" type="#_x0000_t75" style="width:54pt;height:21pt" o:ole="">
            <v:imagedata r:id="rId65" o:title=""/>
          </v:shape>
          <o:OLEObject Type="Embed" ProgID="Equation.DSMT4" ShapeID="_x0000_i1049" DrawAspect="Content" ObjectID="_1597856272" r:id="rId66"/>
        </w:object>
      </w:r>
      <w:r w:rsidR="00183536">
        <w:t xml:space="preserve"> Using this property, we can extend the integration of data source B with the probability sample A, to cover the following situations:</w:t>
      </w:r>
    </w:p>
    <w:p w:rsidR="00183536" w:rsidRDefault="00183536" w:rsidP="00183536">
      <w:pPr>
        <w:numPr>
          <w:ilvl w:val="0"/>
          <w:numId w:val="22"/>
        </w:numPr>
        <w:spacing w:after="16" w:line="360" w:lineRule="auto"/>
      </w:pPr>
      <w:r>
        <w:t xml:space="preserve">Availability of auxiliary variables (either in just B, or U) to improve the efficiency of </w:t>
      </w:r>
      <w:r w:rsidRPr="001C67BE">
        <w:rPr>
          <w:position w:val="-14"/>
        </w:rPr>
        <w:object w:dxaOrig="600" w:dyaOrig="420">
          <v:shape id="_x0000_i1050" type="#_x0000_t75" style="width:30pt;height:21pt" o:ole="">
            <v:imagedata r:id="rId67" o:title=""/>
          </v:shape>
          <o:OLEObject Type="Embed" ProgID="Equation.DSMT4" ShapeID="_x0000_i1050" DrawAspect="Content" ObjectID="_1597856273" r:id="rId68"/>
        </w:object>
      </w:r>
    </w:p>
    <w:p w:rsidR="00EC0CBF" w:rsidRDefault="00183536" w:rsidP="00183536">
      <w:pPr>
        <w:numPr>
          <w:ilvl w:val="0"/>
          <w:numId w:val="22"/>
        </w:numPr>
        <w:spacing w:after="16" w:line="360" w:lineRule="auto"/>
      </w:pPr>
      <w:r>
        <w:lastRenderedPageBreak/>
        <w:t>The data in B is subject to measurement errors;</w:t>
      </w:r>
    </w:p>
    <w:p w:rsidR="00183536" w:rsidRDefault="00183536" w:rsidP="00183536">
      <w:pPr>
        <w:numPr>
          <w:ilvl w:val="0"/>
          <w:numId w:val="22"/>
        </w:numPr>
        <w:spacing w:after="16" w:line="360" w:lineRule="auto"/>
      </w:pPr>
      <w:r>
        <w:t>The data in A is subject to measurement errors</w:t>
      </w:r>
    </w:p>
    <w:p w:rsidR="00183536" w:rsidRDefault="00183536" w:rsidP="00183536">
      <w:pPr>
        <w:numPr>
          <w:ilvl w:val="0"/>
          <w:numId w:val="22"/>
        </w:numPr>
        <w:spacing w:after="16" w:line="360" w:lineRule="auto"/>
      </w:pPr>
      <w:r>
        <w:t>A is subject to unit non-response.</w:t>
      </w:r>
    </w:p>
    <w:p w:rsidR="00794919" w:rsidRDefault="00794919" w:rsidP="00794919">
      <w:pPr>
        <w:spacing w:after="16" w:line="360" w:lineRule="auto"/>
        <w:ind w:left="60"/>
      </w:pPr>
      <w:r>
        <w:t>The methods developed above generalise those in Tam and Kim (2018).</w:t>
      </w:r>
    </w:p>
    <w:p w:rsidR="00183536" w:rsidRDefault="005D30C0" w:rsidP="00183536">
      <w:pPr>
        <w:pStyle w:val="Heading1"/>
        <w:numPr>
          <w:ilvl w:val="0"/>
          <w:numId w:val="0"/>
        </w:numPr>
        <w:ind w:left="60"/>
      </w:pPr>
      <w:r>
        <w:t>3.</w:t>
      </w:r>
      <w:r>
        <w:tab/>
      </w:r>
      <w:r w:rsidR="00794919">
        <w:t>Results from E</w:t>
      </w:r>
      <w:r w:rsidR="00183536">
        <w:t>mpirical Studies</w:t>
      </w:r>
    </w:p>
    <w:p w:rsidR="00183536" w:rsidRPr="006D6227" w:rsidRDefault="00183536" w:rsidP="00183536">
      <w:pPr>
        <w:spacing w:line="360" w:lineRule="auto"/>
      </w:pPr>
      <w:r>
        <w:t>In the</w:t>
      </w:r>
      <w:r w:rsidRPr="006D6227">
        <w:t xml:space="preserve"> simulation</w:t>
      </w:r>
      <w:r>
        <w:t xml:space="preserve"> study</w:t>
      </w:r>
      <w:r w:rsidRPr="006D6227">
        <w:t xml:space="preserve">, </w:t>
      </w:r>
      <w:r>
        <w:t xml:space="preserve">a </w:t>
      </w:r>
      <w:r w:rsidRPr="006D6227">
        <w:t xml:space="preserve">continuous </w:t>
      </w:r>
      <w:r w:rsidRPr="006D6227">
        <w:rPr>
          <w:i/>
        </w:rPr>
        <w:t>Y</w:t>
      </w:r>
      <w:r w:rsidRPr="006D6227">
        <w:t xml:space="preserve"> variable is </w:t>
      </w:r>
      <w:r>
        <w:t>generated</w:t>
      </w:r>
      <w:r w:rsidRPr="006D6227">
        <w:t xml:space="preserve"> from the following model:</w:t>
      </w:r>
    </w:p>
    <w:p w:rsidR="00183536" w:rsidRPr="006D6227" w:rsidRDefault="00183536" w:rsidP="00183536">
      <w:pPr>
        <w:tabs>
          <w:tab w:val="left" w:pos="280"/>
        </w:tabs>
        <w:spacing w:line="360" w:lineRule="auto"/>
        <w:ind w:right="40"/>
        <w:jc w:val="center"/>
        <w:rPr>
          <w:i/>
        </w:rPr>
      </w:pPr>
      <w:r w:rsidRPr="00C9577C">
        <w:rPr>
          <w:i/>
          <w:position w:val="-12"/>
        </w:rPr>
        <w:object w:dxaOrig="2180" w:dyaOrig="360">
          <v:shape id="_x0000_i1051" type="#_x0000_t75" style="width:108.75pt;height:18.75pt" o:ole="">
            <v:imagedata r:id="rId69" o:title=""/>
          </v:shape>
          <o:OLEObject Type="Embed" ProgID="Equation.DSMT4" ShapeID="_x0000_i1051" DrawAspect="Content" ObjectID="_1597856274" r:id="rId70"/>
        </w:object>
      </w:r>
    </w:p>
    <w:p w:rsidR="00183536" w:rsidRPr="006D6227" w:rsidRDefault="00183536" w:rsidP="00794919">
      <w:pPr>
        <w:spacing w:line="360" w:lineRule="auto"/>
        <w:ind w:left="60" w:right="100"/>
        <w:rPr>
          <w:i/>
          <w:vertAlign w:val="subscript"/>
        </w:rPr>
      </w:pPr>
      <w:r w:rsidRPr="006D6227">
        <w:t xml:space="preserve">where </w:t>
      </w:r>
      <w:r w:rsidRPr="00C9577C">
        <w:rPr>
          <w:position w:val="-12"/>
        </w:rPr>
        <w:object w:dxaOrig="2600" w:dyaOrig="360">
          <v:shape id="_x0000_i1052" type="#_x0000_t75" style="width:130.5pt;height:18.75pt" o:ole="">
            <v:imagedata r:id="rId71" o:title=""/>
          </v:shape>
          <o:OLEObject Type="Embed" ProgID="Equation.DSMT4" ShapeID="_x0000_i1052" DrawAspect="Content" ObjectID="_1597856275" r:id="rId72"/>
        </w:object>
      </w:r>
      <w:r>
        <w:t xml:space="preserve"> and </w:t>
      </w:r>
      <w:r w:rsidRPr="00C9577C">
        <w:rPr>
          <w:position w:val="-12"/>
        </w:rPr>
        <w:object w:dxaOrig="220" w:dyaOrig="360">
          <v:shape id="_x0000_i1053" type="#_x0000_t75" style="width:11.25pt;height:18.75pt" o:ole="">
            <v:imagedata r:id="rId73" o:title=""/>
          </v:shape>
          <o:OLEObject Type="Embed" ProgID="Equation.DSMT4" ShapeID="_x0000_i1053" DrawAspect="Content" ObjectID="_1597856276" r:id="rId74"/>
        </w:object>
      </w:r>
      <w:r w:rsidRPr="006D6227">
        <w:t xml:space="preserve"> is independent of </w:t>
      </w:r>
      <w:r w:rsidRPr="00C9577C">
        <w:rPr>
          <w:i/>
          <w:position w:val="-12"/>
        </w:rPr>
        <w:object w:dxaOrig="240" w:dyaOrig="360">
          <v:shape id="_x0000_i1054" type="#_x0000_t75" style="width:11.25pt;height:18.75pt" o:ole="">
            <v:imagedata r:id="rId75" o:title=""/>
          </v:shape>
          <o:OLEObject Type="Embed" ProgID="Equation.DSMT4" ShapeID="_x0000_i1054" DrawAspect="Content" ObjectID="_1597856277" r:id="rId76"/>
        </w:object>
      </w:r>
      <w:r w:rsidRPr="006D6227">
        <w:t xml:space="preserve">. We generate a finite population of size </w:t>
      </w:r>
      <w:r w:rsidRPr="006D6227">
        <w:rPr>
          <w:i/>
        </w:rPr>
        <w:t>N</w:t>
      </w:r>
      <w:r w:rsidRPr="006D6227">
        <w:t xml:space="preserve"> = 1</w:t>
      </w:r>
      <w:r>
        <w:t>,</w:t>
      </w:r>
      <w:r w:rsidRPr="006D6227">
        <w:t>000</w:t>
      </w:r>
      <w:r>
        <w:t>,</w:t>
      </w:r>
      <w:r w:rsidRPr="006D6227">
        <w:t xml:space="preserve">000 from this model. </w:t>
      </w:r>
    </w:p>
    <w:p w:rsidR="00183536" w:rsidRPr="006D6227" w:rsidRDefault="00183536" w:rsidP="00183536">
      <w:pPr>
        <w:spacing w:line="360" w:lineRule="auto"/>
        <w:ind w:left="60" w:right="100" w:firstLine="351"/>
      </w:pPr>
      <w:r w:rsidRPr="006D6227">
        <w:t xml:space="preserve">In this simulation, we repeatedly obtain two samples, denoted by </w:t>
      </w:r>
      <w:r>
        <w:t>A</w:t>
      </w:r>
      <w:r w:rsidRPr="006D6227">
        <w:t xml:space="preserve"> and </w:t>
      </w:r>
      <w:r>
        <w:t>B</w:t>
      </w:r>
      <w:r w:rsidRPr="006D6227">
        <w:t xml:space="preserve">, by simple random sampling of size </w:t>
      </w:r>
      <w:r w:rsidRPr="006D6227">
        <w:rPr>
          <w:i/>
        </w:rPr>
        <w:t>n</w:t>
      </w:r>
      <w:r w:rsidRPr="006D6227">
        <w:t xml:space="preserve"> = 500 and by an unequal probability sampling of size </w:t>
      </w:r>
      <w:r w:rsidRPr="00EB5B18">
        <w:rPr>
          <w:position w:val="-12"/>
        </w:rPr>
        <w:object w:dxaOrig="360" w:dyaOrig="360">
          <v:shape id="_x0000_i1055" type="#_x0000_t75" style="width:18.75pt;height:18.75pt" o:ole="">
            <v:imagedata r:id="rId77" o:title=""/>
          </v:shape>
          <o:OLEObject Type="Embed" ProgID="Equation.DSMT4" ShapeID="_x0000_i1055" DrawAspect="Content" ObjectID="_1597856278" r:id="rId78"/>
        </w:object>
      </w:r>
      <w:r w:rsidRPr="006D6227">
        <w:t>= 500</w:t>
      </w:r>
      <w:r>
        <w:t>,</w:t>
      </w:r>
      <w:r w:rsidRPr="006D6227">
        <w:t xml:space="preserve">000, respectively. </w:t>
      </w:r>
      <w:r>
        <w:t xml:space="preserve"> </w:t>
      </w:r>
      <w:r w:rsidRPr="006D6227">
        <w:t xml:space="preserve">In selecting sample </w:t>
      </w:r>
      <w:r>
        <w:t>B</w:t>
      </w:r>
      <w:r w:rsidRPr="006D6227">
        <w:t xml:space="preserve">, we create two strata, where stratum 1 consists of elements with </w:t>
      </w:r>
      <w:r w:rsidRPr="00EB5B18">
        <w:rPr>
          <w:position w:val="-12"/>
        </w:rPr>
        <w:object w:dxaOrig="620" w:dyaOrig="360">
          <v:shape id="_x0000_i1056" type="#_x0000_t75" style="width:30.75pt;height:18.75pt" o:ole="">
            <v:imagedata r:id="rId79" o:title=""/>
          </v:shape>
          <o:OLEObject Type="Embed" ProgID="Equation.DSMT4" ShapeID="_x0000_i1056" DrawAspect="Content" ObjectID="_1597856279" r:id="rId80"/>
        </w:object>
      </w:r>
      <w:r w:rsidRPr="006D6227">
        <w:t xml:space="preserve">, and stratum 2 consists of those with </w:t>
      </w:r>
      <w:r w:rsidRPr="00EB5B18">
        <w:rPr>
          <w:position w:val="-12"/>
        </w:rPr>
        <w:object w:dxaOrig="240" w:dyaOrig="360">
          <v:shape id="_x0000_i1057" type="#_x0000_t75" style="width:11.25pt;height:18.75pt" o:ole="">
            <v:imagedata r:id="rId81" o:title=""/>
          </v:shape>
          <o:OLEObject Type="Embed" ProgID="Equation.DSMT4" ShapeID="_x0000_i1057" DrawAspect="Content" ObjectID="_1597856280" r:id="rId82"/>
        </w:object>
      </w:r>
      <w:r w:rsidRPr="006D6227">
        <w:rPr>
          <w:i/>
        </w:rPr>
        <w:t>&gt;</w:t>
      </w:r>
      <w:r w:rsidRPr="006D6227">
        <w:t xml:space="preserve"> 2. Within each stratum, we select </w:t>
      </w:r>
      <w:r w:rsidRPr="003E2BA1">
        <w:rPr>
          <w:position w:val="-12"/>
        </w:rPr>
        <w:object w:dxaOrig="260" w:dyaOrig="360">
          <v:shape id="_x0000_i1058" type="#_x0000_t75" style="width:12.75pt;height:18.75pt" o:ole="">
            <v:imagedata r:id="rId83" o:title=""/>
          </v:shape>
          <o:OLEObject Type="Embed" ProgID="Equation.DSMT4" ShapeID="_x0000_i1058" DrawAspect="Content" ObjectID="_1597856281" r:id="rId84"/>
        </w:object>
      </w:r>
      <w:r>
        <w:t xml:space="preserve"> </w:t>
      </w:r>
      <w:r w:rsidRPr="006D6227">
        <w:t xml:space="preserve">elements by simple random sampling independently, where </w:t>
      </w:r>
      <w:r w:rsidRPr="003E2BA1">
        <w:rPr>
          <w:i/>
          <w:position w:val="-12"/>
        </w:rPr>
        <w:object w:dxaOrig="240" w:dyaOrig="360">
          <v:shape id="_x0000_i1059" type="#_x0000_t75" style="width:11.25pt;height:18.75pt" o:ole="">
            <v:imagedata r:id="rId85" o:title=""/>
          </v:shape>
          <o:OLEObject Type="Embed" ProgID="Equation.DSMT4" ShapeID="_x0000_i1059" DrawAspect="Content" ObjectID="_1597856282" r:id="rId86"/>
        </w:object>
      </w:r>
      <w:r w:rsidRPr="006D6227">
        <w:t xml:space="preserve"> = 300</w:t>
      </w:r>
      <w:r>
        <w:t>,</w:t>
      </w:r>
      <w:r w:rsidRPr="006D6227">
        <w:t xml:space="preserve">000 and </w:t>
      </w:r>
      <w:r w:rsidRPr="003E2BA1">
        <w:rPr>
          <w:position w:val="-12"/>
        </w:rPr>
        <w:object w:dxaOrig="260" w:dyaOrig="360">
          <v:shape id="_x0000_i1060" type="#_x0000_t75" style="width:12.75pt;height:18.75pt" o:ole="">
            <v:imagedata r:id="rId87" o:title=""/>
          </v:shape>
          <o:OLEObject Type="Embed" ProgID="Equation.DSMT4" ShapeID="_x0000_i1060" DrawAspect="Content" ObjectID="_1597856283" r:id="rId88"/>
        </w:object>
      </w:r>
      <w:r w:rsidRPr="006D6227">
        <w:t xml:space="preserve"> = 200</w:t>
      </w:r>
      <w:r>
        <w:t>,</w:t>
      </w:r>
      <w:r w:rsidRPr="006D6227">
        <w:t xml:space="preserve">000. </w:t>
      </w:r>
      <w:r>
        <w:t xml:space="preserve"> </w:t>
      </w:r>
    </w:p>
    <w:p w:rsidR="00794919" w:rsidRPr="006D6227" w:rsidRDefault="00794919" w:rsidP="00794919">
      <w:pPr>
        <w:spacing w:line="360" w:lineRule="auto"/>
        <w:ind w:right="40"/>
      </w:pPr>
      <w:r w:rsidRPr="006D6227">
        <w:t>Table: Results based on a Monte Carlo sample of size 1 000</w:t>
      </w:r>
    </w:p>
    <w:tbl>
      <w:tblPr>
        <w:tblStyle w:val="TableGrid"/>
        <w:tblW w:w="0" w:type="auto"/>
        <w:tblLook w:val="04A0" w:firstRow="1" w:lastRow="0" w:firstColumn="1" w:lastColumn="0" w:noHBand="0" w:noVBand="1"/>
      </w:tblPr>
      <w:tblGrid>
        <w:gridCol w:w="1748"/>
        <w:gridCol w:w="1766"/>
        <w:gridCol w:w="1667"/>
        <w:gridCol w:w="1826"/>
        <w:gridCol w:w="1826"/>
      </w:tblGrid>
      <w:tr w:rsidR="002D7D8A" w:rsidTr="00794919">
        <w:tc>
          <w:tcPr>
            <w:tcW w:w="1915" w:type="dxa"/>
          </w:tcPr>
          <w:p w:rsidR="00794919" w:rsidRDefault="00794919" w:rsidP="00794919">
            <w:r>
              <w:t>Scenario</w:t>
            </w:r>
          </w:p>
        </w:tc>
        <w:tc>
          <w:tcPr>
            <w:tcW w:w="1915" w:type="dxa"/>
          </w:tcPr>
          <w:p w:rsidR="00794919" w:rsidRDefault="00794919" w:rsidP="00794919">
            <w:r>
              <w:t>Estimator</w:t>
            </w:r>
          </w:p>
        </w:tc>
        <w:tc>
          <w:tcPr>
            <w:tcW w:w="1915" w:type="dxa"/>
          </w:tcPr>
          <w:p w:rsidR="00794919" w:rsidRDefault="00794919" w:rsidP="00794919">
            <w:r>
              <w:t>Bias</w:t>
            </w:r>
          </w:p>
        </w:tc>
        <w:tc>
          <w:tcPr>
            <w:tcW w:w="1915" w:type="dxa"/>
          </w:tcPr>
          <w:p w:rsidR="00794919" w:rsidRDefault="00794919" w:rsidP="002D7D8A">
            <w:r>
              <w:t>St</w:t>
            </w:r>
            <w:r w:rsidR="002D7D8A">
              <w:t>andardised</w:t>
            </w:r>
            <w:r>
              <w:t xml:space="preserve"> Var</w:t>
            </w:r>
            <w:r w:rsidR="002D7D8A">
              <w:t>iance</w:t>
            </w:r>
          </w:p>
        </w:tc>
        <w:tc>
          <w:tcPr>
            <w:tcW w:w="1916" w:type="dxa"/>
          </w:tcPr>
          <w:p w:rsidR="00794919" w:rsidRDefault="00794919" w:rsidP="002D7D8A">
            <w:r>
              <w:t>St</w:t>
            </w:r>
            <w:r w:rsidR="002D7D8A">
              <w:t>andar</w:t>
            </w:r>
            <w:r>
              <w:t>d</w:t>
            </w:r>
            <w:r w:rsidR="002D7D8A">
              <w:t>ised</w:t>
            </w:r>
            <w:r>
              <w:t xml:space="preserve"> </w:t>
            </w:r>
            <w:r w:rsidR="002D7D8A">
              <w:t>MSE</w:t>
            </w:r>
          </w:p>
        </w:tc>
      </w:tr>
      <w:tr w:rsidR="002D7D8A" w:rsidTr="00794919">
        <w:trPr>
          <w:trHeight w:val="1134"/>
        </w:trPr>
        <w:tc>
          <w:tcPr>
            <w:tcW w:w="1915" w:type="dxa"/>
          </w:tcPr>
          <w:p w:rsidR="00794919" w:rsidRDefault="00794919" w:rsidP="00794919">
            <w:pPr>
              <w:jc w:val="center"/>
            </w:pPr>
            <w:r>
              <w:t>I</w:t>
            </w:r>
          </w:p>
        </w:tc>
        <w:tc>
          <w:tcPr>
            <w:tcW w:w="1915" w:type="dxa"/>
          </w:tcPr>
          <w:p w:rsidR="00794919" w:rsidRDefault="00794919" w:rsidP="00794919">
            <w:pPr>
              <w:jc w:val="center"/>
            </w:pPr>
            <w:r>
              <w:t>Sample Mean A</w:t>
            </w:r>
          </w:p>
          <w:p w:rsidR="00794919" w:rsidRDefault="00794919" w:rsidP="00794919">
            <w:pPr>
              <w:jc w:val="center"/>
            </w:pPr>
            <w:r>
              <w:t>Sample Mean B</w:t>
            </w:r>
          </w:p>
          <w:p w:rsidR="00794919" w:rsidRDefault="00794919" w:rsidP="00794919">
            <w:pPr>
              <w:jc w:val="center"/>
            </w:pPr>
            <w:r>
              <w:t>P</w:t>
            </w:r>
          </w:p>
          <w:p w:rsidR="00794919" w:rsidRDefault="00794919" w:rsidP="00794919">
            <w:pPr>
              <w:jc w:val="center"/>
            </w:pPr>
            <w:r>
              <w:t>RegDI</w:t>
            </w:r>
          </w:p>
        </w:tc>
        <w:tc>
          <w:tcPr>
            <w:tcW w:w="1915" w:type="dxa"/>
          </w:tcPr>
          <w:p w:rsidR="00794919" w:rsidRDefault="00794919" w:rsidP="00794919">
            <w:pPr>
              <w:jc w:val="center"/>
            </w:pPr>
            <w:r>
              <w:t>0.00</w:t>
            </w:r>
          </w:p>
          <w:p w:rsidR="00794919" w:rsidRDefault="00794919" w:rsidP="00794919">
            <w:pPr>
              <w:jc w:val="center"/>
            </w:pPr>
            <w:r>
              <w:t>-0.11</w:t>
            </w:r>
          </w:p>
          <w:p w:rsidR="00794919" w:rsidRDefault="00794919" w:rsidP="00794919">
            <w:pPr>
              <w:jc w:val="center"/>
            </w:pPr>
            <w:r>
              <w:t>0.00</w:t>
            </w:r>
          </w:p>
          <w:p w:rsidR="00794919" w:rsidRDefault="00794919" w:rsidP="00794919">
            <w:pPr>
              <w:jc w:val="center"/>
            </w:pPr>
            <w:r>
              <w:t>0.00</w:t>
            </w:r>
          </w:p>
        </w:tc>
        <w:tc>
          <w:tcPr>
            <w:tcW w:w="1915" w:type="dxa"/>
          </w:tcPr>
          <w:p w:rsidR="00794919" w:rsidRDefault="00794919" w:rsidP="00794919">
            <w:pPr>
              <w:jc w:val="center"/>
            </w:pPr>
            <w:r>
              <w:t>100</w:t>
            </w:r>
          </w:p>
          <w:p w:rsidR="00794919" w:rsidRDefault="00794919" w:rsidP="00794919">
            <w:pPr>
              <w:jc w:val="center"/>
            </w:pPr>
            <w:r>
              <w:t>0</w:t>
            </w:r>
          </w:p>
          <w:p w:rsidR="00794919" w:rsidRDefault="00794919" w:rsidP="00794919">
            <w:pPr>
              <w:jc w:val="center"/>
            </w:pPr>
            <w:r>
              <w:t>47</w:t>
            </w:r>
          </w:p>
          <w:p w:rsidR="00794919" w:rsidRDefault="00794919" w:rsidP="00794919">
            <w:pPr>
              <w:jc w:val="center"/>
            </w:pPr>
            <w:r>
              <w:t>47</w:t>
            </w:r>
          </w:p>
        </w:tc>
        <w:tc>
          <w:tcPr>
            <w:tcW w:w="1916" w:type="dxa"/>
          </w:tcPr>
          <w:p w:rsidR="00794919" w:rsidRDefault="00794919" w:rsidP="00794919">
            <w:pPr>
              <w:jc w:val="center"/>
            </w:pPr>
            <w:r>
              <w:t>100</w:t>
            </w:r>
          </w:p>
          <w:p w:rsidR="00794919" w:rsidRDefault="00794919" w:rsidP="00794919">
            <w:pPr>
              <w:jc w:val="center"/>
            </w:pPr>
            <w:r>
              <w:t>1,116</w:t>
            </w:r>
          </w:p>
          <w:p w:rsidR="00794919" w:rsidRDefault="00794919" w:rsidP="00794919">
            <w:pPr>
              <w:jc w:val="center"/>
            </w:pPr>
            <w:r>
              <w:t>47</w:t>
            </w:r>
          </w:p>
          <w:p w:rsidR="00794919" w:rsidRDefault="00794919" w:rsidP="00794919">
            <w:pPr>
              <w:jc w:val="center"/>
            </w:pPr>
            <w:r>
              <w:t>47</w:t>
            </w:r>
          </w:p>
        </w:tc>
      </w:tr>
      <w:tr w:rsidR="002D7D8A" w:rsidTr="00794919">
        <w:trPr>
          <w:trHeight w:val="1134"/>
        </w:trPr>
        <w:tc>
          <w:tcPr>
            <w:tcW w:w="1915" w:type="dxa"/>
          </w:tcPr>
          <w:p w:rsidR="00794919" w:rsidRDefault="00794919" w:rsidP="00794919">
            <w:pPr>
              <w:jc w:val="center"/>
            </w:pPr>
            <w:r>
              <w:t>II</w:t>
            </w:r>
          </w:p>
        </w:tc>
        <w:tc>
          <w:tcPr>
            <w:tcW w:w="1915" w:type="dxa"/>
          </w:tcPr>
          <w:p w:rsidR="00794919" w:rsidRDefault="00794919" w:rsidP="00794919">
            <w:pPr>
              <w:jc w:val="center"/>
            </w:pPr>
            <w:r>
              <w:t>Sample Mean A</w:t>
            </w:r>
          </w:p>
          <w:p w:rsidR="00794919" w:rsidRDefault="00794919" w:rsidP="00794919">
            <w:pPr>
              <w:jc w:val="center"/>
            </w:pPr>
            <w:r>
              <w:t>Sample Mean B</w:t>
            </w:r>
          </w:p>
          <w:p w:rsidR="00794919" w:rsidRDefault="00794919" w:rsidP="00794919">
            <w:pPr>
              <w:jc w:val="center"/>
            </w:pPr>
            <w:r>
              <w:t>P</w:t>
            </w:r>
          </w:p>
          <w:p w:rsidR="00794919" w:rsidRDefault="00794919" w:rsidP="00794919">
            <w:pPr>
              <w:jc w:val="center"/>
            </w:pPr>
            <w:r>
              <w:t>RegDI</w:t>
            </w:r>
          </w:p>
        </w:tc>
        <w:tc>
          <w:tcPr>
            <w:tcW w:w="1915" w:type="dxa"/>
          </w:tcPr>
          <w:p w:rsidR="00794919" w:rsidRDefault="00794919" w:rsidP="00794919">
            <w:pPr>
              <w:jc w:val="center"/>
            </w:pPr>
            <w:r>
              <w:t>0.00</w:t>
            </w:r>
          </w:p>
          <w:p w:rsidR="00794919" w:rsidRDefault="00794919" w:rsidP="00794919">
            <w:pPr>
              <w:jc w:val="center"/>
            </w:pPr>
            <w:r>
              <w:t>-1.10</w:t>
            </w:r>
          </w:p>
          <w:p w:rsidR="00794919" w:rsidRDefault="00794919" w:rsidP="00794919">
            <w:pPr>
              <w:jc w:val="center"/>
            </w:pPr>
            <w:r>
              <w:t>-0.49</w:t>
            </w:r>
          </w:p>
          <w:p w:rsidR="00794919" w:rsidRDefault="00794919" w:rsidP="00794919">
            <w:pPr>
              <w:jc w:val="center"/>
            </w:pPr>
            <w:r>
              <w:t>0.00</w:t>
            </w:r>
          </w:p>
        </w:tc>
        <w:tc>
          <w:tcPr>
            <w:tcW w:w="1915" w:type="dxa"/>
          </w:tcPr>
          <w:p w:rsidR="00794919" w:rsidRDefault="00794919" w:rsidP="00794919">
            <w:pPr>
              <w:jc w:val="center"/>
            </w:pPr>
            <w:r>
              <w:t>100</w:t>
            </w:r>
          </w:p>
          <w:p w:rsidR="00794919" w:rsidRDefault="00794919" w:rsidP="00794919">
            <w:pPr>
              <w:jc w:val="center"/>
            </w:pPr>
            <w:r>
              <w:t>0</w:t>
            </w:r>
          </w:p>
          <w:p w:rsidR="00794919" w:rsidRDefault="00794919" w:rsidP="00794919">
            <w:pPr>
              <w:jc w:val="center"/>
            </w:pPr>
            <w:r>
              <w:t>47</w:t>
            </w:r>
          </w:p>
          <w:p w:rsidR="00794919" w:rsidRDefault="00794919" w:rsidP="00794919">
            <w:pPr>
              <w:jc w:val="center"/>
            </w:pPr>
            <w:r>
              <w:t>62</w:t>
            </w:r>
          </w:p>
        </w:tc>
        <w:tc>
          <w:tcPr>
            <w:tcW w:w="1916" w:type="dxa"/>
          </w:tcPr>
          <w:p w:rsidR="00794919" w:rsidRDefault="00794919" w:rsidP="00794919">
            <w:pPr>
              <w:jc w:val="center"/>
            </w:pPr>
            <w:r>
              <w:t>100</w:t>
            </w:r>
          </w:p>
          <w:p w:rsidR="00794919" w:rsidRDefault="00794919" w:rsidP="00794919">
            <w:pPr>
              <w:jc w:val="center"/>
            </w:pPr>
            <w:r>
              <w:t>63,842</w:t>
            </w:r>
          </w:p>
          <w:p w:rsidR="00794919" w:rsidRDefault="00794919" w:rsidP="00794919">
            <w:pPr>
              <w:jc w:val="center"/>
            </w:pPr>
            <w:r>
              <w:t>12,895</w:t>
            </w:r>
          </w:p>
          <w:p w:rsidR="00794919" w:rsidRDefault="00794919" w:rsidP="00794919">
            <w:pPr>
              <w:jc w:val="center"/>
            </w:pPr>
            <w:r>
              <w:t>58</w:t>
            </w:r>
          </w:p>
        </w:tc>
      </w:tr>
      <w:tr w:rsidR="002D7D8A" w:rsidTr="00794919">
        <w:trPr>
          <w:trHeight w:val="1134"/>
        </w:trPr>
        <w:tc>
          <w:tcPr>
            <w:tcW w:w="1915" w:type="dxa"/>
          </w:tcPr>
          <w:p w:rsidR="00794919" w:rsidRDefault="00794919" w:rsidP="00794919">
            <w:pPr>
              <w:jc w:val="center"/>
            </w:pPr>
            <w:r>
              <w:lastRenderedPageBreak/>
              <w:t>III</w:t>
            </w:r>
          </w:p>
        </w:tc>
        <w:tc>
          <w:tcPr>
            <w:tcW w:w="1915" w:type="dxa"/>
          </w:tcPr>
          <w:p w:rsidR="00794919" w:rsidRDefault="00794919" w:rsidP="00794919">
            <w:pPr>
              <w:jc w:val="center"/>
            </w:pPr>
            <w:r>
              <w:t>Sample Mean A</w:t>
            </w:r>
          </w:p>
          <w:p w:rsidR="00794919" w:rsidRDefault="00794919" w:rsidP="00794919">
            <w:pPr>
              <w:jc w:val="center"/>
            </w:pPr>
            <w:r>
              <w:t>Sample Mean B</w:t>
            </w:r>
          </w:p>
          <w:p w:rsidR="00794919" w:rsidRDefault="00794919" w:rsidP="00794919">
            <w:pPr>
              <w:jc w:val="center"/>
            </w:pPr>
            <w:r>
              <w:t>P</w:t>
            </w:r>
          </w:p>
          <w:p w:rsidR="00794919" w:rsidRDefault="00794919" w:rsidP="00794919">
            <w:pPr>
              <w:jc w:val="center"/>
            </w:pPr>
            <w:r>
              <w:t>RegDI</w:t>
            </w:r>
          </w:p>
        </w:tc>
        <w:tc>
          <w:tcPr>
            <w:tcW w:w="1915" w:type="dxa"/>
          </w:tcPr>
          <w:p w:rsidR="00794919" w:rsidRDefault="00794919" w:rsidP="00794919">
            <w:pPr>
              <w:jc w:val="center"/>
            </w:pPr>
            <w:r>
              <w:t>-1.00</w:t>
            </w:r>
          </w:p>
          <w:p w:rsidR="00794919" w:rsidRDefault="00794919" w:rsidP="00794919">
            <w:pPr>
              <w:jc w:val="center"/>
            </w:pPr>
            <w:r>
              <w:t>-0.11</w:t>
            </w:r>
          </w:p>
          <w:p w:rsidR="00794919" w:rsidRDefault="00794919" w:rsidP="00794919">
            <w:pPr>
              <w:jc w:val="center"/>
            </w:pPr>
            <w:r>
              <w:t>-0.50</w:t>
            </w:r>
          </w:p>
          <w:p w:rsidR="00794919" w:rsidRDefault="00794919" w:rsidP="00794919">
            <w:pPr>
              <w:jc w:val="center"/>
            </w:pPr>
            <w:r>
              <w:t>0.00</w:t>
            </w:r>
          </w:p>
        </w:tc>
        <w:tc>
          <w:tcPr>
            <w:tcW w:w="1915" w:type="dxa"/>
          </w:tcPr>
          <w:p w:rsidR="00794919" w:rsidRDefault="00794919" w:rsidP="00794919">
            <w:pPr>
              <w:jc w:val="center"/>
            </w:pPr>
            <w:r>
              <w:t>108</w:t>
            </w:r>
          </w:p>
          <w:p w:rsidR="00794919" w:rsidRDefault="00794919" w:rsidP="00794919">
            <w:pPr>
              <w:jc w:val="center"/>
            </w:pPr>
            <w:r>
              <w:t>0</w:t>
            </w:r>
          </w:p>
          <w:p w:rsidR="00794919" w:rsidRDefault="00794919" w:rsidP="00794919">
            <w:pPr>
              <w:jc w:val="center"/>
            </w:pPr>
            <w:r>
              <w:t>51</w:t>
            </w:r>
          </w:p>
          <w:p w:rsidR="00794919" w:rsidRDefault="00794919" w:rsidP="00794919">
            <w:pPr>
              <w:jc w:val="center"/>
            </w:pPr>
            <w:r>
              <w:t>83</w:t>
            </w:r>
          </w:p>
        </w:tc>
        <w:tc>
          <w:tcPr>
            <w:tcW w:w="1916" w:type="dxa"/>
          </w:tcPr>
          <w:p w:rsidR="00794919" w:rsidRDefault="00794919" w:rsidP="00794919">
            <w:pPr>
              <w:jc w:val="center"/>
            </w:pPr>
            <w:r>
              <w:t>52,831</w:t>
            </w:r>
          </w:p>
          <w:p w:rsidR="00794919" w:rsidRDefault="00794919" w:rsidP="00794919">
            <w:pPr>
              <w:jc w:val="center"/>
            </w:pPr>
            <w:r>
              <w:t>668</w:t>
            </w:r>
          </w:p>
          <w:p w:rsidR="00794919" w:rsidRDefault="00794919" w:rsidP="00794919">
            <w:pPr>
              <w:jc w:val="center"/>
            </w:pPr>
            <w:r>
              <w:t>13,521</w:t>
            </w:r>
          </w:p>
          <w:p w:rsidR="00794919" w:rsidRDefault="00794919" w:rsidP="00794919">
            <w:pPr>
              <w:jc w:val="center"/>
            </w:pPr>
            <w:r>
              <w:t>79</w:t>
            </w:r>
          </w:p>
        </w:tc>
      </w:tr>
    </w:tbl>
    <w:p w:rsidR="00BC6AFE" w:rsidRDefault="005D30C0" w:rsidP="00794919">
      <w:pPr>
        <w:pStyle w:val="Heading1"/>
        <w:numPr>
          <w:ilvl w:val="0"/>
          <w:numId w:val="0"/>
        </w:numPr>
        <w:ind w:left="480" w:hanging="480"/>
      </w:pPr>
      <w:r>
        <w:t>4.</w:t>
      </w:r>
      <w:r>
        <w:tab/>
      </w:r>
      <w:r w:rsidR="00BC6AFE">
        <w:t>Conclusions</w:t>
      </w:r>
    </w:p>
    <w:p w:rsidR="00794919" w:rsidRDefault="00794919" w:rsidP="00794919">
      <w:pPr>
        <w:spacing w:line="360" w:lineRule="auto"/>
        <w:ind w:right="40"/>
      </w:pPr>
      <w:r>
        <w:t xml:space="preserve">  In this paper, we have shown that Big Data sources subject to under-coverage bias can be used as benchmarks to calibrate the Horvitz-Thompson weights of a random sample to provide efficient estimat</w:t>
      </w:r>
      <w:r w:rsidR="002D7D8A">
        <w:t>ion</w:t>
      </w:r>
      <w:r>
        <w:t xml:space="preserve"> of the finite population total.  </w:t>
      </w:r>
      <w:r w:rsidR="002D7D8A">
        <w:t>U</w:t>
      </w:r>
      <w:r>
        <w:t>sing the methods in Section 2, we showed the sample size,</w:t>
      </w:r>
      <w:r w:rsidRPr="00C5256C">
        <w:rPr>
          <w:position w:val="-10"/>
        </w:rPr>
        <w:object w:dxaOrig="260" w:dyaOrig="260">
          <v:shape id="_x0000_i1061" type="#_x0000_t75" style="width:13.5pt;height:13.5pt" o:ole="">
            <v:imagedata r:id="rId89" o:title=""/>
          </v:shape>
          <o:OLEObject Type="Embed" ProgID="Equation.DSMT4" ShapeID="_x0000_i1061" DrawAspect="Content" ObjectID="_1597856284" r:id="rId90"/>
        </w:object>
      </w:r>
      <w:r>
        <w:t xml:space="preserve">of a simple random sample, can be increased by a factor of  </w:t>
      </w:r>
      <w:r w:rsidRPr="008531FB">
        <w:rPr>
          <w:position w:val="-12"/>
        </w:rPr>
        <w:object w:dxaOrig="1020" w:dyaOrig="380">
          <v:shape id="_x0000_i1062" type="#_x0000_t75" style="width:51pt;height:18.75pt" o:ole="">
            <v:imagedata r:id="rId91" o:title=""/>
          </v:shape>
          <o:OLEObject Type="Embed" ProgID="Equation.DSMT4" ShapeID="_x0000_i1062" DrawAspect="Content" ObjectID="_1597856285" r:id="rId92"/>
        </w:object>
      </w:r>
      <w:r>
        <w:t xml:space="preserve"> which provides an opportunity for official statisticians to red</w:t>
      </w:r>
      <w:r w:rsidR="00B57EB9">
        <w:t>uce the cost of data collection</w:t>
      </w:r>
      <w:r>
        <w:t xml:space="preserve"> by</w:t>
      </w:r>
      <w:r w:rsidR="00B57EB9">
        <w:t>,</w:t>
      </w:r>
      <w:r>
        <w:t xml:space="preserve"> if desired</w:t>
      </w:r>
      <w:r w:rsidR="00B57EB9">
        <w:t>,</w:t>
      </w:r>
      <w:r>
        <w:t xml:space="preserve"> reducing the sample size judiciously.  </w:t>
      </w:r>
    </w:p>
    <w:p w:rsidR="00794919" w:rsidRDefault="00794919" w:rsidP="00794919">
      <w:pPr>
        <w:spacing w:line="360" w:lineRule="auto"/>
        <w:ind w:right="40"/>
      </w:pPr>
      <w:r>
        <w:t xml:space="preserve">  </w:t>
      </w:r>
      <w:r w:rsidR="002D7D8A">
        <w:t>Not</w:t>
      </w:r>
      <w:r>
        <w:t>ing that the post-stratified estimator is equivalent to a cal</w:t>
      </w:r>
      <w:r w:rsidR="002D7D8A">
        <w:t xml:space="preserve">ibration estimator with the </w:t>
      </w:r>
      <w:r>
        <w:t xml:space="preserve">Horvitz-Thompson weights of the probability sample calibrating to the known benchmarks, </w:t>
      </w:r>
      <w:r w:rsidRPr="00375F3C">
        <w:rPr>
          <w:position w:val="-28"/>
        </w:rPr>
        <w:object w:dxaOrig="1880" w:dyaOrig="680">
          <v:shape id="_x0000_i1063" type="#_x0000_t75" style="width:93.75pt;height:33.75pt" o:ole="">
            <v:imagedata r:id="rId93" o:title=""/>
          </v:shape>
          <o:OLEObject Type="Embed" ProgID="Equation.DSMT4" ShapeID="_x0000_i1063" DrawAspect="Content" ObjectID="_1597856286" r:id="rId94"/>
        </w:object>
      </w:r>
      <w:r>
        <w:t xml:space="preserve">, we can apply the calibration idea to </w:t>
      </w:r>
      <w:r w:rsidR="002D7D8A">
        <w:t>address other biases in the data sources</w:t>
      </w:r>
      <w:r>
        <w:t>.</w:t>
      </w:r>
    </w:p>
    <w:p w:rsidR="00BC6AFE" w:rsidRDefault="00BC6AFE" w:rsidP="009B4EE0">
      <w:pPr>
        <w:pStyle w:val="Heading1"/>
        <w:numPr>
          <w:ilvl w:val="0"/>
          <w:numId w:val="0"/>
        </w:numPr>
        <w:ind w:left="480" w:hanging="480"/>
      </w:pPr>
      <w:r>
        <w:t>References</w:t>
      </w:r>
    </w:p>
    <w:p w:rsidR="00794919" w:rsidRDefault="00794919" w:rsidP="00794919">
      <w:pPr>
        <w:spacing w:line="360" w:lineRule="auto"/>
        <w:ind w:left="53"/>
      </w:pPr>
      <w:r>
        <w:t xml:space="preserve">[1] S. M. Tam and F. Clarke (2015).   Big data, official statistics and some initiatives by the Australian Bureau of Statistics. </w:t>
      </w:r>
      <w:r>
        <w:rPr>
          <w:i/>
        </w:rPr>
        <w:t>Internat. Statist. Rev. 83</w:t>
      </w:r>
      <w:r>
        <w:t>, 436–448.</w:t>
      </w:r>
    </w:p>
    <w:p w:rsidR="005D30C0" w:rsidRPr="006D6227" w:rsidRDefault="005D30C0" w:rsidP="005D30C0">
      <w:pPr>
        <w:spacing w:line="360" w:lineRule="auto"/>
        <w:ind w:left="300" w:right="100" w:hanging="233"/>
      </w:pPr>
      <w:r>
        <w:t xml:space="preserve">[2] D. </w:t>
      </w:r>
      <w:r w:rsidRPr="006D6227">
        <w:t xml:space="preserve">Pfefffermann (2015). </w:t>
      </w:r>
      <w:r>
        <w:t xml:space="preserve">  </w:t>
      </w:r>
      <w:r w:rsidRPr="006D6227">
        <w:t xml:space="preserve">Methodological issues and challenges in the production of official statistics: 24th Annual Morris Hansen Lecture. </w:t>
      </w:r>
      <w:r w:rsidRPr="006D6227">
        <w:rPr>
          <w:i/>
        </w:rPr>
        <w:t>J. Surv. Stat. Methodol. 3</w:t>
      </w:r>
      <w:r w:rsidRPr="006D6227">
        <w:t>, 425–483.</w:t>
      </w:r>
    </w:p>
    <w:p w:rsidR="00794919" w:rsidRDefault="00794919" w:rsidP="00794919">
      <w:pPr>
        <w:spacing w:line="360" w:lineRule="auto"/>
        <w:ind w:left="293" w:right="100" w:hanging="233"/>
      </w:pPr>
      <w:r>
        <w:t>[</w:t>
      </w:r>
      <w:r w:rsidR="005D30C0">
        <w:t>3</w:t>
      </w:r>
      <w:r>
        <w:t>]</w:t>
      </w:r>
      <w:r w:rsidR="005D30C0">
        <w:t xml:space="preserve"> </w:t>
      </w:r>
      <w:r>
        <w:t xml:space="preserve">S. M. Tam, S. M. and J. K. Kim, (to appear).   Big data, selection bias and ethics – an official statistician’s perspective. </w:t>
      </w:r>
      <w:r>
        <w:rPr>
          <w:i/>
        </w:rPr>
        <w:t>Stat. J. IAOS</w:t>
      </w:r>
      <w:r>
        <w:t>.</w:t>
      </w:r>
    </w:p>
    <w:p w:rsidR="00794919" w:rsidRDefault="00794919" w:rsidP="00D52EA1">
      <w:pPr>
        <w:rPr>
          <w:color w:val="FF0000"/>
        </w:rPr>
      </w:pPr>
    </w:p>
    <w:sectPr w:rsidR="00794919" w:rsidSect="00BC6AFE">
      <w:footerReference w:type="default" r:id="rId95"/>
      <w:headerReference w:type="first" r:id="rId96"/>
      <w:footerReference w:type="first" r:id="rId97"/>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7A" w:rsidRDefault="00BC5E7A" w:rsidP="00BC6AFE">
      <w:pPr>
        <w:spacing w:after="0"/>
      </w:pPr>
      <w:r>
        <w:separator/>
      </w:r>
    </w:p>
  </w:endnote>
  <w:endnote w:type="continuationSeparator" w:id="0">
    <w:p w:rsidR="00BC5E7A" w:rsidRDefault="00BC5E7A"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1A" w:rsidRDefault="0096121A">
    <w:pPr>
      <w:pStyle w:val="Footer"/>
      <w:jc w:val="center"/>
    </w:pPr>
    <w:r>
      <w:fldChar w:fldCharType="begin"/>
    </w:r>
    <w:r>
      <w:instrText>PAGE</w:instrText>
    </w:r>
    <w:r>
      <w:fldChar w:fldCharType="separate"/>
    </w:r>
    <w:r w:rsidR="00BC5E7A">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1A" w:rsidRDefault="0096121A">
    <w:pPr>
      <w:pStyle w:val="Footer"/>
      <w:rPr>
        <w:sz w:val="24"/>
        <w:szCs w:val="24"/>
      </w:rPr>
    </w:pPr>
  </w:p>
  <w:p w:rsidR="0096121A" w:rsidRDefault="0096121A">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96121A" w:rsidRDefault="0096121A">
    <w:pPr>
      <w:pStyle w:val="Footer"/>
    </w:pPr>
  </w:p>
  <w:p w:rsidR="0096121A" w:rsidRDefault="0096121A">
    <w:pPr>
      <w:pStyle w:val="Footer"/>
    </w:pPr>
    <w:r>
      <w:t>http://epp.eurostat.ec.europa.eu</w:t>
    </w:r>
  </w:p>
  <w:p w:rsidR="0096121A" w:rsidRDefault="0096121A">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7A" w:rsidRDefault="00BC5E7A" w:rsidP="00BC6AFE">
      <w:pPr>
        <w:spacing w:after="0"/>
      </w:pPr>
      <w:r>
        <w:separator/>
      </w:r>
    </w:p>
  </w:footnote>
  <w:footnote w:type="continuationSeparator" w:id="0">
    <w:p w:rsidR="00BC5E7A" w:rsidRDefault="00BC5E7A"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1A" w:rsidRDefault="0096121A">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A"/>
    <w:multiLevelType w:val="hybridMultilevel"/>
    <w:tmpl w:val="109CF92E"/>
    <w:lvl w:ilvl="0" w:tplc="FFFFFFFF">
      <w:start w:val="1"/>
      <w:numFmt w:val="bullet"/>
      <w:lvlText w:val="7"/>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DBB424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AF7E98"/>
    <w:multiLevelType w:val="hybridMultilevel"/>
    <w:tmpl w:val="DD1051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6"/>
  </w:num>
  <w:num w:numId="4">
    <w:abstractNumId w:val="17"/>
  </w:num>
  <w:num w:numId="5">
    <w:abstractNumId w:val="11"/>
  </w:num>
  <w:num w:numId="6">
    <w:abstractNumId w:val="10"/>
  </w:num>
  <w:num w:numId="7">
    <w:abstractNumId w:val="8"/>
  </w:num>
  <w:num w:numId="8">
    <w:abstractNumId w:val="7"/>
  </w:num>
  <w:num w:numId="9">
    <w:abstractNumId w:val="18"/>
  </w:num>
  <w:num w:numId="10">
    <w:abstractNumId w:val="20"/>
  </w:num>
  <w:num w:numId="11">
    <w:abstractNumId w:val="19"/>
  </w:num>
  <w:num w:numId="12">
    <w:abstractNumId w:val="21"/>
  </w:num>
  <w:num w:numId="13">
    <w:abstractNumId w:val="9"/>
  </w:num>
  <w:num w:numId="14">
    <w:abstractNumId w:val="12"/>
  </w:num>
  <w:num w:numId="15">
    <w:abstractNumId w:val="14"/>
  </w:num>
  <w:num w:numId="16">
    <w:abstractNumId w:val="13"/>
  </w:num>
  <w:num w:numId="17">
    <w:abstractNumId w:val="4"/>
  </w:num>
  <w:num w:numId="18">
    <w:abstractNumId w:val="15"/>
  </w:num>
  <w:num w:numId="19">
    <w:abstractNumId w:val="16"/>
  </w:num>
  <w:num w:numId="20">
    <w:abstractNumId w:val="6"/>
  </w:num>
  <w:num w:numId="21">
    <w:abstractNumId w:val="2"/>
  </w:num>
  <w:num w:numId="22">
    <w:abstractNumId w:val="5"/>
  </w:num>
  <w:num w:numId="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BC5E7A"/>
    <w:rsid w:val="000642A1"/>
    <w:rsid w:val="000F7438"/>
    <w:rsid w:val="00127067"/>
    <w:rsid w:val="0016635C"/>
    <w:rsid w:val="001815DA"/>
    <w:rsid w:val="00183536"/>
    <w:rsid w:val="001857CF"/>
    <w:rsid w:val="001B50CE"/>
    <w:rsid w:val="002012A8"/>
    <w:rsid w:val="00243A2C"/>
    <w:rsid w:val="00295C82"/>
    <w:rsid w:val="002D7D8A"/>
    <w:rsid w:val="00332D6F"/>
    <w:rsid w:val="003D30B8"/>
    <w:rsid w:val="00573E28"/>
    <w:rsid w:val="005B4EA5"/>
    <w:rsid w:val="005D30C0"/>
    <w:rsid w:val="005F4B44"/>
    <w:rsid w:val="006312AF"/>
    <w:rsid w:val="006875D6"/>
    <w:rsid w:val="006A6BC3"/>
    <w:rsid w:val="00794919"/>
    <w:rsid w:val="00820BDC"/>
    <w:rsid w:val="008847C3"/>
    <w:rsid w:val="008A75D0"/>
    <w:rsid w:val="008E29ED"/>
    <w:rsid w:val="00923850"/>
    <w:rsid w:val="00941FEA"/>
    <w:rsid w:val="0096121A"/>
    <w:rsid w:val="009A41E5"/>
    <w:rsid w:val="009B4EE0"/>
    <w:rsid w:val="00A17E8C"/>
    <w:rsid w:val="00AB4423"/>
    <w:rsid w:val="00B57EB9"/>
    <w:rsid w:val="00B9492F"/>
    <w:rsid w:val="00BC17F5"/>
    <w:rsid w:val="00BC5E7A"/>
    <w:rsid w:val="00BC6AFE"/>
    <w:rsid w:val="00D24082"/>
    <w:rsid w:val="00D52EA1"/>
    <w:rsid w:val="00DB601E"/>
    <w:rsid w:val="00DE3141"/>
    <w:rsid w:val="00EC0CBF"/>
    <w:rsid w:val="00EF3806"/>
    <w:rsid w:val="00F33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CBF"/>
    <w:pPr>
      <w:spacing w:after="160" w:line="259" w:lineRule="auto"/>
      <w:ind w:left="720"/>
      <w:contextualSpacing/>
      <w:jc w:val="left"/>
    </w:pPr>
    <w:rPr>
      <w:rFonts w:eastAsia="DengXian"/>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CBF"/>
    <w:pPr>
      <w:spacing w:after="160" w:line="259" w:lineRule="auto"/>
      <w:ind w:left="720"/>
      <w:contextualSpacing/>
      <w:jc w:val="left"/>
    </w:pPr>
    <w:rPr>
      <w:rFonts w:eastAsia="DengXian"/>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image" Target="media/image39.wmf"/><Relationship Id="rId97" Type="http://schemas.openxmlformats.org/officeDocument/2006/relationships/footer" Target="footer2.xml"/><Relationship Id="rId7" Type="http://schemas.microsoft.com/office/2007/relationships/stylesWithEffects" Target="stylesWithEffects.xml"/><Relationship Id="rId71" Type="http://schemas.openxmlformats.org/officeDocument/2006/relationships/image" Target="media/image30.wmf"/><Relationship Id="rId92" Type="http://schemas.openxmlformats.org/officeDocument/2006/relationships/oleObject" Target="embeddings/oleObject41.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numbering" Target="numbering.xml"/><Relationship Id="rId61" Type="http://schemas.openxmlformats.org/officeDocument/2006/relationships/image" Target="media/image25.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footer" Target="footer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settings" Target="settings.xml"/><Relationship Id="rId51" Type="http://schemas.openxmlformats.org/officeDocument/2006/relationships/image" Target="media/image20.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oleObject" Target="embeddings/oleObject18.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9.bin"/><Relationship Id="rId91" Type="http://schemas.openxmlformats.org/officeDocument/2006/relationships/image" Target="media/image40.wmf"/><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footnotes" Target="footnotes.xml"/><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P:\_a%20Old%20Dell%20LP%20documents\a97%20New%20folder\NTTS%202009%20-%20Mining%20the%20Big%20Data%20for%20Finite%20Population%20Inferen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82EE7F1E-41B0-4927-AA57-C2DAB993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 2009 - Mining the Big Data for Finite Population Inferences.dot</Template>
  <TotalTime>1</TotalTime>
  <Pages>4</Pages>
  <Words>959</Words>
  <Characters>5467</Characters>
  <Application>Microsoft Office Word</Application>
  <DocSecurity>0</DocSecurity>
  <PresentationFormat>Microsoft Word 14.0</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Siu-Ming Tam</dc:creator>
  <cp:keywords>EL4</cp:keywords>
  <cp:lastModifiedBy>Siu-Ming Tam</cp:lastModifiedBy>
  <cp:revision>1</cp:revision>
  <cp:lastPrinted>2018-05-29T02:06:00Z</cp:lastPrinted>
  <dcterms:created xsi:type="dcterms:W3CDTF">2018-09-07T09:46:00Z</dcterms:created>
  <dcterms:modified xsi:type="dcterms:W3CDTF">2018-09-07T09:47:00Z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TWinEqns">
    <vt:bool>true</vt:bool>
  </property>
</Properties>
</file>