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Default="006160C7" w:rsidP="00BC6AFE">
      <w:pPr>
        <w:pStyle w:val="Title"/>
      </w:pPr>
      <w:r>
        <w:rPr>
          <w:highlight w:val="yellow"/>
        </w:rPr>
        <w:t>Weighting adjustments using micro and macro auxiliary variables</w:t>
      </w:r>
    </w:p>
    <w:p w:rsidR="00243A2C" w:rsidRDefault="00243A2C" w:rsidP="00243A2C">
      <w:r w:rsidRPr="00243A2C">
        <w:rPr>
          <w:b/>
          <w:u w:val="single"/>
        </w:rPr>
        <w:t>Keywords</w:t>
      </w:r>
      <w:r w:rsidRPr="00243A2C">
        <w:rPr>
          <w:b/>
        </w:rPr>
        <w:t>:</w:t>
      </w:r>
      <w:r>
        <w:t xml:space="preserve"> </w:t>
      </w:r>
      <w:bookmarkStart w:id="0" w:name="_GoBack"/>
      <w:r w:rsidR="0070079C">
        <w:t xml:space="preserve">Response propensity weights, calibrated weights, confidentiality </w:t>
      </w:r>
      <w:bookmarkEnd w:id="0"/>
    </w:p>
    <w:p w:rsidR="002012A8" w:rsidRDefault="002012A8" w:rsidP="002012A8">
      <w:pPr>
        <w:pStyle w:val="Heading1"/>
      </w:pPr>
      <w:r>
        <w:t>Introduction</w:t>
      </w:r>
    </w:p>
    <w:p w:rsidR="00175F9B" w:rsidRDefault="0070079C" w:rsidP="00BC6AFE">
      <w:pPr>
        <w:rPr>
          <w:highlight w:val="yellow"/>
        </w:rPr>
      </w:pPr>
      <w:r>
        <w:rPr>
          <w:highlight w:val="yellow"/>
        </w:rPr>
        <w:t xml:space="preserve">Weights in sample surveys are necessary to create so that the parameters of the target population are possible to estimate without biases as well as possible. We here are considering both point estimates and interval estimates. </w:t>
      </w:r>
      <w:r w:rsidR="0069208F">
        <w:rPr>
          <w:highlight w:val="yellow"/>
        </w:rPr>
        <w:t xml:space="preserve">The bias is common for several reasons, due to nonresponse in particular. </w:t>
      </w:r>
      <w:r w:rsidR="008058BB">
        <w:rPr>
          <w:highlight w:val="yellow"/>
        </w:rPr>
        <w:t>It is also possible that the frame or the frames are low quality</w:t>
      </w:r>
      <w:r w:rsidR="00D90CF1">
        <w:rPr>
          <w:highlight w:val="yellow"/>
        </w:rPr>
        <w:t xml:space="preserve">. </w:t>
      </w:r>
      <w:r w:rsidR="00175F9B">
        <w:rPr>
          <w:highlight w:val="yellow"/>
        </w:rPr>
        <w:t xml:space="preserve">Currently estimates are often becoming more biased as earlier times since nonresponse has been worsening in all developed countries. </w:t>
      </w:r>
    </w:p>
    <w:p w:rsidR="00F26BD3" w:rsidRDefault="00175F9B" w:rsidP="00BC6AFE">
      <w:pPr>
        <w:rPr>
          <w:highlight w:val="yellow"/>
        </w:rPr>
      </w:pPr>
      <w:r>
        <w:rPr>
          <w:highlight w:val="yellow"/>
        </w:rPr>
        <w:t xml:space="preserve">This paper is focused on survey weights that can be created with several methods. Usually, the basic weights are </w:t>
      </w:r>
      <w:r w:rsidR="00F26BD3">
        <w:rPr>
          <w:highlight w:val="yellow"/>
        </w:rPr>
        <w:t xml:space="preserve">first </w:t>
      </w:r>
      <w:r>
        <w:rPr>
          <w:highlight w:val="yellow"/>
        </w:rPr>
        <w:t xml:space="preserve">created following the principles of the sampling design of the survey. Since there is a problem of unit nonresponse, it is needed to assume something about its characteristics. It is enough first </w:t>
      </w:r>
      <w:r w:rsidR="00E81C88">
        <w:rPr>
          <w:highlight w:val="yellow"/>
        </w:rPr>
        <w:t xml:space="preserve">to </w:t>
      </w:r>
      <w:r>
        <w:rPr>
          <w:highlight w:val="yellow"/>
        </w:rPr>
        <w:t>assume that unit nonresponse is ignorable. This assumption can be made over the whole data or separately by strata for example. This latter assumption leads to less biased estimates but it is good to continue</w:t>
      </w:r>
      <w:r w:rsidR="00E81C88">
        <w:rPr>
          <w:highlight w:val="yellow"/>
        </w:rPr>
        <w:t xml:space="preserve"> towards better adjusted weights</w:t>
      </w:r>
      <w:r>
        <w:rPr>
          <w:highlight w:val="yellow"/>
        </w:rPr>
        <w:t xml:space="preserve">. </w:t>
      </w:r>
    </w:p>
    <w:p w:rsidR="00904D74" w:rsidRDefault="00F26BD3" w:rsidP="00BC6AFE">
      <w:pPr>
        <w:rPr>
          <w:highlight w:val="yellow"/>
        </w:rPr>
      </w:pPr>
      <w:r>
        <w:rPr>
          <w:highlight w:val="yellow"/>
        </w:rPr>
        <w:t xml:space="preserve">There are many strategies to adjust the weights. The auxiliary variables have a big role in this work. </w:t>
      </w:r>
      <w:r w:rsidR="00772A1E">
        <w:rPr>
          <w:highlight w:val="yellow"/>
        </w:rPr>
        <w:t>They should be available both for the respondents and for the non-respondents</w:t>
      </w:r>
      <w:r w:rsidR="0036360A">
        <w:rPr>
          <w:highlight w:val="yellow"/>
        </w:rPr>
        <w:t xml:space="preserve"> (gross sample)</w:t>
      </w:r>
      <w:r w:rsidR="00772A1E">
        <w:rPr>
          <w:highlight w:val="yellow"/>
        </w:rPr>
        <w:t xml:space="preserve">. </w:t>
      </w:r>
      <w:r>
        <w:rPr>
          <w:highlight w:val="yellow"/>
        </w:rPr>
        <w:t xml:space="preserve">This paper presents the basic strategy for using auxiliary variables. To do it well, it is necessary to classify auxiliary variables into the </w:t>
      </w:r>
      <w:r w:rsidR="00600062">
        <w:rPr>
          <w:highlight w:val="yellow"/>
        </w:rPr>
        <w:t xml:space="preserve">two </w:t>
      </w:r>
      <w:r>
        <w:rPr>
          <w:highlight w:val="yellow"/>
        </w:rPr>
        <w:t>main groups: (i) macro auxiliary variables</w:t>
      </w:r>
      <w:r w:rsidR="0036360A">
        <w:rPr>
          <w:highlight w:val="yellow"/>
        </w:rPr>
        <w:t xml:space="preserve"> are aggregates and (ii) micro auxiliary variabl</w:t>
      </w:r>
      <w:r w:rsidR="00D90CF1">
        <w:rPr>
          <w:highlight w:val="yellow"/>
        </w:rPr>
        <w:t xml:space="preserve">es are for individuals of </w:t>
      </w:r>
      <w:r w:rsidR="0036360A">
        <w:rPr>
          <w:highlight w:val="yellow"/>
        </w:rPr>
        <w:t xml:space="preserve">the statistical units. Naturally, the categories of aggregates should be available in the complete gross sample. </w:t>
      </w:r>
    </w:p>
    <w:p w:rsidR="00AC01F6" w:rsidRDefault="00904D74" w:rsidP="00AC01F6">
      <w:pPr>
        <w:rPr>
          <w:highlight w:val="yellow"/>
        </w:rPr>
      </w:pPr>
      <w:r>
        <w:rPr>
          <w:highlight w:val="yellow"/>
        </w:rPr>
        <w:t xml:space="preserve">It is not common to exploit both types of auxiliary variables in Europe, as the case of the European Social Survey (ESS) shows. Such variables are understood to be important, but the traditions of many countries are too far </w:t>
      </w:r>
      <w:r w:rsidR="00D90CF1">
        <w:rPr>
          <w:highlight w:val="yellow"/>
        </w:rPr>
        <w:t>from</w:t>
      </w:r>
      <w:r>
        <w:rPr>
          <w:highlight w:val="yellow"/>
        </w:rPr>
        <w:t xml:space="preserve"> this. On the other hand, the countries with good registers can easily collect both micro and macro auxiliary variables.</w:t>
      </w:r>
      <w:r w:rsidR="000C004B">
        <w:rPr>
          <w:highlight w:val="yellow"/>
        </w:rPr>
        <w:t xml:space="preserve"> A big question </w:t>
      </w:r>
      <w:r w:rsidR="00007A36">
        <w:rPr>
          <w:highlight w:val="yellow"/>
        </w:rPr>
        <w:t>is confidentiality</w:t>
      </w:r>
      <w:r w:rsidR="00007A36">
        <w:rPr>
          <w:highlight w:val="yellow"/>
        </w:rPr>
        <w:t xml:space="preserve"> when getting</w:t>
      </w:r>
      <w:r w:rsidR="000C004B">
        <w:rPr>
          <w:highlight w:val="yellow"/>
        </w:rPr>
        <w:t xml:space="preserve"> auxiliary variables for research purposes including weighting adjustments. </w:t>
      </w:r>
      <w:r w:rsidR="00007A36">
        <w:rPr>
          <w:highlight w:val="yellow"/>
        </w:rPr>
        <w:t xml:space="preserve">This is more demanding for micro auxiliary variables. </w:t>
      </w:r>
      <w:r w:rsidR="00563CDA">
        <w:rPr>
          <w:highlight w:val="yellow"/>
        </w:rPr>
        <w:t>The permission to use such variables is not possible to get from the non-respondents. Hence, the too strict data owner cannot give such necessary information for quality or weighting adjustment purposes. It would mean that the macro auxiliary</w:t>
      </w:r>
      <w:r w:rsidR="00C75890">
        <w:rPr>
          <w:highlight w:val="yellow"/>
        </w:rPr>
        <w:t xml:space="preserve"> variables </w:t>
      </w:r>
      <w:r w:rsidR="00563CDA">
        <w:rPr>
          <w:highlight w:val="yellow"/>
        </w:rPr>
        <w:t>only might be tried. It is not still automatic, since macro information m</w:t>
      </w:r>
      <w:r w:rsidR="00C75890">
        <w:rPr>
          <w:highlight w:val="yellow"/>
        </w:rPr>
        <w:t>ay</w:t>
      </w:r>
      <w:r w:rsidR="00AC01F6">
        <w:rPr>
          <w:highlight w:val="yellow"/>
        </w:rPr>
        <w:t xml:space="preserve"> </w:t>
      </w:r>
      <w:r w:rsidR="00563CDA">
        <w:rPr>
          <w:highlight w:val="yellow"/>
        </w:rPr>
        <w:t>still concern small groups and individuals can be recognised</w:t>
      </w:r>
      <w:r w:rsidR="00C75890">
        <w:rPr>
          <w:highlight w:val="yellow"/>
        </w:rPr>
        <w:t xml:space="preserve"> respectively</w:t>
      </w:r>
      <w:r w:rsidR="00563CDA">
        <w:rPr>
          <w:highlight w:val="yellow"/>
        </w:rPr>
        <w:t xml:space="preserve">. </w:t>
      </w:r>
      <w:r w:rsidR="00AC01F6">
        <w:rPr>
          <w:highlight w:val="yellow"/>
        </w:rPr>
        <w:t>O</w:t>
      </w:r>
      <w:r w:rsidR="00A8294C">
        <w:rPr>
          <w:highlight w:val="yellow"/>
        </w:rPr>
        <w:t>ur aim to show how good are some survey estimates when using following auxiliary variables</w:t>
      </w:r>
      <w:r w:rsidR="00265BC3">
        <w:rPr>
          <w:highlight w:val="yellow"/>
        </w:rPr>
        <w:t>.</w:t>
      </w:r>
      <w:r w:rsidR="00AC01F6">
        <w:rPr>
          <w:highlight w:val="yellow"/>
        </w:rPr>
        <w:t xml:space="preserve"> </w:t>
      </w:r>
    </w:p>
    <w:p w:rsidR="00A8294C" w:rsidRPr="00AC01F6" w:rsidRDefault="00A8294C" w:rsidP="00AC01F6">
      <w:pPr>
        <w:pStyle w:val="ListParagraph"/>
        <w:numPr>
          <w:ilvl w:val="0"/>
          <w:numId w:val="21"/>
        </w:numPr>
        <w:rPr>
          <w:highlight w:val="yellow"/>
        </w:rPr>
      </w:pPr>
      <w:r w:rsidRPr="00AC01F6">
        <w:rPr>
          <w:highlight w:val="yellow"/>
        </w:rPr>
        <w:t>No auxiliary variables that is basic weights only</w:t>
      </w:r>
    </w:p>
    <w:p w:rsidR="00A8294C" w:rsidRDefault="00A8294C" w:rsidP="00A8294C">
      <w:pPr>
        <w:pStyle w:val="ListParagraph"/>
        <w:numPr>
          <w:ilvl w:val="0"/>
          <w:numId w:val="21"/>
        </w:numPr>
        <w:rPr>
          <w:highlight w:val="yellow"/>
        </w:rPr>
      </w:pPr>
      <w:r>
        <w:rPr>
          <w:highlight w:val="yellow"/>
        </w:rPr>
        <w:t xml:space="preserve">Macro auxiliary variables only, that is, </w:t>
      </w:r>
      <w:r w:rsidR="00687EBC">
        <w:rPr>
          <w:highlight w:val="yellow"/>
        </w:rPr>
        <w:t xml:space="preserve">for </w:t>
      </w:r>
      <w:r>
        <w:rPr>
          <w:highlight w:val="yellow"/>
        </w:rPr>
        <w:t>calibrated weights</w:t>
      </w:r>
    </w:p>
    <w:p w:rsidR="00A8294C" w:rsidRDefault="00A8294C" w:rsidP="00A8294C">
      <w:pPr>
        <w:pStyle w:val="ListParagraph"/>
        <w:numPr>
          <w:ilvl w:val="0"/>
          <w:numId w:val="21"/>
        </w:numPr>
        <w:rPr>
          <w:highlight w:val="yellow"/>
        </w:rPr>
      </w:pPr>
      <w:r>
        <w:rPr>
          <w:highlight w:val="yellow"/>
        </w:rPr>
        <w:t>Micro auxiliary variables, that is, response propensity weights</w:t>
      </w:r>
    </w:p>
    <w:p w:rsidR="00904D74" w:rsidRDefault="00A8294C" w:rsidP="00A8294C">
      <w:pPr>
        <w:pStyle w:val="ListParagraph"/>
        <w:numPr>
          <w:ilvl w:val="0"/>
          <w:numId w:val="21"/>
        </w:numPr>
        <w:rPr>
          <w:highlight w:val="yellow"/>
        </w:rPr>
      </w:pPr>
      <w:r>
        <w:rPr>
          <w:highlight w:val="yellow"/>
        </w:rPr>
        <w:t>Macro auxiliary variables using response propensity weights</w:t>
      </w:r>
      <w:r w:rsidR="00904D74" w:rsidRPr="00A8294C">
        <w:rPr>
          <w:highlight w:val="yellow"/>
        </w:rPr>
        <w:t xml:space="preserve"> </w:t>
      </w:r>
    </w:p>
    <w:p w:rsidR="009B024E" w:rsidRDefault="009B024E" w:rsidP="009B024E">
      <w:pPr>
        <w:pStyle w:val="ListParagraph"/>
        <w:numPr>
          <w:ilvl w:val="0"/>
          <w:numId w:val="21"/>
        </w:numPr>
        <w:rPr>
          <w:highlight w:val="yellow"/>
        </w:rPr>
      </w:pPr>
      <w:r>
        <w:rPr>
          <w:highlight w:val="yellow"/>
        </w:rPr>
        <w:t>Micro auxiliary variables using response propensity weights followed by macro auxiliary variables using calibration.</w:t>
      </w:r>
    </w:p>
    <w:p w:rsidR="00D926E8" w:rsidRPr="00D926E8" w:rsidRDefault="00D926E8" w:rsidP="00D926E8">
      <w:pPr>
        <w:ind w:left="360"/>
        <w:rPr>
          <w:highlight w:val="yellow"/>
        </w:rPr>
      </w:pPr>
      <w:r>
        <w:rPr>
          <w:highlight w:val="yellow"/>
        </w:rPr>
        <w:t xml:space="preserve">Our exercise </w:t>
      </w:r>
      <w:r w:rsidR="00D85BC4">
        <w:rPr>
          <w:highlight w:val="yellow"/>
        </w:rPr>
        <w:t>is</w:t>
      </w:r>
      <w:r>
        <w:rPr>
          <w:highlight w:val="yellow"/>
        </w:rPr>
        <w:t xml:space="preserve"> based on empirical survey data that resem</w:t>
      </w:r>
      <w:r w:rsidR="00737070">
        <w:rPr>
          <w:highlight w:val="yellow"/>
        </w:rPr>
        <w:t>b</w:t>
      </w:r>
      <w:r>
        <w:rPr>
          <w:highlight w:val="yellow"/>
        </w:rPr>
        <w:t>les the European Social Survey but it is here artificial created by the author.</w:t>
      </w:r>
      <w:r w:rsidR="003953D6">
        <w:rPr>
          <w:highlight w:val="yellow"/>
        </w:rPr>
        <w:t xml:space="preserve"> </w:t>
      </w:r>
      <w:r w:rsidR="00743D1B">
        <w:rPr>
          <w:highlight w:val="yellow"/>
        </w:rPr>
        <w:t xml:space="preserve">We describe our data in section 2. </w:t>
      </w:r>
      <w:r w:rsidR="00743D1B">
        <w:rPr>
          <w:highlight w:val="yellow"/>
        </w:rPr>
        <w:lastRenderedPageBreak/>
        <w:t>The following section</w:t>
      </w:r>
      <w:r w:rsidR="003D713C">
        <w:rPr>
          <w:highlight w:val="yellow"/>
        </w:rPr>
        <w:t xml:space="preserve"> includes our weighting methodologies. Then we present the results for the weights and estimates for one variable, that is, for happiness. The results for other variables have similar </w:t>
      </w:r>
      <w:r w:rsidR="00D85BC4">
        <w:rPr>
          <w:highlight w:val="yellow"/>
        </w:rPr>
        <w:t>profiles</w:t>
      </w:r>
      <w:r w:rsidR="003D713C">
        <w:rPr>
          <w:highlight w:val="yellow"/>
        </w:rPr>
        <w:t xml:space="preserve"> but the room of this paper does </w:t>
      </w:r>
      <w:r w:rsidR="00D85BC4">
        <w:rPr>
          <w:highlight w:val="yellow"/>
        </w:rPr>
        <w:t xml:space="preserve">not </w:t>
      </w:r>
      <w:r w:rsidR="003D713C">
        <w:rPr>
          <w:highlight w:val="yellow"/>
        </w:rPr>
        <w:t xml:space="preserve">give opportunity to present them. The last session concludes.  </w:t>
      </w:r>
      <w:r w:rsidR="00743D1B">
        <w:rPr>
          <w:highlight w:val="yellow"/>
        </w:rPr>
        <w:t xml:space="preserve"> </w:t>
      </w:r>
      <w:r>
        <w:rPr>
          <w:highlight w:val="yellow"/>
        </w:rPr>
        <w:t xml:space="preserve"> </w:t>
      </w:r>
    </w:p>
    <w:p w:rsidR="00BC6AFE" w:rsidRDefault="00C674BC" w:rsidP="00BC6AFE">
      <w:pPr>
        <w:pStyle w:val="Heading1"/>
      </w:pPr>
      <w:r>
        <w:t xml:space="preserve">Test </w:t>
      </w:r>
      <w:r w:rsidR="00737070">
        <w:t xml:space="preserve">Sample Data </w:t>
      </w:r>
    </w:p>
    <w:p w:rsidR="00112131" w:rsidRDefault="00521224" w:rsidP="00BC6AFE">
      <w:pPr>
        <w:rPr>
          <w:highlight w:val="yellow"/>
        </w:rPr>
      </w:pPr>
      <w:r>
        <w:rPr>
          <w:highlight w:val="yellow"/>
        </w:rPr>
        <w:t>The gross sample data of the European Social Survey (ESS) is confidential for the outsiders but the author of this paper w</w:t>
      </w:r>
      <w:r w:rsidR="003953D6">
        <w:rPr>
          <w:highlight w:val="yellow"/>
        </w:rPr>
        <w:t>as</w:t>
      </w:r>
      <w:r>
        <w:rPr>
          <w:highlight w:val="yellow"/>
        </w:rPr>
        <w:t xml:space="preserve"> able to use such data to create the synthetic data file</w:t>
      </w:r>
      <w:r w:rsidR="00D85BC4">
        <w:rPr>
          <w:highlight w:val="yellow"/>
        </w:rPr>
        <w:t xml:space="preserve"> ([1])</w:t>
      </w:r>
      <w:r>
        <w:rPr>
          <w:highlight w:val="yellow"/>
        </w:rPr>
        <w:t xml:space="preserve">. Its gross sample size is </w:t>
      </w:r>
      <w:r w:rsidR="00112131">
        <w:rPr>
          <w:highlight w:val="yellow"/>
        </w:rPr>
        <w:t xml:space="preserve">4598 and </w:t>
      </w:r>
      <w:r w:rsidR="00364DB2">
        <w:rPr>
          <w:highlight w:val="yellow"/>
        </w:rPr>
        <w:t xml:space="preserve">the </w:t>
      </w:r>
      <w:r w:rsidR="00112131">
        <w:rPr>
          <w:highlight w:val="yellow"/>
        </w:rPr>
        <w:t xml:space="preserve">net sample </w:t>
      </w:r>
      <w:r w:rsidR="00354DED">
        <w:rPr>
          <w:highlight w:val="yellow"/>
        </w:rPr>
        <w:t>respective</w:t>
      </w:r>
      <w:r w:rsidR="00364DB2">
        <w:rPr>
          <w:highlight w:val="yellow"/>
        </w:rPr>
        <w:t>ly</w:t>
      </w:r>
      <w:r w:rsidR="00354DED">
        <w:rPr>
          <w:highlight w:val="yellow"/>
        </w:rPr>
        <w:t xml:space="preserve"> </w:t>
      </w:r>
      <w:r w:rsidR="00112131">
        <w:rPr>
          <w:highlight w:val="yellow"/>
        </w:rPr>
        <w:t>2178 meaning that the unit nonresponse rate is 47.3 per cent. This is quite close to the average rate of the ESS, and thus rather low. The target population size is nearly 20 million which size of the country does not exist. Our data thus are used for testing weightings and it is not necessary to know the</w:t>
      </w:r>
      <w:r w:rsidR="000339D5">
        <w:rPr>
          <w:highlight w:val="yellow"/>
        </w:rPr>
        <w:t xml:space="preserve"> aggregate</w:t>
      </w:r>
      <w:r w:rsidR="00112131">
        <w:rPr>
          <w:highlight w:val="yellow"/>
        </w:rPr>
        <w:t xml:space="preserve"> characteristics of the target population.</w:t>
      </w:r>
    </w:p>
    <w:p w:rsidR="00C674BC" w:rsidRDefault="00112131" w:rsidP="00BC6AFE">
      <w:pPr>
        <w:rPr>
          <w:highlight w:val="yellow"/>
        </w:rPr>
      </w:pPr>
      <w:r>
        <w:rPr>
          <w:highlight w:val="yellow"/>
        </w:rPr>
        <w:t xml:space="preserve">The sample design of the test data is also some type of </w:t>
      </w:r>
      <w:r w:rsidR="006C1051">
        <w:rPr>
          <w:highlight w:val="yellow"/>
        </w:rPr>
        <w:t xml:space="preserve">a </w:t>
      </w:r>
      <w:r>
        <w:rPr>
          <w:highlight w:val="yellow"/>
        </w:rPr>
        <w:t>compromise of the ESS. We call it two-domain design that is used in some countries so that stratified simple random sampling is used in urban areas where the interviewers have short distances from one place to next</w:t>
      </w:r>
      <w:r w:rsidR="00354DED">
        <w:rPr>
          <w:highlight w:val="yellow"/>
        </w:rPr>
        <w:t xml:space="preserve"> to contact potential respondents</w:t>
      </w:r>
      <w:r>
        <w:rPr>
          <w:highlight w:val="yellow"/>
        </w:rPr>
        <w:t xml:space="preserve">. Respectively, the sampling of the rural is stratified two-stage cluster design that is common in many countries. </w:t>
      </w:r>
      <w:r w:rsidR="003B6603">
        <w:rPr>
          <w:highlight w:val="yellow"/>
        </w:rPr>
        <w:t>We do not here concentrate on the sampling design in details. The basic weights were created so that nonresponse varies by eight strata but is random with</w:t>
      </w:r>
      <w:r w:rsidR="00EE2ADF">
        <w:rPr>
          <w:highlight w:val="yellow"/>
        </w:rPr>
        <w:t>in</w:t>
      </w:r>
      <w:r w:rsidR="003B6603">
        <w:rPr>
          <w:highlight w:val="yellow"/>
        </w:rPr>
        <w:t xml:space="preserve"> </w:t>
      </w:r>
      <w:r w:rsidR="00354DED">
        <w:rPr>
          <w:highlight w:val="yellow"/>
        </w:rPr>
        <w:t xml:space="preserve">each </w:t>
      </w:r>
      <w:r w:rsidR="003B6603">
        <w:rPr>
          <w:highlight w:val="yellow"/>
        </w:rPr>
        <w:t>strat</w:t>
      </w:r>
      <w:r w:rsidR="00354DED">
        <w:rPr>
          <w:highlight w:val="yellow"/>
        </w:rPr>
        <w:t>um</w:t>
      </w:r>
      <w:r w:rsidR="003B6603">
        <w:rPr>
          <w:highlight w:val="yellow"/>
        </w:rPr>
        <w:t xml:space="preserve"> (</w:t>
      </w:r>
      <w:r w:rsidR="003B6603">
        <w:rPr>
          <w:noProof/>
          <w:highlight w:val="yellow"/>
        </w:rPr>
        <w:t>ignorability</w:t>
      </w:r>
      <w:r w:rsidR="003B6603">
        <w:rPr>
          <w:highlight w:val="yellow"/>
        </w:rPr>
        <w:t>).</w:t>
      </w:r>
    </w:p>
    <w:p w:rsidR="00EE2ADF" w:rsidRDefault="00EE2ADF" w:rsidP="00BC6AFE">
      <w:pPr>
        <w:rPr>
          <w:highlight w:val="yellow"/>
        </w:rPr>
      </w:pPr>
      <w:r>
        <w:rPr>
          <w:highlight w:val="yellow"/>
        </w:rPr>
        <w:t>Our gross sample data include many micro auxiliary variables: gender, age (we used 10-year and 5-year age groups), education (6 categories), income (ten deciles), region, household size, household members below 15 years, citizenship, marital status; stratum can be considered as an auxiliary variable as well. All these thus are micro auxiliary variables but we created from those the following macro auxiliary variables too:</w:t>
      </w:r>
    </w:p>
    <w:p w:rsidR="007141E7" w:rsidRPr="00C77F5B" w:rsidRDefault="007141E7" w:rsidP="008C5112">
      <w:pPr>
        <w:pStyle w:val="ListParagraph"/>
        <w:numPr>
          <w:ilvl w:val="0"/>
          <w:numId w:val="27"/>
        </w:numPr>
        <w:spacing w:after="0"/>
        <w:ind w:left="357" w:hanging="357"/>
        <w:rPr>
          <w:highlight w:val="yellow"/>
        </w:rPr>
      </w:pPr>
      <w:r w:rsidRPr="00C77F5B">
        <w:rPr>
          <w:highlight w:val="yellow"/>
        </w:rPr>
        <w:t xml:space="preserve">Target population sizes by stratum, gender, age group, education, income. These macro variables were used as calibration margins. Note that stratum is important to include there, otherwise it is not guaranteed that these will be remained correct after calibration. </w:t>
      </w:r>
      <w:r w:rsidR="00354DED" w:rsidRPr="00C77F5B">
        <w:rPr>
          <w:highlight w:val="yellow"/>
        </w:rPr>
        <w:t xml:space="preserve">We tested various categorizations for these variables but we do not present all results. For example, since </w:t>
      </w:r>
      <w:r w:rsidR="00265BC3" w:rsidRPr="00C77F5B">
        <w:rPr>
          <w:highlight w:val="yellow"/>
        </w:rPr>
        <w:t xml:space="preserve">the age groups with 5 year intervals and 10 year intervals give rather similar results, we present the 10 year groups only. On the other hand, we found that income and education groups lead </w:t>
      </w:r>
      <w:r w:rsidR="00182A39">
        <w:rPr>
          <w:highlight w:val="yellow"/>
        </w:rPr>
        <w:t xml:space="preserve">to </w:t>
      </w:r>
      <w:r w:rsidR="00265BC3" w:rsidRPr="00C77F5B">
        <w:rPr>
          <w:highlight w:val="yellow"/>
        </w:rPr>
        <w:t xml:space="preserve">quite similar results: hence our calibration margins are only for education since its impact is more significant. It means </w:t>
      </w:r>
      <w:r w:rsidR="008E4092" w:rsidRPr="00C77F5B">
        <w:rPr>
          <w:highlight w:val="yellow"/>
        </w:rPr>
        <w:t>that our calibration margins are as follows: 8 strata, 2 genders, 8 age groups</w:t>
      </w:r>
      <w:r w:rsidR="001B494F" w:rsidRPr="00C77F5B">
        <w:rPr>
          <w:highlight w:val="yellow"/>
        </w:rPr>
        <w:t xml:space="preserve"> and</w:t>
      </w:r>
      <w:r w:rsidR="008E4092" w:rsidRPr="00C77F5B">
        <w:rPr>
          <w:highlight w:val="yellow"/>
        </w:rPr>
        <w:t xml:space="preserve"> 6 education groups.  </w:t>
      </w:r>
      <w:r w:rsidR="00265BC3" w:rsidRPr="00C77F5B">
        <w:rPr>
          <w:highlight w:val="yellow"/>
        </w:rPr>
        <w:t xml:space="preserve"> </w:t>
      </w:r>
      <w:r w:rsidR="00354DED" w:rsidRPr="00C77F5B">
        <w:rPr>
          <w:highlight w:val="yellow"/>
        </w:rPr>
        <w:t xml:space="preserve">  </w:t>
      </w:r>
    </w:p>
    <w:p w:rsidR="00625641" w:rsidRPr="00C77F5B" w:rsidRDefault="007141E7" w:rsidP="008C5112">
      <w:pPr>
        <w:pStyle w:val="ListParagraph"/>
        <w:numPr>
          <w:ilvl w:val="0"/>
          <w:numId w:val="27"/>
        </w:numPr>
        <w:spacing w:after="0"/>
        <w:ind w:left="357" w:hanging="357"/>
        <w:rPr>
          <w:highlight w:val="yellow"/>
        </w:rPr>
      </w:pPr>
      <w:r w:rsidRPr="00C77F5B">
        <w:rPr>
          <w:highlight w:val="yellow"/>
        </w:rPr>
        <w:t xml:space="preserve">The second macro auxiliary variable type in our exercise is created from the same variables as </w:t>
      </w:r>
      <w:r w:rsidR="0002523A">
        <w:rPr>
          <w:highlight w:val="yellow"/>
        </w:rPr>
        <w:t>group a)</w:t>
      </w:r>
      <w:r w:rsidRPr="00C77F5B">
        <w:rPr>
          <w:highlight w:val="yellow"/>
        </w:rPr>
        <w:t xml:space="preserve"> but now the relative frequencies of each cat</w:t>
      </w:r>
      <w:r w:rsidR="0080576B" w:rsidRPr="00C77F5B">
        <w:rPr>
          <w:highlight w:val="yellow"/>
        </w:rPr>
        <w:t xml:space="preserve">egory were used (e.g. by gender </w:t>
      </w:r>
      <w:r w:rsidRPr="00C77F5B">
        <w:rPr>
          <w:highlight w:val="yellow"/>
        </w:rPr>
        <w:t>or education).</w:t>
      </w:r>
      <w:r w:rsidR="00625641" w:rsidRPr="00C77F5B">
        <w:rPr>
          <w:highlight w:val="yellow"/>
        </w:rPr>
        <w:t xml:space="preserve"> These auxiliary variables were used in response propensity weighting. We thus </w:t>
      </w:r>
      <w:r w:rsidR="004960A5" w:rsidRPr="00C77F5B">
        <w:rPr>
          <w:highlight w:val="yellow"/>
        </w:rPr>
        <w:t xml:space="preserve">use </w:t>
      </w:r>
      <w:r w:rsidR="00625641" w:rsidRPr="00C77F5B">
        <w:rPr>
          <w:highlight w:val="yellow"/>
        </w:rPr>
        <w:t xml:space="preserve">these same variables as </w:t>
      </w:r>
      <w:r w:rsidR="004960A5" w:rsidRPr="00C77F5B">
        <w:rPr>
          <w:highlight w:val="yellow"/>
        </w:rPr>
        <w:t xml:space="preserve">both </w:t>
      </w:r>
      <w:r w:rsidR="00625641" w:rsidRPr="00C77F5B">
        <w:rPr>
          <w:highlight w:val="yellow"/>
        </w:rPr>
        <w:t>micro auxiliary variables and macro variables</w:t>
      </w:r>
      <w:r w:rsidR="004960A5" w:rsidRPr="00C77F5B">
        <w:rPr>
          <w:highlight w:val="yellow"/>
        </w:rPr>
        <w:t xml:space="preserve"> but their form is different.</w:t>
      </w:r>
      <w:r w:rsidR="00625641" w:rsidRPr="00C77F5B">
        <w:rPr>
          <w:highlight w:val="yellow"/>
        </w:rPr>
        <w:t xml:space="preserve"> </w:t>
      </w:r>
    </w:p>
    <w:p w:rsidR="0083612F" w:rsidRDefault="0083612F" w:rsidP="0083612F">
      <w:pPr>
        <w:pStyle w:val="Heading1"/>
      </w:pPr>
      <w:r>
        <w:t>Methodologies</w:t>
      </w:r>
    </w:p>
    <w:p w:rsidR="003B6603" w:rsidRDefault="0083612F" w:rsidP="00BC6AFE">
      <w:pPr>
        <w:rPr>
          <w:highlight w:val="yellow"/>
        </w:rPr>
      </w:pPr>
      <w:r>
        <w:rPr>
          <w:highlight w:val="yellow"/>
        </w:rPr>
        <w:t>We already explained the creation of the basic weights. It is possible to continue from these weights straightforwardly to calibration</w:t>
      </w:r>
      <w:r w:rsidR="00B41C1E">
        <w:rPr>
          <w:highlight w:val="yellow"/>
        </w:rPr>
        <w:t xml:space="preserve"> ([</w:t>
      </w:r>
      <w:r w:rsidR="00CF6940">
        <w:rPr>
          <w:highlight w:val="yellow"/>
        </w:rPr>
        <w:t>2</w:t>
      </w:r>
      <w:r w:rsidR="00B41C1E">
        <w:rPr>
          <w:highlight w:val="yellow"/>
        </w:rPr>
        <w:t>], [</w:t>
      </w:r>
      <w:r w:rsidR="00CF6940">
        <w:rPr>
          <w:highlight w:val="yellow"/>
        </w:rPr>
        <w:t>3</w:t>
      </w:r>
      <w:r w:rsidR="00B41C1E">
        <w:rPr>
          <w:highlight w:val="yellow"/>
        </w:rPr>
        <w:t>])</w:t>
      </w:r>
      <w:r>
        <w:rPr>
          <w:highlight w:val="yellow"/>
        </w:rPr>
        <w:t xml:space="preserve">. This strategy means that any micro auxiliary variables are not used, and if these macro variables are confidentially done, we can forget such problems. It is not however sure that the estimates are best possible ones. </w:t>
      </w:r>
    </w:p>
    <w:p w:rsidR="0083612F" w:rsidRDefault="0083612F" w:rsidP="00BC6AFE">
      <w:pPr>
        <w:rPr>
          <w:highlight w:val="yellow"/>
        </w:rPr>
      </w:pPr>
      <w:r>
        <w:rPr>
          <w:highlight w:val="yellow"/>
        </w:rPr>
        <w:lastRenderedPageBreak/>
        <w:t xml:space="preserve">The better weights can be expected to get if </w:t>
      </w:r>
      <w:r w:rsidR="00C01268">
        <w:rPr>
          <w:highlight w:val="yellow"/>
        </w:rPr>
        <w:t>the response propensity weights</w:t>
      </w:r>
      <w:r w:rsidR="00CF6940">
        <w:rPr>
          <w:highlight w:val="yellow"/>
        </w:rPr>
        <w:t>,</w:t>
      </w:r>
      <w:r w:rsidR="00C01268">
        <w:rPr>
          <w:highlight w:val="yellow"/>
        </w:rPr>
        <w:t xml:space="preserve"> either real micro auxiliary variables or macro variables (group b) above)</w:t>
      </w:r>
      <w:r w:rsidR="00CF6940">
        <w:rPr>
          <w:highlight w:val="yellow"/>
        </w:rPr>
        <w:t>,</w:t>
      </w:r>
      <w:r w:rsidR="00C01268">
        <w:rPr>
          <w:highlight w:val="yellow"/>
        </w:rPr>
        <w:t xml:space="preserve"> are used before calibration</w:t>
      </w:r>
      <w:r w:rsidR="00B41C1E">
        <w:rPr>
          <w:highlight w:val="yellow"/>
        </w:rPr>
        <w:t xml:space="preserve"> ([</w:t>
      </w:r>
      <w:r w:rsidR="00CF6940">
        <w:rPr>
          <w:highlight w:val="yellow"/>
        </w:rPr>
        <w:t>1</w:t>
      </w:r>
      <w:r w:rsidR="00B41C1E">
        <w:rPr>
          <w:highlight w:val="yellow"/>
        </w:rPr>
        <w:t>]</w:t>
      </w:r>
      <w:r w:rsidR="00304ECB">
        <w:rPr>
          <w:highlight w:val="yellow"/>
        </w:rPr>
        <w:t>, [4}</w:t>
      </w:r>
      <w:r w:rsidR="00B41C1E">
        <w:rPr>
          <w:highlight w:val="yellow"/>
        </w:rPr>
        <w:t>)</w:t>
      </w:r>
      <w:r w:rsidR="00C01268">
        <w:rPr>
          <w:highlight w:val="yellow"/>
        </w:rPr>
        <w:t xml:space="preserve">. </w:t>
      </w:r>
      <w:r w:rsidR="00CF6940">
        <w:rPr>
          <w:highlight w:val="yellow"/>
        </w:rPr>
        <w:t xml:space="preserve">Our conclusion earlier </w:t>
      </w:r>
      <w:r w:rsidR="0002523A">
        <w:rPr>
          <w:highlight w:val="yellow"/>
        </w:rPr>
        <w:t>is</w:t>
      </w:r>
      <w:r w:rsidR="00CF6940">
        <w:rPr>
          <w:highlight w:val="yellow"/>
        </w:rPr>
        <w:t xml:space="preserve"> that </w:t>
      </w:r>
      <w:r w:rsidR="00C01268">
        <w:rPr>
          <w:highlight w:val="yellow"/>
        </w:rPr>
        <w:t>calibration is good to keep as the last method in weighting</w:t>
      </w:r>
      <w:r w:rsidR="00CF6940">
        <w:rPr>
          <w:highlight w:val="yellow"/>
        </w:rPr>
        <w:t xml:space="preserve"> but not necessarily </w:t>
      </w:r>
      <w:r w:rsidR="0002523A">
        <w:rPr>
          <w:highlight w:val="yellow"/>
        </w:rPr>
        <w:t xml:space="preserve">as </w:t>
      </w:r>
      <w:r w:rsidR="00CF6940">
        <w:rPr>
          <w:highlight w:val="yellow"/>
        </w:rPr>
        <w:t>the only adjusted method</w:t>
      </w:r>
      <w:r w:rsidR="00C01268">
        <w:rPr>
          <w:highlight w:val="yellow"/>
        </w:rPr>
        <w:t xml:space="preserve">. It is not however clear which calibration margins and how many are good to use. A problem is also the calibration method itself. It has been found that linear calibration may lead to negative or other undesirable weights and hence this method </w:t>
      </w:r>
      <w:r w:rsidR="00CF4669">
        <w:rPr>
          <w:highlight w:val="yellow"/>
        </w:rPr>
        <w:t>cann</w:t>
      </w:r>
      <w:r w:rsidR="00C01268">
        <w:rPr>
          <w:highlight w:val="yellow"/>
        </w:rPr>
        <w:t>ot be used</w:t>
      </w:r>
      <w:r w:rsidR="00CF4669">
        <w:rPr>
          <w:highlight w:val="yellow"/>
        </w:rPr>
        <w:t xml:space="preserve"> always.</w:t>
      </w:r>
      <w:r w:rsidR="00C01268">
        <w:rPr>
          <w:highlight w:val="yellow"/>
        </w:rPr>
        <w:t xml:space="preserve"> Such bad weights are found to be more common if too many calibration categories are tried. Our recommendation is to select a few calibration margins such that are well known (e.g. gender, age group)</w:t>
      </w:r>
      <w:r w:rsidR="00CF4669">
        <w:rPr>
          <w:highlight w:val="yellow"/>
        </w:rPr>
        <w:t xml:space="preserve">. If </w:t>
      </w:r>
      <w:r w:rsidR="00C01268">
        <w:rPr>
          <w:highlight w:val="yellow"/>
        </w:rPr>
        <w:t>they</w:t>
      </w:r>
      <w:r w:rsidR="00F21009">
        <w:rPr>
          <w:highlight w:val="yellow"/>
        </w:rPr>
        <w:t xml:space="preserve"> do</w:t>
      </w:r>
      <w:r w:rsidR="00C01268">
        <w:rPr>
          <w:highlight w:val="yellow"/>
        </w:rPr>
        <w:t xml:space="preserve"> not </w:t>
      </w:r>
      <w:r w:rsidR="00CF4669">
        <w:rPr>
          <w:highlight w:val="yellow"/>
        </w:rPr>
        <w:t xml:space="preserve">lead to </w:t>
      </w:r>
      <w:r w:rsidR="00C01268">
        <w:rPr>
          <w:highlight w:val="yellow"/>
        </w:rPr>
        <w:t xml:space="preserve">correct </w:t>
      </w:r>
      <w:r w:rsidR="00CF4669">
        <w:rPr>
          <w:highlight w:val="yellow"/>
        </w:rPr>
        <w:t>e</w:t>
      </w:r>
      <w:r w:rsidR="00C01268">
        <w:rPr>
          <w:highlight w:val="yellow"/>
        </w:rPr>
        <w:t>stima</w:t>
      </w:r>
      <w:r w:rsidR="00CF4669">
        <w:rPr>
          <w:highlight w:val="yellow"/>
        </w:rPr>
        <w:t>tes,</w:t>
      </w:r>
      <w:r w:rsidR="00C01268">
        <w:rPr>
          <w:highlight w:val="yellow"/>
        </w:rPr>
        <w:t xml:space="preserve"> the whole survey results might </w:t>
      </w:r>
      <w:r w:rsidR="00B06984">
        <w:rPr>
          <w:highlight w:val="yellow"/>
        </w:rPr>
        <w:t xml:space="preserve">not </w:t>
      </w:r>
      <w:r w:rsidR="00C01268">
        <w:rPr>
          <w:highlight w:val="yellow"/>
        </w:rPr>
        <w:t xml:space="preserve">be </w:t>
      </w:r>
      <w:r w:rsidR="00B06984">
        <w:rPr>
          <w:highlight w:val="yellow"/>
        </w:rPr>
        <w:t>trusted.</w:t>
      </w:r>
      <w:r w:rsidR="00C01268">
        <w:rPr>
          <w:highlight w:val="yellow"/>
        </w:rPr>
        <w:t xml:space="preserve"> </w:t>
      </w:r>
      <w:r w:rsidR="008169D0">
        <w:rPr>
          <w:highlight w:val="yellow"/>
        </w:rPr>
        <w:t xml:space="preserve">The response propensity weights can be made using alternative link functions. We use in our exercise the probit link function but the results are </w:t>
      </w:r>
      <w:r w:rsidR="002B0F07">
        <w:rPr>
          <w:highlight w:val="yellow"/>
        </w:rPr>
        <w:t xml:space="preserve">not </w:t>
      </w:r>
      <w:r w:rsidR="008169D0">
        <w:rPr>
          <w:highlight w:val="yellow"/>
        </w:rPr>
        <w:t xml:space="preserve">much different with logit. </w:t>
      </w:r>
      <w:r>
        <w:rPr>
          <w:highlight w:val="yellow"/>
        </w:rPr>
        <w:t xml:space="preserve"> </w:t>
      </w:r>
    </w:p>
    <w:p w:rsidR="008847C3" w:rsidRDefault="00BC6AFE" w:rsidP="00387C5E">
      <w:pPr>
        <w:pStyle w:val="Heading1"/>
      </w:pPr>
      <w:r>
        <w:t>Results</w:t>
      </w:r>
    </w:p>
    <w:p w:rsidR="0096559F" w:rsidRDefault="0096559F" w:rsidP="008847C3">
      <w:pPr>
        <w:rPr>
          <w:highlight w:val="yellow"/>
        </w:rPr>
      </w:pPr>
      <w:r>
        <w:rPr>
          <w:highlight w:val="yellow"/>
        </w:rPr>
        <w:t xml:space="preserve">The results of this section are summaries. We constructed many other weights and estimates. A logit link function is more used than probit but the basic results are not dramatically different since we here are focused the different chains of the weights. We thus start from the basic weights, then go to the least problematic weights due to confidentiality, that is, using macro auxiliary variables. These are first calibration margins, and then the same things </w:t>
      </w:r>
      <w:r w:rsidR="009A4F48">
        <w:rPr>
          <w:highlight w:val="yellow"/>
        </w:rPr>
        <w:t xml:space="preserve">are </w:t>
      </w:r>
      <w:r>
        <w:rPr>
          <w:highlight w:val="yellow"/>
        </w:rPr>
        <w:t xml:space="preserve">used as response propensity weights. The </w:t>
      </w:r>
      <w:r>
        <w:rPr>
          <w:highlight w:val="yellow"/>
        </w:rPr>
        <w:t>yariation of the weights</w:t>
      </w:r>
      <w:r>
        <w:rPr>
          <w:highlight w:val="yellow"/>
        </w:rPr>
        <w:t xml:space="preserve"> will increase respectively. Our last weights </w:t>
      </w:r>
      <w:r w:rsidR="00387C5E">
        <w:rPr>
          <w:highlight w:val="yellow"/>
        </w:rPr>
        <w:t>use the rea</w:t>
      </w:r>
      <w:r w:rsidR="00F21009">
        <w:rPr>
          <w:highlight w:val="yellow"/>
        </w:rPr>
        <w:t xml:space="preserve">l micro auxiliary variables </w:t>
      </w:r>
      <w:r w:rsidR="00387C5E">
        <w:rPr>
          <w:highlight w:val="yellow"/>
        </w:rPr>
        <w:t xml:space="preserve"> but finally </w:t>
      </w:r>
      <w:r w:rsidR="009A4F48">
        <w:rPr>
          <w:highlight w:val="yellow"/>
        </w:rPr>
        <w:t>we use</w:t>
      </w:r>
      <w:r w:rsidR="00387C5E">
        <w:rPr>
          <w:highlight w:val="yellow"/>
        </w:rPr>
        <w:t xml:space="preserve"> the calibration margins as the final stage. </w:t>
      </w:r>
    </w:p>
    <w:p w:rsidR="00A411FB" w:rsidRDefault="00ED15BC" w:rsidP="008847C3">
      <w:pPr>
        <w:rPr>
          <w:highlight w:val="yellow"/>
        </w:rPr>
      </w:pPr>
      <w:r>
        <w:rPr>
          <w:highlight w:val="yellow"/>
        </w:rPr>
        <w:t xml:space="preserve">Table 1 shows the results first for the weights in that order. The same table includes also averages and standard errors using the same weights of happiness. As we see while the variation of the weights (CV) increases, the happiness average decreases. The reason is that the weights take more advantage of auxiliary variables, meaning that the bias is reducing as well. The happiness using the basic weights only is too high </w:t>
      </w:r>
      <w:r w:rsidR="00653091">
        <w:rPr>
          <w:highlight w:val="yellow"/>
        </w:rPr>
        <w:t>(7.60) s</w:t>
      </w:r>
      <w:r>
        <w:rPr>
          <w:highlight w:val="yellow"/>
        </w:rPr>
        <w:t>ince the respondents are</w:t>
      </w:r>
      <w:r w:rsidR="00240AB8">
        <w:rPr>
          <w:highlight w:val="yellow"/>
        </w:rPr>
        <w:t xml:space="preserve"> often</w:t>
      </w:r>
      <w:r>
        <w:rPr>
          <w:highlight w:val="yellow"/>
        </w:rPr>
        <w:t xml:space="preserve"> happier than the non-respondent</w:t>
      </w:r>
      <w:r w:rsidR="00A411FB">
        <w:rPr>
          <w:highlight w:val="yellow"/>
        </w:rPr>
        <w:t>s</w:t>
      </w:r>
      <w:r w:rsidR="005B7B32">
        <w:rPr>
          <w:highlight w:val="yellow"/>
        </w:rPr>
        <w:t>. T</w:t>
      </w:r>
      <w:r w:rsidR="00653091">
        <w:rPr>
          <w:highlight w:val="yellow"/>
        </w:rPr>
        <w:t xml:space="preserve">he minimum </w:t>
      </w:r>
      <w:r w:rsidR="005B7B32">
        <w:rPr>
          <w:highlight w:val="yellow"/>
        </w:rPr>
        <w:t xml:space="preserve">and least biased average is </w:t>
      </w:r>
      <w:r w:rsidR="00653091">
        <w:rPr>
          <w:highlight w:val="yellow"/>
        </w:rPr>
        <w:t xml:space="preserve">7.33 when using the full number of micro auxiliary variables in the response propensity model and calibration margins after </w:t>
      </w:r>
      <w:r w:rsidR="005B7B32">
        <w:rPr>
          <w:highlight w:val="yellow"/>
        </w:rPr>
        <w:t>that</w:t>
      </w:r>
      <w:r w:rsidR="00653091">
        <w:rPr>
          <w:highlight w:val="yellow"/>
        </w:rPr>
        <w:t xml:space="preserve">. </w:t>
      </w:r>
      <w:r w:rsidR="005B7B32">
        <w:rPr>
          <w:highlight w:val="yellow"/>
        </w:rPr>
        <w:t xml:space="preserve">We do not believe that this result is unbiased since our pattern of the auxiliary variables </w:t>
      </w:r>
      <w:r w:rsidR="009A4F48">
        <w:rPr>
          <w:highlight w:val="yellow"/>
        </w:rPr>
        <w:t>could be better</w:t>
      </w:r>
      <w:r w:rsidR="005B7B32">
        <w:rPr>
          <w:highlight w:val="yellow"/>
        </w:rPr>
        <w:t xml:space="preserve">. </w:t>
      </w:r>
      <w:r w:rsidR="00653091">
        <w:rPr>
          <w:highlight w:val="yellow"/>
        </w:rPr>
        <w:t xml:space="preserve">Note </w:t>
      </w:r>
      <w:r w:rsidR="00240AB8">
        <w:rPr>
          <w:highlight w:val="yellow"/>
        </w:rPr>
        <w:t>that happiness results are estimated using complex sample tools since our data covers strata and clusters.</w:t>
      </w:r>
    </w:p>
    <w:p w:rsidR="001312E7" w:rsidRDefault="00C61824" w:rsidP="008847C3">
      <w:pPr>
        <w:rPr>
          <w:highlight w:val="yellow"/>
        </w:rPr>
      </w:pPr>
      <w:r>
        <w:rPr>
          <w:highlight w:val="yellow"/>
        </w:rPr>
        <w:t>The calibration in Table 1 is based on linear if any negative values are not got. Otherwise, we have used either a raking ratio option or the sinus hyperbolicus option</w:t>
      </w:r>
      <w:r w:rsidR="00313689">
        <w:rPr>
          <w:highlight w:val="yellow"/>
        </w:rPr>
        <w:t>.</w:t>
      </w:r>
      <w:r>
        <w:rPr>
          <w:highlight w:val="yellow"/>
        </w:rPr>
        <w:t xml:space="preserve"> </w:t>
      </w:r>
      <w:r w:rsidR="00313689">
        <w:rPr>
          <w:highlight w:val="yellow"/>
        </w:rPr>
        <w:t xml:space="preserve">The French CALMAR SAS Macro </w:t>
      </w:r>
      <w:r w:rsidR="004A27F5">
        <w:rPr>
          <w:highlight w:val="yellow"/>
        </w:rPr>
        <w:t>is applied</w:t>
      </w:r>
      <w:r w:rsidR="00313689">
        <w:rPr>
          <w:highlight w:val="yellow"/>
        </w:rPr>
        <w:t xml:space="preserve"> for calibration </w:t>
      </w:r>
      <w:r w:rsidR="00313689">
        <w:rPr>
          <w:highlight w:val="yellow"/>
        </w:rPr>
        <w:t>[[5]</w:t>
      </w:r>
      <w:r w:rsidR="001312E7">
        <w:rPr>
          <w:highlight w:val="yellow"/>
        </w:rPr>
        <w:t>)</w:t>
      </w:r>
    </w:p>
    <w:p w:rsidR="00DD688B" w:rsidRDefault="00DD688B" w:rsidP="00DD688B">
      <w:pPr>
        <w:pStyle w:val="Heading1"/>
      </w:pPr>
      <w:r>
        <w:t>Conclusions</w:t>
      </w:r>
    </w:p>
    <w:p w:rsidR="00DD688B" w:rsidRDefault="00DD688B" w:rsidP="00DD688B">
      <w:pPr>
        <w:rPr>
          <w:highlight w:val="yellow"/>
        </w:rPr>
      </w:pPr>
      <w:r>
        <w:rPr>
          <w:highlight w:val="yellow"/>
        </w:rPr>
        <w:t xml:space="preserve">The weighting is necessary to use for sample survey estimation. This paper presents the basic principles of the simple and more advanced weights and some examples. All weights require auxiliary data. We here present these as two main categories, either macro or micro. Our recommendation is to use both meaning that these need to be obtained. Two obstacles are met: One is a general understanding of their importance. The second might to confidentiality if the data owner does not release such data. This might happen also due to the new EU regulation GDPR if not solved correctly. </w:t>
      </w:r>
    </w:p>
    <w:p w:rsidR="001312E7" w:rsidRDefault="001312E7" w:rsidP="008847C3">
      <w:pPr>
        <w:rPr>
          <w:highlight w:val="yellow"/>
        </w:rPr>
      </w:pPr>
    </w:p>
    <w:p w:rsidR="00C95930" w:rsidRDefault="00C95930" w:rsidP="00A05CDA">
      <w:pPr>
        <w:rPr>
          <w:highlight w:val="yellow"/>
        </w:rPr>
      </w:pPr>
    </w:p>
    <w:p w:rsidR="00A05CDA" w:rsidRDefault="00C95930" w:rsidP="008847C3">
      <w:pPr>
        <w:rPr>
          <w:highlight w:val="green"/>
        </w:rPr>
      </w:pPr>
      <w:r w:rsidRPr="00923850">
        <w:rPr>
          <w:highlight w:val="green"/>
        </w:rPr>
        <w:lastRenderedPageBreak/>
        <w:t xml:space="preserve">Table </w:t>
      </w:r>
      <w:r w:rsidRPr="00923850">
        <w:rPr>
          <w:highlight w:val="green"/>
        </w:rPr>
        <w:fldChar w:fldCharType="begin"/>
      </w:r>
      <w:r w:rsidRPr="00923850">
        <w:rPr>
          <w:highlight w:val="green"/>
        </w:rPr>
        <w:instrText xml:space="preserve"> SEQ Table \* ARABIC </w:instrText>
      </w:r>
      <w:r w:rsidRPr="00923850">
        <w:rPr>
          <w:highlight w:val="green"/>
        </w:rPr>
        <w:fldChar w:fldCharType="separate"/>
      </w:r>
      <w:r>
        <w:rPr>
          <w:noProof/>
          <w:highlight w:val="green"/>
        </w:rPr>
        <w:t>1</w:t>
      </w:r>
      <w:r w:rsidRPr="00923850">
        <w:rPr>
          <w:highlight w:val="green"/>
        </w:rPr>
        <w:fldChar w:fldCharType="end"/>
      </w:r>
      <w:r w:rsidRPr="00923850">
        <w:rPr>
          <w:highlight w:val="green"/>
        </w:rPr>
        <w:t xml:space="preserve">. </w:t>
      </w:r>
      <w:r w:rsidR="00A05CDA">
        <w:rPr>
          <w:highlight w:val="green"/>
        </w:rPr>
        <w:t>Core results for basic and adjusted weights and happiness. The average of all weights is equal to 9140.</w:t>
      </w:r>
      <w:r w:rsidR="00752C41">
        <w:rPr>
          <w:highlight w:val="green"/>
        </w:rPr>
        <w:t xml:space="preserve"> </w:t>
      </w:r>
      <w:r w:rsidR="00440233">
        <w:rPr>
          <w:highlight w:val="green"/>
        </w:rPr>
        <w:t xml:space="preserve">Micro 1 = Macro variables used micro, Micro 2 = </w:t>
      </w:r>
      <w:r w:rsidR="00752C41">
        <w:rPr>
          <w:highlight w:val="green"/>
        </w:rPr>
        <w:t xml:space="preserve"> the full number of micro auxiliary variables (see the text)</w:t>
      </w:r>
      <w:r w:rsidR="00440233">
        <w:rPr>
          <w:highlight w:val="green"/>
        </w:rPr>
        <w:t xml:space="preserve"> used as micro</w:t>
      </w:r>
      <w:r w:rsidR="00752C41">
        <w:rPr>
          <w:highlight w:val="green"/>
        </w:rPr>
        <w:t>.</w:t>
      </w:r>
    </w:p>
    <w:tbl>
      <w:tblPr>
        <w:tblW w:w="7938" w:type="dxa"/>
        <w:tblLayout w:type="fixed"/>
        <w:tblCellMar>
          <w:left w:w="70" w:type="dxa"/>
          <w:right w:w="70" w:type="dxa"/>
        </w:tblCellMar>
        <w:tblLook w:val="04A0" w:firstRow="1" w:lastRow="0" w:firstColumn="1" w:lastColumn="0" w:noHBand="0" w:noVBand="1"/>
      </w:tblPr>
      <w:tblGrid>
        <w:gridCol w:w="1420"/>
        <w:gridCol w:w="1007"/>
        <w:gridCol w:w="914"/>
        <w:gridCol w:w="1054"/>
        <w:gridCol w:w="850"/>
        <w:gridCol w:w="992"/>
        <w:gridCol w:w="851"/>
        <w:gridCol w:w="850"/>
      </w:tblGrid>
      <w:tr w:rsidR="006161A8" w:rsidRPr="006161A8" w:rsidTr="00752C41">
        <w:trPr>
          <w:trHeight w:val="300"/>
        </w:trPr>
        <w:tc>
          <w:tcPr>
            <w:tcW w:w="1420" w:type="dxa"/>
            <w:tcBorders>
              <w:top w:val="nil"/>
              <w:left w:val="nil"/>
              <w:bottom w:val="nil"/>
              <w:right w:val="nil"/>
            </w:tcBorders>
            <w:shd w:val="clear" w:color="auto" w:fill="auto"/>
            <w:noWrap/>
            <w:vAlign w:val="bottom"/>
            <w:hideMark/>
          </w:tcPr>
          <w:p w:rsidR="006161A8" w:rsidRPr="006161A8" w:rsidRDefault="006161A8" w:rsidP="006161A8">
            <w:pPr>
              <w:spacing w:after="0"/>
              <w:jc w:val="left"/>
              <w:rPr>
                <w:sz w:val="20"/>
                <w:szCs w:val="24"/>
                <w:lang w:val="en-US" w:eastAsia="fi-FI"/>
              </w:rPr>
            </w:pPr>
          </w:p>
        </w:tc>
        <w:tc>
          <w:tcPr>
            <w:tcW w:w="1007" w:type="dxa"/>
            <w:tcBorders>
              <w:top w:val="nil"/>
              <w:left w:val="nil"/>
              <w:bottom w:val="nil"/>
              <w:right w:val="nil"/>
            </w:tcBorders>
            <w:shd w:val="clear" w:color="auto" w:fill="auto"/>
            <w:noWrap/>
            <w:vAlign w:val="bottom"/>
            <w:hideMark/>
          </w:tcPr>
          <w:p w:rsidR="006161A8" w:rsidRPr="006161A8" w:rsidRDefault="006161A8" w:rsidP="006161A8">
            <w:pPr>
              <w:spacing w:after="0"/>
              <w:jc w:val="left"/>
              <w:rPr>
                <w:sz w:val="20"/>
                <w:lang w:val="en-US" w:eastAsia="fi-FI"/>
              </w:rPr>
            </w:pPr>
          </w:p>
        </w:tc>
        <w:tc>
          <w:tcPr>
            <w:tcW w:w="914" w:type="dxa"/>
            <w:tcBorders>
              <w:top w:val="nil"/>
              <w:left w:val="nil"/>
              <w:bottom w:val="nil"/>
              <w:right w:val="nil"/>
            </w:tcBorders>
            <w:shd w:val="clear" w:color="auto" w:fill="auto"/>
            <w:noWrap/>
            <w:vAlign w:val="bottom"/>
            <w:hideMark/>
          </w:tcPr>
          <w:p w:rsidR="006161A8" w:rsidRPr="006161A8" w:rsidRDefault="006161A8" w:rsidP="006161A8">
            <w:pPr>
              <w:spacing w:after="0"/>
              <w:jc w:val="left"/>
              <w:rPr>
                <w:sz w:val="20"/>
                <w:lang w:val="en-US" w:eastAsia="fi-FI"/>
              </w:rPr>
            </w:pPr>
          </w:p>
        </w:tc>
        <w:tc>
          <w:tcPr>
            <w:tcW w:w="2896" w:type="dxa"/>
            <w:gridSpan w:val="3"/>
            <w:tcBorders>
              <w:top w:val="nil"/>
              <w:left w:val="nil"/>
              <w:bottom w:val="nil"/>
              <w:right w:val="nil"/>
            </w:tcBorders>
            <w:shd w:val="clear" w:color="auto" w:fill="auto"/>
            <w:noWrap/>
            <w:vAlign w:val="bottom"/>
            <w:hideMark/>
          </w:tcPr>
          <w:p w:rsidR="006161A8" w:rsidRPr="006161A8" w:rsidRDefault="006161A8" w:rsidP="006161A8">
            <w:pPr>
              <w:spacing w:after="0"/>
              <w:jc w:val="left"/>
              <w:rPr>
                <w:rFonts w:ascii="Calibri" w:hAnsi="Calibri"/>
                <w:b/>
                <w:color w:val="000000"/>
                <w:sz w:val="28"/>
                <w:szCs w:val="24"/>
                <w:lang w:val="en-US" w:eastAsia="fi-FI"/>
              </w:rPr>
            </w:pPr>
            <w:r w:rsidRPr="006161A8">
              <w:rPr>
                <w:rFonts w:ascii="Calibri" w:hAnsi="Calibri"/>
                <w:b/>
                <w:color w:val="000000"/>
                <w:sz w:val="28"/>
                <w:szCs w:val="24"/>
                <w:lang w:val="en-US" w:eastAsia="fi-FI"/>
              </w:rPr>
              <w:t>Characteristi</w:t>
            </w:r>
            <w:r w:rsidR="00A655F7">
              <w:rPr>
                <w:rFonts w:ascii="Calibri" w:hAnsi="Calibri"/>
                <w:b/>
                <w:color w:val="000000"/>
                <w:sz w:val="28"/>
                <w:szCs w:val="24"/>
                <w:lang w:val="en-US" w:eastAsia="fi-FI"/>
              </w:rPr>
              <w:t>c</w:t>
            </w:r>
            <w:r w:rsidRPr="006161A8">
              <w:rPr>
                <w:rFonts w:ascii="Calibri" w:hAnsi="Calibri"/>
                <w:b/>
                <w:color w:val="000000"/>
                <w:sz w:val="28"/>
                <w:szCs w:val="24"/>
                <w:lang w:val="en-US" w:eastAsia="fi-FI"/>
              </w:rPr>
              <w:t>s of weights</w:t>
            </w:r>
          </w:p>
        </w:tc>
        <w:tc>
          <w:tcPr>
            <w:tcW w:w="1701" w:type="dxa"/>
            <w:gridSpan w:val="2"/>
            <w:tcBorders>
              <w:top w:val="nil"/>
              <w:left w:val="nil"/>
              <w:bottom w:val="nil"/>
              <w:right w:val="nil"/>
            </w:tcBorders>
            <w:shd w:val="clear" w:color="auto" w:fill="auto"/>
            <w:noWrap/>
            <w:vAlign w:val="bottom"/>
            <w:hideMark/>
          </w:tcPr>
          <w:p w:rsidR="006161A8" w:rsidRPr="006161A8" w:rsidRDefault="006161A8" w:rsidP="006161A8">
            <w:pPr>
              <w:spacing w:after="0"/>
              <w:jc w:val="left"/>
              <w:rPr>
                <w:rFonts w:ascii="Calibri" w:hAnsi="Calibri"/>
                <w:b/>
                <w:color w:val="000000"/>
                <w:sz w:val="28"/>
                <w:szCs w:val="24"/>
                <w:lang w:val="en-US" w:eastAsia="fi-FI"/>
              </w:rPr>
            </w:pPr>
            <w:r w:rsidRPr="006161A8">
              <w:rPr>
                <w:rFonts w:ascii="Calibri" w:hAnsi="Calibri"/>
                <w:b/>
                <w:color w:val="000000"/>
                <w:sz w:val="28"/>
                <w:szCs w:val="24"/>
                <w:lang w:val="en-US" w:eastAsia="fi-FI"/>
              </w:rPr>
              <w:t>Happiness</w:t>
            </w:r>
          </w:p>
        </w:tc>
      </w:tr>
      <w:tr w:rsidR="006161A8" w:rsidRPr="00A655F7" w:rsidTr="00752C41">
        <w:trPr>
          <w:trHeight w:val="1572"/>
        </w:trPr>
        <w:tc>
          <w:tcPr>
            <w:tcW w:w="1420" w:type="dxa"/>
            <w:tcBorders>
              <w:top w:val="single" w:sz="8" w:space="0" w:color="FFFFFF"/>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Weight</w:t>
            </w:r>
          </w:p>
        </w:tc>
        <w:tc>
          <w:tcPr>
            <w:tcW w:w="1007" w:type="dxa"/>
            <w:tcBorders>
              <w:top w:val="single" w:sz="8" w:space="0" w:color="FFFFFF"/>
              <w:left w:val="nil"/>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 xml:space="preserve"> Res-ponse propen-sity model</w:t>
            </w:r>
          </w:p>
        </w:tc>
        <w:tc>
          <w:tcPr>
            <w:tcW w:w="914" w:type="dxa"/>
            <w:tcBorders>
              <w:top w:val="single" w:sz="8" w:space="0" w:color="FFFFFF"/>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Cali-bration margins</w:t>
            </w:r>
          </w:p>
        </w:tc>
        <w:tc>
          <w:tcPr>
            <w:tcW w:w="1054"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center"/>
              <w:rPr>
                <w:color w:val="000000"/>
                <w:szCs w:val="24"/>
                <w:lang w:val="en-US" w:eastAsia="fi-FI"/>
              </w:rPr>
            </w:pPr>
            <w:r w:rsidRPr="006161A8">
              <w:rPr>
                <w:color w:val="000000"/>
                <w:szCs w:val="24"/>
                <w:lang w:val="en-US" w:eastAsia="fi-FI"/>
              </w:rPr>
              <w:t>Coeff of Vari-ation</w:t>
            </w:r>
          </w:p>
        </w:tc>
        <w:tc>
          <w:tcPr>
            <w:tcW w:w="850"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center"/>
              <w:rPr>
                <w:color w:val="000000"/>
                <w:szCs w:val="24"/>
                <w:lang w:val="en-US" w:eastAsia="fi-FI"/>
              </w:rPr>
            </w:pPr>
            <w:r w:rsidRPr="006161A8">
              <w:rPr>
                <w:color w:val="000000"/>
                <w:szCs w:val="24"/>
                <w:lang w:val="en-US" w:eastAsia="fi-FI"/>
              </w:rPr>
              <w:t>Mini-mum</w:t>
            </w:r>
          </w:p>
        </w:tc>
        <w:tc>
          <w:tcPr>
            <w:tcW w:w="992"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center"/>
              <w:rPr>
                <w:color w:val="000000"/>
                <w:szCs w:val="24"/>
                <w:lang w:val="en-US" w:eastAsia="fi-FI"/>
              </w:rPr>
            </w:pPr>
            <w:r w:rsidRPr="006161A8">
              <w:rPr>
                <w:color w:val="000000"/>
                <w:szCs w:val="24"/>
                <w:lang w:val="en-US" w:eastAsia="fi-FI"/>
              </w:rPr>
              <w:t>Maxi-mum</w:t>
            </w:r>
          </w:p>
        </w:tc>
        <w:tc>
          <w:tcPr>
            <w:tcW w:w="851"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Mean</w:t>
            </w:r>
          </w:p>
        </w:tc>
        <w:tc>
          <w:tcPr>
            <w:tcW w:w="850"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Std error</w:t>
            </w:r>
          </w:p>
        </w:tc>
      </w:tr>
      <w:tr w:rsidR="006161A8" w:rsidRPr="00A655F7" w:rsidTr="00752C41">
        <w:trPr>
          <w:trHeight w:val="636"/>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Basic weight</w:t>
            </w:r>
          </w:p>
        </w:tc>
        <w:tc>
          <w:tcPr>
            <w:tcW w:w="1007" w:type="dxa"/>
            <w:tcBorders>
              <w:top w:val="nil"/>
              <w:left w:val="nil"/>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914"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1054"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64,0</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3332</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22838</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60</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04</w:t>
            </w:r>
          </w:p>
        </w:tc>
      </w:tr>
      <w:tr w:rsidR="006161A8" w:rsidRPr="00A655F7" w:rsidTr="008B0528">
        <w:trPr>
          <w:trHeight w:val="660"/>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Basic weight and linear calibration</w:t>
            </w:r>
          </w:p>
        </w:tc>
        <w:tc>
          <w:tcPr>
            <w:tcW w:w="1007" w:type="dxa"/>
            <w:tcBorders>
              <w:top w:val="nil"/>
              <w:left w:val="nil"/>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914" w:type="dxa"/>
            <w:tcBorders>
              <w:top w:val="nil"/>
              <w:left w:val="nil"/>
              <w:bottom w:val="nil"/>
              <w:right w:val="nil"/>
            </w:tcBorders>
            <w:shd w:val="clear" w:color="auto" w:fill="auto"/>
            <w:noWrap/>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Yes</w:t>
            </w:r>
          </w:p>
        </w:tc>
        <w:tc>
          <w:tcPr>
            <w:tcW w:w="1054"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69,0</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2349</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380306</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59</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04</w:t>
            </w:r>
          </w:p>
        </w:tc>
      </w:tr>
      <w:tr w:rsidR="006161A8" w:rsidRPr="00A655F7" w:rsidTr="00BF4B80">
        <w:trPr>
          <w:trHeight w:val="516"/>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Simple adjustment</w:t>
            </w:r>
          </w:p>
        </w:tc>
        <w:tc>
          <w:tcPr>
            <w:tcW w:w="1007" w:type="dxa"/>
            <w:tcBorders>
              <w:top w:val="nil"/>
              <w:left w:val="nil"/>
              <w:bottom w:val="single" w:sz="8" w:space="0" w:color="FFFFFF"/>
              <w:right w:val="nil"/>
            </w:tcBorders>
            <w:shd w:val="clear" w:color="000000" w:fill="EAEFF7"/>
            <w:vAlign w:val="center"/>
            <w:hideMark/>
          </w:tcPr>
          <w:p w:rsidR="006161A8" w:rsidRPr="006161A8" w:rsidRDefault="00440233" w:rsidP="006161A8">
            <w:pPr>
              <w:spacing w:after="0"/>
              <w:jc w:val="left"/>
              <w:rPr>
                <w:color w:val="000000"/>
                <w:szCs w:val="24"/>
                <w:lang w:val="en-US" w:eastAsia="fi-FI"/>
              </w:rPr>
            </w:pPr>
            <w:r w:rsidRPr="00A655F7">
              <w:rPr>
                <w:color w:val="000000"/>
                <w:szCs w:val="24"/>
                <w:lang w:val="en-US" w:eastAsia="fi-FI"/>
              </w:rPr>
              <w:t>Micro 1</w:t>
            </w:r>
          </w:p>
        </w:tc>
        <w:tc>
          <w:tcPr>
            <w:tcW w:w="914" w:type="dxa"/>
            <w:tcBorders>
              <w:top w:val="nil"/>
              <w:left w:val="single" w:sz="8" w:space="0" w:color="FFFFFF"/>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1054"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66,0</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2655</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26677</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57</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04</w:t>
            </w:r>
          </w:p>
        </w:tc>
      </w:tr>
      <w:tr w:rsidR="006161A8" w:rsidRPr="00A655F7" w:rsidTr="00BF4B80">
        <w:trPr>
          <w:trHeight w:val="652"/>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Basic adjustment</w:t>
            </w:r>
          </w:p>
        </w:tc>
        <w:tc>
          <w:tcPr>
            <w:tcW w:w="1007" w:type="dxa"/>
            <w:tcBorders>
              <w:top w:val="nil"/>
              <w:left w:val="nil"/>
              <w:bottom w:val="single" w:sz="8" w:space="0" w:color="FFFFFF"/>
              <w:right w:val="nil"/>
            </w:tcBorders>
            <w:shd w:val="clear" w:color="000000" w:fill="EAEFF7"/>
            <w:vAlign w:val="center"/>
            <w:hideMark/>
          </w:tcPr>
          <w:p w:rsidR="006161A8" w:rsidRPr="006161A8" w:rsidRDefault="00440233" w:rsidP="00440233">
            <w:pPr>
              <w:spacing w:after="0"/>
              <w:jc w:val="left"/>
              <w:rPr>
                <w:color w:val="000000"/>
                <w:szCs w:val="24"/>
                <w:lang w:val="en-US" w:eastAsia="fi-FI"/>
              </w:rPr>
            </w:pPr>
            <w:r w:rsidRPr="00A655F7">
              <w:rPr>
                <w:color w:val="000000"/>
                <w:szCs w:val="24"/>
                <w:lang w:val="en-US" w:eastAsia="fi-FI"/>
              </w:rPr>
              <w:t>Micro 1</w:t>
            </w:r>
          </w:p>
        </w:tc>
        <w:tc>
          <w:tcPr>
            <w:tcW w:w="914" w:type="dxa"/>
            <w:tcBorders>
              <w:top w:val="nil"/>
              <w:left w:val="nil"/>
              <w:bottom w:val="nil"/>
              <w:right w:val="nil"/>
            </w:tcBorders>
            <w:shd w:val="clear" w:color="auto" w:fill="auto"/>
            <w:noWrap/>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Yes</w:t>
            </w:r>
          </w:p>
        </w:tc>
        <w:tc>
          <w:tcPr>
            <w:tcW w:w="1054"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82,2</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1348</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54540</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4</w:t>
            </w:r>
            <w:r w:rsidR="00A655F7">
              <w:rPr>
                <w:color w:val="000000"/>
                <w:szCs w:val="24"/>
                <w:lang w:val="en-US" w:eastAsia="fi-FI"/>
              </w:rPr>
              <w:t>0</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05</w:t>
            </w:r>
          </w:p>
        </w:tc>
      </w:tr>
      <w:tr w:rsidR="006161A8" w:rsidRPr="00A655F7" w:rsidTr="008B0528">
        <w:trPr>
          <w:trHeight w:val="642"/>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Basic adjustment</w:t>
            </w:r>
          </w:p>
        </w:tc>
        <w:tc>
          <w:tcPr>
            <w:tcW w:w="1007" w:type="dxa"/>
            <w:tcBorders>
              <w:top w:val="nil"/>
              <w:left w:val="nil"/>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Micro</w:t>
            </w:r>
            <w:r w:rsidR="00440233" w:rsidRPr="00A655F7">
              <w:rPr>
                <w:color w:val="000000"/>
                <w:szCs w:val="24"/>
                <w:lang w:val="en-US" w:eastAsia="fi-FI"/>
              </w:rPr>
              <w:t xml:space="preserve"> 1</w:t>
            </w:r>
          </w:p>
        </w:tc>
        <w:tc>
          <w:tcPr>
            <w:tcW w:w="914" w:type="dxa"/>
            <w:tcBorders>
              <w:top w:val="single" w:sz="8" w:space="0" w:color="FFFFFF"/>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1054"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78,3</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1903</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51170</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39</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05</w:t>
            </w:r>
          </w:p>
        </w:tc>
      </w:tr>
      <w:tr w:rsidR="006161A8" w:rsidRPr="00A655F7" w:rsidTr="008B0528">
        <w:trPr>
          <w:trHeight w:val="694"/>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Basic adjustment</w:t>
            </w:r>
          </w:p>
        </w:tc>
        <w:tc>
          <w:tcPr>
            <w:tcW w:w="1007" w:type="dxa"/>
            <w:tcBorders>
              <w:top w:val="nil"/>
              <w:left w:val="nil"/>
              <w:bottom w:val="single" w:sz="8" w:space="0" w:color="FFFFFF"/>
              <w:right w:val="nil"/>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Micro</w:t>
            </w:r>
            <w:r w:rsidR="00440233" w:rsidRPr="00A655F7">
              <w:rPr>
                <w:color w:val="000000"/>
                <w:szCs w:val="24"/>
                <w:lang w:val="en-US" w:eastAsia="fi-FI"/>
              </w:rPr>
              <w:t xml:space="preserve"> 1</w:t>
            </w:r>
          </w:p>
        </w:tc>
        <w:tc>
          <w:tcPr>
            <w:tcW w:w="914" w:type="dxa"/>
            <w:tcBorders>
              <w:top w:val="nil"/>
              <w:left w:val="nil"/>
              <w:bottom w:val="nil"/>
              <w:right w:val="nil"/>
            </w:tcBorders>
            <w:shd w:val="clear" w:color="auto" w:fill="auto"/>
            <w:noWrap/>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Yes</w:t>
            </w:r>
          </w:p>
        </w:tc>
        <w:tc>
          <w:tcPr>
            <w:tcW w:w="1054"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84,4</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1562</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66121</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36</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06</w:t>
            </w:r>
          </w:p>
        </w:tc>
      </w:tr>
      <w:tr w:rsidR="006161A8" w:rsidRPr="00A655F7" w:rsidTr="008B0528">
        <w:trPr>
          <w:trHeight w:val="780"/>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Large adjustment</w:t>
            </w:r>
          </w:p>
        </w:tc>
        <w:tc>
          <w:tcPr>
            <w:tcW w:w="1007"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Micro</w:t>
            </w:r>
            <w:r w:rsidR="00440233" w:rsidRPr="00A655F7">
              <w:rPr>
                <w:color w:val="000000"/>
                <w:szCs w:val="24"/>
                <w:lang w:val="en-US" w:eastAsia="fi-FI"/>
              </w:rPr>
              <w:t xml:space="preserve"> 2</w:t>
            </w:r>
          </w:p>
        </w:tc>
        <w:tc>
          <w:tcPr>
            <w:tcW w:w="914" w:type="dxa"/>
            <w:tcBorders>
              <w:top w:val="single" w:sz="8" w:space="0" w:color="FFFFFF"/>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left"/>
              <w:rPr>
                <w:color w:val="000000"/>
                <w:szCs w:val="24"/>
                <w:lang w:val="en-US" w:eastAsia="fi-FI"/>
              </w:rPr>
            </w:pPr>
            <w:r w:rsidRPr="006161A8">
              <w:rPr>
                <w:color w:val="000000"/>
                <w:szCs w:val="24"/>
                <w:lang w:val="en-US" w:eastAsia="fi-FI"/>
              </w:rPr>
              <w:t>No</w:t>
            </w:r>
          </w:p>
        </w:tc>
        <w:tc>
          <w:tcPr>
            <w:tcW w:w="1054"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84,2</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1860</w:t>
            </w:r>
          </w:p>
        </w:tc>
        <w:tc>
          <w:tcPr>
            <w:tcW w:w="992"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72644</w:t>
            </w:r>
          </w:p>
        </w:tc>
        <w:tc>
          <w:tcPr>
            <w:tcW w:w="851"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7</w:t>
            </w:r>
            <w:r w:rsidR="00A655F7">
              <w:rPr>
                <w:color w:val="000000"/>
                <w:szCs w:val="24"/>
                <w:lang w:val="en-US" w:eastAsia="fi-FI"/>
              </w:rPr>
              <w:t>.</w:t>
            </w:r>
            <w:r w:rsidRPr="006161A8">
              <w:rPr>
                <w:color w:val="000000"/>
                <w:szCs w:val="24"/>
                <w:lang w:val="en-US" w:eastAsia="fi-FI"/>
              </w:rPr>
              <w:t>39</w:t>
            </w:r>
          </w:p>
        </w:tc>
        <w:tc>
          <w:tcPr>
            <w:tcW w:w="850" w:type="dxa"/>
            <w:tcBorders>
              <w:top w:val="nil"/>
              <w:left w:val="nil"/>
              <w:bottom w:val="single" w:sz="8" w:space="0" w:color="FFFFFF"/>
              <w:right w:val="single" w:sz="8" w:space="0" w:color="FFFFFF"/>
            </w:tcBorders>
            <w:shd w:val="clear" w:color="000000" w:fill="EAEFF7"/>
            <w:vAlign w:val="center"/>
            <w:hideMark/>
          </w:tcPr>
          <w:p w:rsidR="006161A8" w:rsidRPr="006161A8" w:rsidRDefault="006161A8" w:rsidP="006161A8">
            <w:pPr>
              <w:spacing w:after="0"/>
              <w:jc w:val="right"/>
              <w:rPr>
                <w:color w:val="000000"/>
                <w:szCs w:val="24"/>
                <w:lang w:val="en-US" w:eastAsia="fi-FI"/>
              </w:rPr>
            </w:pPr>
            <w:r w:rsidRPr="006161A8">
              <w:rPr>
                <w:color w:val="000000"/>
                <w:szCs w:val="24"/>
                <w:lang w:val="en-US" w:eastAsia="fi-FI"/>
              </w:rPr>
              <w:t>0</w:t>
            </w:r>
            <w:r w:rsidR="00A655F7">
              <w:rPr>
                <w:color w:val="000000"/>
                <w:szCs w:val="24"/>
                <w:lang w:val="en-US" w:eastAsia="fi-FI"/>
              </w:rPr>
              <w:t>.</w:t>
            </w:r>
            <w:r w:rsidRPr="006161A8">
              <w:rPr>
                <w:color w:val="000000"/>
                <w:szCs w:val="24"/>
                <w:lang w:val="en-US" w:eastAsia="fi-FI"/>
              </w:rPr>
              <w:t>05</w:t>
            </w:r>
          </w:p>
        </w:tc>
      </w:tr>
      <w:tr w:rsidR="00D90CF1" w:rsidRPr="00A655F7" w:rsidTr="009A141C">
        <w:trPr>
          <w:trHeight w:val="666"/>
        </w:trPr>
        <w:tc>
          <w:tcPr>
            <w:tcW w:w="1420" w:type="dxa"/>
            <w:tcBorders>
              <w:top w:val="nil"/>
              <w:left w:val="single" w:sz="8" w:space="0" w:color="FFFFFF"/>
              <w:bottom w:val="single" w:sz="8" w:space="0" w:color="FFFFFF"/>
              <w:right w:val="single" w:sz="8" w:space="0" w:color="FFFFFF"/>
            </w:tcBorders>
            <w:shd w:val="clear" w:color="000000" w:fill="EAEFF7"/>
            <w:vAlign w:val="center"/>
            <w:hideMark/>
          </w:tcPr>
          <w:p w:rsidR="00D90CF1" w:rsidRPr="006161A8" w:rsidRDefault="00D90CF1" w:rsidP="009A141C">
            <w:pPr>
              <w:spacing w:after="0"/>
              <w:jc w:val="left"/>
              <w:rPr>
                <w:color w:val="000000"/>
                <w:szCs w:val="24"/>
                <w:lang w:val="en-US" w:eastAsia="fi-FI"/>
              </w:rPr>
            </w:pPr>
            <w:r w:rsidRPr="006161A8">
              <w:rPr>
                <w:color w:val="000000"/>
                <w:szCs w:val="24"/>
                <w:lang w:val="en-US" w:eastAsia="fi-FI"/>
              </w:rPr>
              <w:t>Large adjustment</w:t>
            </w:r>
          </w:p>
        </w:tc>
        <w:tc>
          <w:tcPr>
            <w:tcW w:w="1007" w:type="dxa"/>
            <w:tcBorders>
              <w:top w:val="nil"/>
              <w:left w:val="nil"/>
              <w:bottom w:val="single" w:sz="8" w:space="0" w:color="FFFFFF"/>
              <w:right w:val="nil"/>
            </w:tcBorders>
            <w:shd w:val="clear" w:color="000000" w:fill="EAEFF7"/>
            <w:vAlign w:val="center"/>
            <w:hideMark/>
          </w:tcPr>
          <w:p w:rsidR="00D90CF1" w:rsidRPr="006161A8" w:rsidRDefault="00D90CF1" w:rsidP="009A141C">
            <w:pPr>
              <w:spacing w:after="0"/>
              <w:jc w:val="left"/>
              <w:rPr>
                <w:color w:val="000000"/>
                <w:szCs w:val="24"/>
                <w:lang w:val="en-US" w:eastAsia="fi-FI"/>
              </w:rPr>
            </w:pPr>
            <w:r w:rsidRPr="006161A8">
              <w:rPr>
                <w:color w:val="000000"/>
                <w:szCs w:val="24"/>
                <w:lang w:val="en-US" w:eastAsia="fi-FI"/>
              </w:rPr>
              <w:t>Micro</w:t>
            </w:r>
            <w:r w:rsidRPr="00A655F7">
              <w:rPr>
                <w:color w:val="000000"/>
                <w:szCs w:val="24"/>
                <w:lang w:val="en-US" w:eastAsia="fi-FI"/>
              </w:rPr>
              <w:t xml:space="preserve"> 2</w:t>
            </w:r>
          </w:p>
        </w:tc>
        <w:tc>
          <w:tcPr>
            <w:tcW w:w="914" w:type="dxa"/>
            <w:tcBorders>
              <w:top w:val="nil"/>
              <w:left w:val="nil"/>
              <w:bottom w:val="nil"/>
              <w:right w:val="nil"/>
            </w:tcBorders>
            <w:shd w:val="clear" w:color="auto" w:fill="auto"/>
            <w:noWrap/>
            <w:vAlign w:val="center"/>
            <w:hideMark/>
          </w:tcPr>
          <w:p w:rsidR="00D90CF1" w:rsidRPr="006161A8" w:rsidRDefault="00D90CF1" w:rsidP="009A141C">
            <w:pPr>
              <w:spacing w:after="0"/>
              <w:jc w:val="left"/>
              <w:rPr>
                <w:color w:val="000000"/>
                <w:szCs w:val="24"/>
                <w:lang w:val="en-US" w:eastAsia="fi-FI"/>
              </w:rPr>
            </w:pPr>
            <w:r w:rsidRPr="006161A8">
              <w:rPr>
                <w:color w:val="000000"/>
                <w:szCs w:val="24"/>
                <w:lang w:val="en-US" w:eastAsia="fi-FI"/>
              </w:rPr>
              <w:t>Yes</w:t>
            </w:r>
          </w:p>
        </w:tc>
        <w:tc>
          <w:tcPr>
            <w:tcW w:w="1054" w:type="dxa"/>
            <w:tcBorders>
              <w:top w:val="nil"/>
              <w:left w:val="single" w:sz="8" w:space="0" w:color="FFFFFF"/>
              <w:bottom w:val="single" w:sz="8" w:space="0" w:color="FFFFFF"/>
              <w:right w:val="single" w:sz="8" w:space="0" w:color="FFFFFF"/>
            </w:tcBorders>
            <w:shd w:val="clear" w:color="000000" w:fill="EAEFF7"/>
            <w:vAlign w:val="center"/>
            <w:hideMark/>
          </w:tcPr>
          <w:p w:rsidR="00D90CF1" w:rsidRPr="006161A8" w:rsidRDefault="00D90CF1" w:rsidP="009A141C">
            <w:pPr>
              <w:spacing w:after="0"/>
              <w:jc w:val="right"/>
              <w:rPr>
                <w:color w:val="000000"/>
                <w:szCs w:val="24"/>
                <w:lang w:val="en-US" w:eastAsia="fi-FI"/>
              </w:rPr>
            </w:pPr>
            <w:r w:rsidRPr="006161A8">
              <w:rPr>
                <w:color w:val="000000"/>
                <w:szCs w:val="24"/>
                <w:lang w:val="en-US" w:eastAsia="fi-FI"/>
              </w:rPr>
              <w:t>91,0</w:t>
            </w:r>
          </w:p>
        </w:tc>
        <w:tc>
          <w:tcPr>
            <w:tcW w:w="850" w:type="dxa"/>
            <w:tcBorders>
              <w:top w:val="nil"/>
              <w:left w:val="nil"/>
              <w:bottom w:val="single" w:sz="8" w:space="0" w:color="FFFFFF"/>
              <w:right w:val="single" w:sz="8" w:space="0" w:color="FFFFFF"/>
            </w:tcBorders>
            <w:shd w:val="clear" w:color="000000" w:fill="EAEFF7"/>
            <w:vAlign w:val="center"/>
            <w:hideMark/>
          </w:tcPr>
          <w:p w:rsidR="00D90CF1" w:rsidRPr="006161A8" w:rsidRDefault="00D90CF1" w:rsidP="009A141C">
            <w:pPr>
              <w:spacing w:after="0"/>
              <w:jc w:val="right"/>
              <w:rPr>
                <w:color w:val="000000"/>
                <w:szCs w:val="24"/>
                <w:lang w:val="en-US" w:eastAsia="fi-FI"/>
              </w:rPr>
            </w:pPr>
            <w:r w:rsidRPr="006161A8">
              <w:rPr>
                <w:color w:val="000000"/>
                <w:szCs w:val="24"/>
                <w:lang w:val="en-US" w:eastAsia="fi-FI"/>
              </w:rPr>
              <w:t>1511</w:t>
            </w:r>
          </w:p>
        </w:tc>
        <w:tc>
          <w:tcPr>
            <w:tcW w:w="992" w:type="dxa"/>
            <w:tcBorders>
              <w:top w:val="nil"/>
              <w:left w:val="nil"/>
              <w:bottom w:val="single" w:sz="8" w:space="0" w:color="FFFFFF"/>
              <w:right w:val="single" w:sz="8" w:space="0" w:color="FFFFFF"/>
            </w:tcBorders>
            <w:shd w:val="clear" w:color="000000" w:fill="EAEFF7"/>
            <w:vAlign w:val="center"/>
            <w:hideMark/>
          </w:tcPr>
          <w:p w:rsidR="00D90CF1" w:rsidRPr="006161A8" w:rsidRDefault="00D90CF1" w:rsidP="009A141C">
            <w:pPr>
              <w:spacing w:after="0"/>
              <w:jc w:val="right"/>
              <w:rPr>
                <w:color w:val="000000"/>
                <w:szCs w:val="24"/>
                <w:lang w:val="en-US" w:eastAsia="fi-FI"/>
              </w:rPr>
            </w:pPr>
            <w:r w:rsidRPr="006161A8">
              <w:rPr>
                <w:color w:val="000000"/>
                <w:szCs w:val="24"/>
                <w:lang w:val="en-US" w:eastAsia="fi-FI"/>
              </w:rPr>
              <w:t>50404</w:t>
            </w:r>
          </w:p>
        </w:tc>
        <w:tc>
          <w:tcPr>
            <w:tcW w:w="851" w:type="dxa"/>
            <w:tcBorders>
              <w:top w:val="nil"/>
              <w:left w:val="nil"/>
              <w:bottom w:val="single" w:sz="8" w:space="0" w:color="FFFFFF"/>
              <w:right w:val="single" w:sz="8" w:space="0" w:color="FFFFFF"/>
            </w:tcBorders>
            <w:shd w:val="clear" w:color="000000" w:fill="EAEFF7"/>
            <w:vAlign w:val="center"/>
            <w:hideMark/>
          </w:tcPr>
          <w:p w:rsidR="00D90CF1" w:rsidRPr="006161A8" w:rsidRDefault="00D90CF1" w:rsidP="009A141C">
            <w:pPr>
              <w:spacing w:after="0"/>
              <w:jc w:val="right"/>
              <w:rPr>
                <w:color w:val="000000"/>
                <w:szCs w:val="24"/>
                <w:lang w:val="en-US" w:eastAsia="fi-FI"/>
              </w:rPr>
            </w:pPr>
            <w:r w:rsidRPr="006161A8">
              <w:rPr>
                <w:color w:val="000000"/>
                <w:szCs w:val="24"/>
                <w:lang w:val="en-US" w:eastAsia="fi-FI"/>
              </w:rPr>
              <w:t>7</w:t>
            </w:r>
            <w:r>
              <w:rPr>
                <w:color w:val="000000"/>
                <w:szCs w:val="24"/>
                <w:lang w:val="en-US" w:eastAsia="fi-FI"/>
              </w:rPr>
              <w:t>.</w:t>
            </w:r>
            <w:r w:rsidRPr="006161A8">
              <w:rPr>
                <w:color w:val="000000"/>
                <w:szCs w:val="24"/>
                <w:lang w:val="en-US" w:eastAsia="fi-FI"/>
              </w:rPr>
              <w:t>33</w:t>
            </w:r>
          </w:p>
        </w:tc>
        <w:tc>
          <w:tcPr>
            <w:tcW w:w="850" w:type="dxa"/>
            <w:tcBorders>
              <w:top w:val="nil"/>
              <w:left w:val="nil"/>
              <w:bottom w:val="single" w:sz="8" w:space="0" w:color="FFFFFF"/>
              <w:right w:val="single" w:sz="8" w:space="0" w:color="FFFFFF"/>
            </w:tcBorders>
            <w:shd w:val="clear" w:color="000000" w:fill="EAEFF7"/>
            <w:vAlign w:val="center"/>
            <w:hideMark/>
          </w:tcPr>
          <w:p w:rsidR="00D90CF1" w:rsidRPr="006161A8" w:rsidRDefault="00D90CF1" w:rsidP="009A141C">
            <w:pPr>
              <w:spacing w:after="0"/>
              <w:jc w:val="right"/>
              <w:rPr>
                <w:color w:val="000000"/>
                <w:szCs w:val="24"/>
                <w:lang w:val="en-US" w:eastAsia="fi-FI"/>
              </w:rPr>
            </w:pPr>
            <w:r w:rsidRPr="006161A8">
              <w:rPr>
                <w:color w:val="000000"/>
                <w:szCs w:val="24"/>
                <w:lang w:val="en-US" w:eastAsia="fi-FI"/>
              </w:rPr>
              <w:t>0</w:t>
            </w:r>
            <w:r>
              <w:rPr>
                <w:color w:val="000000"/>
                <w:szCs w:val="24"/>
                <w:lang w:val="en-US" w:eastAsia="fi-FI"/>
              </w:rPr>
              <w:t>.</w:t>
            </w:r>
            <w:r w:rsidRPr="006161A8">
              <w:rPr>
                <w:color w:val="000000"/>
                <w:szCs w:val="24"/>
                <w:lang w:val="en-US" w:eastAsia="fi-FI"/>
              </w:rPr>
              <w:t>06</w:t>
            </w:r>
          </w:p>
        </w:tc>
      </w:tr>
    </w:tbl>
    <w:p w:rsidR="00BC6AFE" w:rsidRDefault="00BC6AFE" w:rsidP="009B4EE0">
      <w:pPr>
        <w:pStyle w:val="Heading1"/>
        <w:numPr>
          <w:ilvl w:val="0"/>
          <w:numId w:val="0"/>
        </w:numPr>
        <w:ind w:left="480" w:hanging="480"/>
      </w:pPr>
      <w:r>
        <w:t>References</w:t>
      </w:r>
    </w:p>
    <w:p w:rsidR="00D85BC4" w:rsidRDefault="00D85BC4" w:rsidP="00D85BC4">
      <w:pPr>
        <w:pStyle w:val="ListParagraph"/>
        <w:numPr>
          <w:ilvl w:val="0"/>
          <w:numId w:val="20"/>
        </w:numPr>
        <w:spacing w:after="0"/>
        <w:outlineLvl w:val="1"/>
        <w:rPr>
          <w:szCs w:val="24"/>
        </w:rPr>
      </w:pPr>
      <w:r>
        <w:rPr>
          <w:szCs w:val="24"/>
        </w:rPr>
        <w:t xml:space="preserve">S Laaksonen (2018). </w:t>
      </w:r>
      <w:r w:rsidRPr="00AC3FD5">
        <w:rPr>
          <w:i/>
          <w:szCs w:val="24"/>
        </w:rPr>
        <w:t>Survey Methodology and Missing Data. Methods and Tools for Practitioners</w:t>
      </w:r>
      <w:r>
        <w:rPr>
          <w:i/>
          <w:szCs w:val="24"/>
        </w:rPr>
        <w:t xml:space="preserve">. </w:t>
      </w:r>
      <w:r>
        <w:rPr>
          <w:szCs w:val="24"/>
        </w:rPr>
        <w:t>Springer.</w:t>
      </w:r>
    </w:p>
    <w:p w:rsidR="00AC3FD5" w:rsidRPr="00AC3FD5" w:rsidRDefault="00AC3FD5" w:rsidP="00AC3FD5">
      <w:pPr>
        <w:pStyle w:val="ListParagraph"/>
        <w:numPr>
          <w:ilvl w:val="0"/>
          <w:numId w:val="20"/>
        </w:numPr>
        <w:autoSpaceDE w:val="0"/>
        <w:autoSpaceDN w:val="0"/>
        <w:adjustRightInd w:val="0"/>
        <w:spacing w:after="0"/>
        <w:rPr>
          <w:szCs w:val="24"/>
        </w:rPr>
      </w:pPr>
      <w:r w:rsidRPr="00D21CB0">
        <w:rPr>
          <w:szCs w:val="24"/>
          <w:lang w:val="sv-SE"/>
        </w:rPr>
        <w:t xml:space="preserve">J-C Deville &amp; C-E Särndal (1992). </w:t>
      </w:r>
      <w:r w:rsidRPr="00AC3FD5">
        <w:rPr>
          <w:szCs w:val="24"/>
        </w:rPr>
        <w:t xml:space="preserve">Calibration Estimators in Survey Sampling. </w:t>
      </w:r>
      <w:r w:rsidRPr="00AC3FD5">
        <w:rPr>
          <w:i/>
          <w:szCs w:val="24"/>
        </w:rPr>
        <w:t>Journal of the American Statistical Association</w:t>
      </w:r>
      <w:r w:rsidRPr="00AC3FD5">
        <w:rPr>
          <w:szCs w:val="24"/>
        </w:rPr>
        <w:t xml:space="preserve">. 376-382. </w:t>
      </w:r>
    </w:p>
    <w:p w:rsidR="00AC3FD5" w:rsidRDefault="00AC3FD5" w:rsidP="009C03CB">
      <w:pPr>
        <w:pStyle w:val="ListParagraph"/>
        <w:numPr>
          <w:ilvl w:val="0"/>
          <w:numId w:val="20"/>
        </w:numPr>
        <w:spacing w:after="0"/>
        <w:outlineLvl w:val="1"/>
        <w:rPr>
          <w:szCs w:val="24"/>
        </w:rPr>
      </w:pPr>
      <w:r w:rsidRPr="00D21CB0">
        <w:rPr>
          <w:szCs w:val="24"/>
          <w:lang w:val="sv-SE" w:eastAsia="fi-FI"/>
        </w:rPr>
        <w:t>J-C D</w:t>
      </w:r>
      <w:r w:rsidR="00FA0196" w:rsidRPr="00D21CB0">
        <w:rPr>
          <w:szCs w:val="24"/>
          <w:lang w:val="sv-SE" w:eastAsia="fi-FI"/>
        </w:rPr>
        <w:t>eville</w:t>
      </w:r>
      <w:r w:rsidRPr="00D21CB0">
        <w:rPr>
          <w:szCs w:val="24"/>
          <w:lang w:val="sv-SE" w:eastAsia="fi-FI"/>
        </w:rPr>
        <w:t>, C-E S</w:t>
      </w:r>
      <w:r w:rsidR="00FA0196" w:rsidRPr="00D21CB0">
        <w:rPr>
          <w:szCs w:val="24"/>
          <w:lang w:val="sv-SE" w:eastAsia="fi-FI"/>
        </w:rPr>
        <w:t>ärndal</w:t>
      </w:r>
      <w:r w:rsidRPr="00D21CB0">
        <w:rPr>
          <w:szCs w:val="24"/>
          <w:lang w:val="sv-SE" w:eastAsia="fi-FI"/>
        </w:rPr>
        <w:t xml:space="preserve"> &amp; O. S</w:t>
      </w:r>
      <w:r w:rsidR="00FA0196" w:rsidRPr="00D21CB0">
        <w:rPr>
          <w:szCs w:val="24"/>
          <w:lang w:val="sv-SE" w:eastAsia="fi-FI"/>
        </w:rPr>
        <w:t>autory</w:t>
      </w:r>
      <w:r w:rsidRPr="00D21CB0">
        <w:rPr>
          <w:szCs w:val="24"/>
          <w:lang w:val="sv-SE" w:eastAsia="fi-FI"/>
        </w:rPr>
        <w:t xml:space="preserve"> (1993). </w:t>
      </w:r>
      <w:r w:rsidRPr="00AC3FD5">
        <w:rPr>
          <w:bCs/>
          <w:szCs w:val="24"/>
          <w:lang w:eastAsia="fi-FI"/>
        </w:rPr>
        <w:t xml:space="preserve">Generalized Raking Procedures in Survey Sampling. </w:t>
      </w:r>
      <w:r w:rsidRPr="00AC3FD5">
        <w:rPr>
          <w:i/>
          <w:szCs w:val="24"/>
        </w:rPr>
        <w:t>Journal of the American Statistical Association</w:t>
      </w:r>
      <w:r w:rsidRPr="00AC3FD5">
        <w:rPr>
          <w:szCs w:val="24"/>
        </w:rPr>
        <w:t>. 1013-1020.</w:t>
      </w:r>
    </w:p>
    <w:p w:rsidR="00B41C1E" w:rsidRPr="00313689" w:rsidRDefault="00B41C1E" w:rsidP="00B41C1E">
      <w:pPr>
        <w:pStyle w:val="ListParagraph"/>
        <w:numPr>
          <w:ilvl w:val="0"/>
          <w:numId w:val="20"/>
        </w:numPr>
        <w:autoSpaceDE w:val="0"/>
        <w:autoSpaceDN w:val="0"/>
        <w:adjustRightInd w:val="0"/>
        <w:spacing w:after="0"/>
        <w:rPr>
          <w:rFonts w:cs="AdvPS6F00"/>
          <w:szCs w:val="24"/>
        </w:rPr>
      </w:pPr>
      <w:r>
        <w:rPr>
          <w:rFonts w:cs="AdvPS6F00"/>
          <w:szCs w:val="24"/>
        </w:rPr>
        <w:t xml:space="preserve">S </w:t>
      </w:r>
      <w:r w:rsidR="00200CE2">
        <w:rPr>
          <w:rFonts w:cs="AdvPS6F00"/>
          <w:szCs w:val="24"/>
        </w:rPr>
        <w:t xml:space="preserve">Laaksonen </w:t>
      </w:r>
      <w:r w:rsidRPr="00B41C1E">
        <w:rPr>
          <w:rFonts w:cs="AdvPS6F00"/>
          <w:szCs w:val="24"/>
        </w:rPr>
        <w:t xml:space="preserve">&amp; </w:t>
      </w:r>
      <w:r w:rsidR="00200CE2">
        <w:rPr>
          <w:rFonts w:cs="AdvPS6F00"/>
          <w:szCs w:val="24"/>
        </w:rPr>
        <w:t>M Heiskanen</w:t>
      </w:r>
      <w:r w:rsidRPr="00B41C1E">
        <w:rPr>
          <w:rFonts w:cs="AdvPS6F00"/>
          <w:szCs w:val="24"/>
        </w:rPr>
        <w:t xml:space="preserve"> (</w:t>
      </w:r>
      <w:r w:rsidR="00200CE2">
        <w:rPr>
          <w:rFonts w:cs="AdvPS6F00"/>
          <w:szCs w:val="24"/>
        </w:rPr>
        <w:t>2014</w:t>
      </w:r>
      <w:r w:rsidRPr="00B41C1E">
        <w:rPr>
          <w:rFonts w:cs="AdvPS6F00"/>
          <w:szCs w:val="24"/>
        </w:rPr>
        <w:t xml:space="preserve">). </w:t>
      </w:r>
      <w:r w:rsidR="000D5E0B" w:rsidRPr="00186B9C">
        <w:rPr>
          <w:rFonts w:ascii="Calibri" w:hAnsi="Calibri"/>
          <w:bCs/>
          <w:sz w:val="22"/>
          <w:szCs w:val="22"/>
          <w:lang w:val="en-US"/>
        </w:rPr>
        <w:t xml:space="preserve">Comparison of Three Modes for a Crime Victimization Survey, </w:t>
      </w:r>
      <w:r w:rsidR="000D5E0B" w:rsidRPr="00186B9C">
        <w:rPr>
          <w:rFonts w:ascii="Calibri" w:hAnsi="Calibri"/>
          <w:i/>
          <w:iCs/>
          <w:sz w:val="22"/>
          <w:szCs w:val="22"/>
          <w:lang w:val="en-US"/>
        </w:rPr>
        <w:t>Journal of Survey Statistics and Methodology 2 (4): 459-483 doi:10.1093/jssam/smu018</w:t>
      </w:r>
    </w:p>
    <w:p w:rsidR="00313689" w:rsidRPr="00313689" w:rsidRDefault="00313689" w:rsidP="00313689">
      <w:pPr>
        <w:pStyle w:val="ListParagraph"/>
        <w:numPr>
          <w:ilvl w:val="0"/>
          <w:numId w:val="20"/>
        </w:numPr>
        <w:autoSpaceDE w:val="0"/>
        <w:autoSpaceDN w:val="0"/>
        <w:adjustRightInd w:val="0"/>
        <w:spacing w:after="0"/>
        <w:rPr>
          <w:bCs/>
          <w:szCs w:val="24"/>
        </w:rPr>
      </w:pPr>
      <w:r>
        <w:rPr>
          <w:bCs/>
          <w:szCs w:val="24"/>
        </w:rPr>
        <w:t xml:space="preserve">O </w:t>
      </w:r>
      <w:r w:rsidRPr="00313689">
        <w:rPr>
          <w:bCs/>
          <w:szCs w:val="24"/>
        </w:rPr>
        <w:t>S</w:t>
      </w:r>
      <w:r>
        <w:rPr>
          <w:bCs/>
          <w:szCs w:val="24"/>
        </w:rPr>
        <w:t xml:space="preserve">autory </w:t>
      </w:r>
      <w:r w:rsidRPr="00313689">
        <w:rPr>
          <w:bCs/>
          <w:szCs w:val="24"/>
        </w:rPr>
        <w:t xml:space="preserve">(2003). CALMAR 2: A NEW VERSION OF THE CALMAR CALIBRATION ADJUSTMENT PROGRAM. </w:t>
      </w:r>
      <w:r w:rsidRPr="00313689">
        <w:rPr>
          <w:szCs w:val="24"/>
        </w:rPr>
        <w:t>Proceedings of Statistics Canada’s Symposium: Challenges in Survey Taking for the Next Decade</w:t>
      </w:r>
    </w:p>
    <w:p w:rsidR="00313689" w:rsidRPr="00313689" w:rsidRDefault="00313689" w:rsidP="00313689">
      <w:pPr>
        <w:autoSpaceDE w:val="0"/>
        <w:autoSpaceDN w:val="0"/>
        <w:adjustRightInd w:val="0"/>
        <w:spacing w:after="0"/>
        <w:ind w:left="567"/>
        <w:rPr>
          <w:rFonts w:cs="AdvPS6F00"/>
          <w:szCs w:val="24"/>
        </w:rPr>
      </w:pPr>
    </w:p>
    <w:p w:rsidR="00B41C1E" w:rsidRDefault="00B41C1E" w:rsidP="00C3332B">
      <w:pPr>
        <w:pStyle w:val="ListParagraph"/>
        <w:spacing w:after="0"/>
        <w:ind w:left="927"/>
        <w:outlineLvl w:val="1"/>
        <w:rPr>
          <w:szCs w:val="24"/>
        </w:rPr>
      </w:pPr>
    </w:p>
    <w:p w:rsidR="00AC3FD5" w:rsidRPr="00AC3FD5" w:rsidRDefault="00AC3FD5" w:rsidP="00AC3FD5">
      <w:pPr>
        <w:pStyle w:val="ListParagraph"/>
        <w:rPr>
          <w:szCs w:val="24"/>
        </w:rPr>
      </w:pPr>
    </w:p>
    <w:p w:rsidR="00FF52C5" w:rsidRPr="00AC3FD5" w:rsidRDefault="00FF52C5">
      <w:pPr>
        <w:pStyle w:val="ListParagraph"/>
        <w:rPr>
          <w:szCs w:val="24"/>
        </w:rPr>
      </w:pPr>
    </w:p>
    <w:sectPr w:rsidR="00FF52C5" w:rsidRPr="00AC3FD5"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1A" w:rsidRDefault="009D381A" w:rsidP="00BC6AFE">
      <w:pPr>
        <w:spacing w:after="0"/>
      </w:pPr>
      <w:r>
        <w:separator/>
      </w:r>
    </w:p>
  </w:endnote>
  <w:endnote w:type="continuationSeparator" w:id="0">
    <w:p w:rsidR="009D381A" w:rsidRDefault="009D381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PS6F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Footer"/>
      <w:jc w:val="center"/>
    </w:pPr>
    <w:r>
      <w:fldChar w:fldCharType="begin"/>
    </w:r>
    <w:r>
      <w:instrText>PAGE</w:instrText>
    </w:r>
    <w:r>
      <w:fldChar w:fldCharType="separate"/>
    </w:r>
    <w:r w:rsidR="00FF52C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1A" w:rsidRDefault="009D381A" w:rsidP="00BC6AFE">
      <w:pPr>
        <w:spacing w:after="0"/>
      </w:pPr>
      <w:r>
        <w:separator/>
      </w:r>
    </w:p>
  </w:footnote>
  <w:footnote w:type="continuationSeparator" w:id="0">
    <w:p w:rsidR="009D381A" w:rsidRDefault="009D381A"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7444CE"/>
    <w:multiLevelType w:val="hybridMultilevel"/>
    <w:tmpl w:val="72021666"/>
    <w:lvl w:ilvl="0" w:tplc="B734D50C">
      <w:start w:val="1"/>
      <w:numFmt w:val="upperLetter"/>
      <w:lvlText w:val="%1."/>
      <w:lvlJc w:val="left"/>
      <w:pPr>
        <w:ind w:left="720" w:hanging="360"/>
      </w:pPr>
      <w:rPr>
        <w:rFonts w:ascii="Times New Roman" w:eastAsia="Times New Roman" w:hAnsi="Times New Roman" w:cs="Times New Roman"/>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18D34C4"/>
    <w:multiLevelType w:val="hybridMultilevel"/>
    <w:tmpl w:val="2F682A78"/>
    <w:lvl w:ilvl="0" w:tplc="0458091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D5E6FFB"/>
    <w:multiLevelType w:val="hybridMultilevel"/>
    <w:tmpl w:val="79EA80BE"/>
    <w:lvl w:ilvl="0" w:tplc="4EBCD386">
      <w:start w:val="1"/>
      <w:numFmt w:val="lowerLetter"/>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2061"/>
        </w:tabs>
        <w:ind w:left="206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8"/>
  </w:num>
  <w:num w:numId="7">
    <w:abstractNumId w:val="6"/>
  </w:num>
  <w:num w:numId="8">
    <w:abstractNumId w:val="5"/>
  </w:num>
  <w:num w:numId="9">
    <w:abstractNumId w:val="18"/>
  </w:num>
  <w:num w:numId="10">
    <w:abstractNumId w:val="20"/>
  </w:num>
  <w:num w:numId="11">
    <w:abstractNumId w:val="19"/>
  </w:num>
  <w:num w:numId="12">
    <w:abstractNumId w:val="21"/>
  </w:num>
  <w:num w:numId="13">
    <w:abstractNumId w:val="7"/>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4"/>
  </w:num>
  <w:num w:numId="21">
    <w:abstractNumId w:val="3"/>
  </w:num>
  <w:num w:numId="22">
    <w:abstractNumId w:val="9"/>
  </w:num>
  <w:num w:numId="23">
    <w:abstractNumId w:val="16"/>
    <w:lvlOverride w:ilvl="0">
      <w:startOverride w:val="4"/>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6">
    <w:abstractNumId w:val="16"/>
    <w:lvlOverride w:ilvl="0">
      <w:startOverride w:val="5"/>
    </w:lvlOverride>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F3120"/>
    <w:rsid w:val="00007A36"/>
    <w:rsid w:val="0002523A"/>
    <w:rsid w:val="000339D5"/>
    <w:rsid w:val="000618B8"/>
    <w:rsid w:val="000642A1"/>
    <w:rsid w:val="000C004B"/>
    <w:rsid w:val="000D5E0B"/>
    <w:rsid w:val="000F7438"/>
    <w:rsid w:val="00112131"/>
    <w:rsid w:val="00127067"/>
    <w:rsid w:val="001312E7"/>
    <w:rsid w:val="00175F9B"/>
    <w:rsid w:val="00182A39"/>
    <w:rsid w:val="001857CF"/>
    <w:rsid w:val="001A1013"/>
    <w:rsid w:val="001B494F"/>
    <w:rsid w:val="001B50CE"/>
    <w:rsid w:val="00200CE2"/>
    <w:rsid w:val="002012A8"/>
    <w:rsid w:val="00240AB8"/>
    <w:rsid w:val="00243A2C"/>
    <w:rsid w:val="00265BC3"/>
    <w:rsid w:val="002842EE"/>
    <w:rsid w:val="002A1793"/>
    <w:rsid w:val="002B0F07"/>
    <w:rsid w:val="002B6DFB"/>
    <w:rsid w:val="002D77FA"/>
    <w:rsid w:val="00304ECB"/>
    <w:rsid w:val="00313689"/>
    <w:rsid w:val="003218C9"/>
    <w:rsid w:val="00332D6F"/>
    <w:rsid w:val="00354DED"/>
    <w:rsid w:val="0036360A"/>
    <w:rsid w:val="00364DB2"/>
    <w:rsid w:val="00381CC4"/>
    <w:rsid w:val="00387C5E"/>
    <w:rsid w:val="003953D6"/>
    <w:rsid w:val="003B6603"/>
    <w:rsid w:val="003D30B8"/>
    <w:rsid w:val="003D713C"/>
    <w:rsid w:val="00440233"/>
    <w:rsid w:val="00461735"/>
    <w:rsid w:val="004960A5"/>
    <w:rsid w:val="00497B4D"/>
    <w:rsid w:val="004A27F5"/>
    <w:rsid w:val="004B09F8"/>
    <w:rsid w:val="00521224"/>
    <w:rsid w:val="00563CDA"/>
    <w:rsid w:val="00573E28"/>
    <w:rsid w:val="005968D2"/>
    <w:rsid w:val="005B4EA5"/>
    <w:rsid w:val="005B7B32"/>
    <w:rsid w:val="00600062"/>
    <w:rsid w:val="00607E49"/>
    <w:rsid w:val="006160C7"/>
    <w:rsid w:val="006161A8"/>
    <w:rsid w:val="00625641"/>
    <w:rsid w:val="006312AF"/>
    <w:rsid w:val="00633A1E"/>
    <w:rsid w:val="00653091"/>
    <w:rsid w:val="006875D6"/>
    <w:rsid w:val="00687EBC"/>
    <w:rsid w:val="0069208F"/>
    <w:rsid w:val="006C1051"/>
    <w:rsid w:val="0070079C"/>
    <w:rsid w:val="007141E7"/>
    <w:rsid w:val="007170B2"/>
    <w:rsid w:val="0072769F"/>
    <w:rsid w:val="00737070"/>
    <w:rsid w:val="00743D1B"/>
    <w:rsid w:val="00752C41"/>
    <w:rsid w:val="00772A1E"/>
    <w:rsid w:val="00773479"/>
    <w:rsid w:val="0080576B"/>
    <w:rsid w:val="008058BB"/>
    <w:rsid w:val="008169D0"/>
    <w:rsid w:val="00820BDC"/>
    <w:rsid w:val="00821E86"/>
    <w:rsid w:val="0083612F"/>
    <w:rsid w:val="00867361"/>
    <w:rsid w:val="008847C3"/>
    <w:rsid w:val="008A6808"/>
    <w:rsid w:val="008A75D0"/>
    <w:rsid w:val="008B0528"/>
    <w:rsid w:val="008C5112"/>
    <w:rsid w:val="008E29ED"/>
    <w:rsid w:val="008E4092"/>
    <w:rsid w:val="00904D74"/>
    <w:rsid w:val="00923850"/>
    <w:rsid w:val="0096559F"/>
    <w:rsid w:val="00984284"/>
    <w:rsid w:val="009A41E5"/>
    <w:rsid w:val="009A4F48"/>
    <w:rsid w:val="009B024E"/>
    <w:rsid w:val="009B4EE0"/>
    <w:rsid w:val="009D381A"/>
    <w:rsid w:val="00A05CDA"/>
    <w:rsid w:val="00A17E8C"/>
    <w:rsid w:val="00A411FB"/>
    <w:rsid w:val="00A655F7"/>
    <w:rsid w:val="00A8294C"/>
    <w:rsid w:val="00AB4423"/>
    <w:rsid w:val="00AC01F6"/>
    <w:rsid w:val="00AC3FD5"/>
    <w:rsid w:val="00AF2E55"/>
    <w:rsid w:val="00B06984"/>
    <w:rsid w:val="00B41C1E"/>
    <w:rsid w:val="00B9492F"/>
    <w:rsid w:val="00BC17F5"/>
    <w:rsid w:val="00BC6AFE"/>
    <w:rsid w:val="00BF4B80"/>
    <w:rsid w:val="00BF74F1"/>
    <w:rsid w:val="00C01268"/>
    <w:rsid w:val="00C3332B"/>
    <w:rsid w:val="00C61824"/>
    <w:rsid w:val="00C674BC"/>
    <w:rsid w:val="00C75890"/>
    <w:rsid w:val="00C77F5B"/>
    <w:rsid w:val="00C95930"/>
    <w:rsid w:val="00CF4669"/>
    <w:rsid w:val="00CF6940"/>
    <w:rsid w:val="00D21CB0"/>
    <w:rsid w:val="00D24082"/>
    <w:rsid w:val="00D4516E"/>
    <w:rsid w:val="00D52EA1"/>
    <w:rsid w:val="00D85BC4"/>
    <w:rsid w:val="00D905C8"/>
    <w:rsid w:val="00D90CF1"/>
    <w:rsid w:val="00D926E8"/>
    <w:rsid w:val="00DA2A2F"/>
    <w:rsid w:val="00DB601E"/>
    <w:rsid w:val="00DB7332"/>
    <w:rsid w:val="00DD688B"/>
    <w:rsid w:val="00DF3120"/>
    <w:rsid w:val="00E81C88"/>
    <w:rsid w:val="00EA0AE8"/>
    <w:rsid w:val="00ED15BC"/>
    <w:rsid w:val="00EE2ADF"/>
    <w:rsid w:val="00F21009"/>
    <w:rsid w:val="00F26BD3"/>
    <w:rsid w:val="00F740E4"/>
    <w:rsid w:val="00FA0196"/>
    <w:rsid w:val="00FF52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C4DAC4-BE69-44CA-B293-8D15ED29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89117">
      <w:bodyDiv w:val="1"/>
      <w:marLeft w:val="0"/>
      <w:marRight w:val="0"/>
      <w:marTop w:val="0"/>
      <w:marBottom w:val="0"/>
      <w:divBdr>
        <w:top w:val="none" w:sz="0" w:space="0" w:color="auto"/>
        <w:left w:val="none" w:sz="0" w:space="0" w:color="auto"/>
        <w:bottom w:val="none" w:sz="0" w:space="0" w:color="auto"/>
        <w:right w:val="none" w:sz="0" w:space="0" w:color="auto"/>
      </w:divBdr>
    </w:div>
    <w:div w:id="1173183486">
      <w:bodyDiv w:val="1"/>
      <w:marLeft w:val="0"/>
      <w:marRight w:val="0"/>
      <w:marTop w:val="0"/>
      <w:marBottom w:val="0"/>
      <w:divBdr>
        <w:top w:val="none" w:sz="0" w:space="0" w:color="auto"/>
        <w:left w:val="none" w:sz="0" w:space="0" w:color="auto"/>
        <w:bottom w:val="none" w:sz="0" w:space="0" w:color="auto"/>
        <w:right w:val="none" w:sz="0" w:space="0" w:color="auto"/>
      </w:divBdr>
    </w:div>
    <w:div w:id="1337155152">
      <w:bodyDiv w:val="1"/>
      <w:marLeft w:val="0"/>
      <w:marRight w:val="0"/>
      <w:marTop w:val="0"/>
      <w:marBottom w:val="0"/>
      <w:divBdr>
        <w:top w:val="none" w:sz="0" w:space="0" w:color="auto"/>
        <w:left w:val="none" w:sz="0" w:space="0" w:color="auto"/>
        <w:bottom w:val="none" w:sz="0" w:space="0" w:color="auto"/>
        <w:right w:val="none" w:sz="0" w:space="0" w:color="auto"/>
      </w:divBdr>
    </w:div>
    <w:div w:id="1705204411">
      <w:bodyDiv w:val="1"/>
      <w:marLeft w:val="0"/>
      <w:marRight w:val="0"/>
      <w:marTop w:val="0"/>
      <w:marBottom w:val="0"/>
      <w:divBdr>
        <w:top w:val="none" w:sz="0" w:space="0" w:color="auto"/>
        <w:left w:val="none" w:sz="0" w:space="0" w:color="auto"/>
        <w:bottom w:val="none" w:sz="0" w:space="0" w:color="auto"/>
        <w:right w:val="none" w:sz="0" w:space="0" w:color="auto"/>
      </w:divBdr>
    </w:div>
    <w:div w:id="17728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akso\AppData\Local\Temp\ntts2019abstra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06182CB7-2001-45B0-AAEE-ED8C824A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ntts2019abstract-1.dot</Template>
  <TotalTime>0</TotalTime>
  <Pages>4</Pages>
  <Words>1316</Words>
  <Characters>10667</Characters>
  <Application>Microsoft Office Word</Application>
  <DocSecurity>0</DocSecurity>
  <PresentationFormat>Microsoft Word 14.0</PresentationFormat>
  <Lines>88</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Laaksonen, Seppo S</dc:creator>
  <cp:keywords>EL4</cp:keywords>
  <cp:lastModifiedBy>Laaksonen, Seppo S</cp:lastModifiedBy>
  <cp:revision>2</cp:revision>
  <cp:lastPrinted>2018-05-29T09:06:00Z</cp:lastPrinted>
  <dcterms:created xsi:type="dcterms:W3CDTF">2018-10-14T13:54:00Z</dcterms:created>
  <dcterms:modified xsi:type="dcterms:W3CDTF">2018-10-14T13:54:00Z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