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887" w:rsidRPr="00194887" w:rsidRDefault="00194887" w:rsidP="00194887">
      <w:pPr>
        <w:pStyle w:val="Titel"/>
      </w:pPr>
      <w:r w:rsidRPr="00194887">
        <w:t xml:space="preserve">Administrative Data and statistical matching </w:t>
      </w:r>
      <w:r w:rsidRPr="00194887">
        <w:br/>
        <w:t>(EU-SILC and Micro</w:t>
      </w:r>
      <w:r w:rsidR="003234D0">
        <w:t>-</w:t>
      </w:r>
      <w:r w:rsidRPr="00194887">
        <w:t>census Environment)</w:t>
      </w:r>
    </w:p>
    <w:p w:rsidR="003234D0" w:rsidRDefault="003234D0" w:rsidP="00194887">
      <w:pPr>
        <w:rPr>
          <w:b/>
          <w:u w:val="single"/>
        </w:rPr>
      </w:pPr>
    </w:p>
    <w:p w:rsidR="00194887" w:rsidRDefault="00194887" w:rsidP="00194887">
      <w:r w:rsidRPr="00243A2C">
        <w:rPr>
          <w:b/>
          <w:u w:val="single"/>
        </w:rPr>
        <w:t>Keywords</w:t>
      </w:r>
      <w:r w:rsidRPr="00243A2C">
        <w:rPr>
          <w:b/>
        </w:rPr>
        <w:t>:</w:t>
      </w:r>
      <w:r>
        <w:t xml:space="preserve"> </w:t>
      </w:r>
      <w:r w:rsidRPr="00584599">
        <w:t xml:space="preserve">Statistical Matching, </w:t>
      </w:r>
      <w:r>
        <w:t xml:space="preserve">administrative data, </w:t>
      </w:r>
      <w:r w:rsidRPr="00584599">
        <w:t>environmental conditions, environmental behaviour, household income</w:t>
      </w:r>
    </w:p>
    <w:p w:rsidR="00194887" w:rsidRDefault="00194887" w:rsidP="00194887">
      <w:pPr>
        <w:pStyle w:val="berschrift1"/>
      </w:pPr>
      <w:r>
        <w:t>Introduction</w:t>
      </w:r>
    </w:p>
    <w:p w:rsidR="00194887" w:rsidRDefault="00194887" w:rsidP="00194887">
      <w:r w:rsidRPr="00B570F0">
        <w:t xml:space="preserve">The </w:t>
      </w:r>
      <w:r>
        <w:t>micro-census s</w:t>
      </w:r>
      <w:r w:rsidRPr="00B570F0">
        <w:t xml:space="preserve">pecial </w:t>
      </w:r>
      <w:r>
        <w:t>p</w:t>
      </w:r>
      <w:r w:rsidRPr="00B570F0">
        <w:t xml:space="preserve">rogramme "Environmental conditions and environmental behaviour" by Statistics Austria </w:t>
      </w:r>
      <w:r>
        <w:t>contains</w:t>
      </w:r>
      <w:r w:rsidRPr="00B570F0">
        <w:t xml:space="preserve"> widespread data material </w:t>
      </w:r>
      <w:r>
        <w:t>concerning</w:t>
      </w:r>
      <w:r w:rsidRPr="00B570F0">
        <w:t xml:space="preserve"> ecological issues.</w:t>
      </w:r>
      <w:r>
        <w:t xml:space="preserve"> </w:t>
      </w:r>
      <w:r w:rsidRPr="00B570F0">
        <w:t>The influence of income on the collected environmental chara</w:t>
      </w:r>
      <w:r>
        <w:t xml:space="preserve">cteristics is commonly assumed but could not be confirmed </w:t>
      </w:r>
      <w:r w:rsidR="001739BE">
        <w:t xml:space="preserve">with the original data sample </w:t>
      </w:r>
      <w:r>
        <w:t>because the variable “</w:t>
      </w:r>
      <w:r w:rsidRPr="00B570F0">
        <w:t>income</w:t>
      </w:r>
      <w:r>
        <w:t>”</w:t>
      </w:r>
      <w:r w:rsidRPr="00B570F0">
        <w:t xml:space="preserve"> is not </w:t>
      </w:r>
      <w:r w:rsidR="001739BE">
        <w:t xml:space="preserve">a direct </w:t>
      </w:r>
      <w:r w:rsidRPr="00B570F0">
        <w:t>part of the micro-census survey.</w:t>
      </w:r>
      <w:r>
        <w:t xml:space="preserve"> </w:t>
      </w:r>
      <w:r w:rsidRPr="00B570F0">
        <w:t xml:space="preserve">If education and employment status </w:t>
      </w:r>
      <w:r w:rsidR="005F779D">
        <w:t>were</w:t>
      </w:r>
      <w:r w:rsidRPr="00B570F0">
        <w:t xml:space="preserve"> used as approximation</w:t>
      </w:r>
      <w:r>
        <w:t>s</w:t>
      </w:r>
      <w:r w:rsidRPr="00B570F0">
        <w:t xml:space="preserve">, </w:t>
      </w:r>
      <w:r>
        <w:t>it can be</w:t>
      </w:r>
      <w:r w:rsidRPr="00B570F0">
        <w:t xml:space="preserve"> assumed that the income</w:t>
      </w:r>
      <w:r>
        <w:t xml:space="preserve"> of households</w:t>
      </w:r>
      <w:r w:rsidRPr="00B570F0">
        <w:t xml:space="preserve"> is a crucial factor, for example for the purchase of organic products </w:t>
      </w:r>
      <w:r>
        <w:t xml:space="preserve">[Baud - </w:t>
      </w:r>
      <w:proofErr w:type="spellStart"/>
      <w:r>
        <w:t>Milota</w:t>
      </w:r>
      <w:proofErr w:type="spellEnd"/>
      <w:r>
        <w:t>, 2017</w:t>
      </w:r>
      <w:r w:rsidRPr="00B570F0">
        <w:t xml:space="preserve">, p </w:t>
      </w:r>
      <w:r w:rsidR="005F779D">
        <w:t>69</w:t>
      </w:r>
      <w:r>
        <w:t>]</w:t>
      </w:r>
      <w:r w:rsidRPr="00B570F0">
        <w:t>.</w:t>
      </w:r>
    </w:p>
    <w:p w:rsidR="00194887" w:rsidRDefault="00194887" w:rsidP="00194887">
      <w:r>
        <w:t>In 2014 a pilot project “environmental conditions / behaviour and income” used statistical matching to add income variables from EU-SILC 2011 to the data of the micro-census environment 2011 [</w:t>
      </w:r>
      <w:r w:rsidRPr="00721023">
        <w:t>Wegscheider-Pichler, 2014</w:t>
      </w:r>
      <w:r>
        <w:t>]. This allowed analysing the correlation between environmental behaviour as well as environmental impacts (e.g. noise, dust) with the overall household income of the people interviewed.</w:t>
      </w:r>
    </w:p>
    <w:p w:rsidR="00194887" w:rsidRDefault="00194887" w:rsidP="00194887">
      <w:r>
        <w:t>In 2018 a follow up with data of the micro</w:t>
      </w:r>
      <w:r w:rsidR="003234D0">
        <w:t>-</w:t>
      </w:r>
      <w:r>
        <w:t xml:space="preserve">census environment 2015 was conducted. </w:t>
      </w:r>
      <w:r w:rsidRPr="00721023">
        <w:t>Unlike the previous project</w:t>
      </w:r>
      <w:r>
        <w:t xml:space="preserve"> 2014</w:t>
      </w:r>
      <w:r w:rsidRPr="00721023">
        <w:t xml:space="preserve">, </w:t>
      </w:r>
      <w:r>
        <w:t xml:space="preserve">now </w:t>
      </w:r>
      <w:r w:rsidRPr="00721023">
        <w:t>much of the income information was generated from administrative data, which increased data validity</w:t>
      </w:r>
      <w:r w:rsidR="003616BB">
        <w:t xml:space="preserve"> substantially</w:t>
      </w:r>
      <w:r w:rsidRPr="00721023">
        <w:t>. Thus, the analy</w:t>
      </w:r>
      <w:r>
        <w:t>s</w:t>
      </w:r>
      <w:r w:rsidRPr="00721023">
        <w:t xml:space="preserve">es carried out in the previous report on the subject of "environmental justice" could be </w:t>
      </w:r>
      <w:r w:rsidR="00562F20">
        <w:t>examined</w:t>
      </w:r>
      <w:r w:rsidRPr="00721023">
        <w:t xml:space="preserve"> in more detail.</w:t>
      </w:r>
    </w:p>
    <w:p w:rsidR="00194887" w:rsidRDefault="00194887" w:rsidP="00194887">
      <w:pPr>
        <w:pStyle w:val="berschrift1"/>
      </w:pPr>
      <w:r>
        <w:t>Methods</w:t>
      </w:r>
    </w:p>
    <w:p w:rsidR="00194887" w:rsidRDefault="00194887" w:rsidP="00194887">
      <w:r>
        <w:t>To</w:t>
      </w:r>
      <w:r w:rsidRPr="0026009A">
        <w:t xml:space="preserve"> obtain the most accurate income information possible for the sample of the micro</w:t>
      </w:r>
      <w:r w:rsidR="003234D0">
        <w:t>-</w:t>
      </w:r>
      <w:r w:rsidRPr="0026009A">
        <w:t xml:space="preserve">census environment, income variables from administrative data were linked to the </w:t>
      </w:r>
      <w:r>
        <w:t>sample data</w:t>
      </w:r>
      <w:r w:rsidRPr="0026009A">
        <w:t>.</w:t>
      </w:r>
      <w:r>
        <w:t xml:space="preserve"> </w:t>
      </w:r>
      <w:r w:rsidRPr="0026009A">
        <w:t xml:space="preserve">EU-SILC </w:t>
      </w:r>
      <w:r>
        <w:t>actually generates</w:t>
      </w:r>
      <w:r w:rsidRPr="0026009A">
        <w:t xml:space="preserve"> more than 85% of the income components from administrative data. This applies, for example, to income from employment, unemployment </w:t>
      </w:r>
      <w:r>
        <w:t>benefits</w:t>
      </w:r>
      <w:r w:rsidRPr="0026009A">
        <w:t xml:space="preserve"> or pensions. These variables from administrative </w:t>
      </w:r>
      <w:r w:rsidR="00562F20">
        <w:t>sources</w:t>
      </w:r>
      <w:r w:rsidRPr="0026009A">
        <w:t xml:space="preserve"> (such as payroll data) can also be directly incorporated into the micro</w:t>
      </w:r>
      <w:r w:rsidR="00562F20">
        <w:t>-</w:t>
      </w:r>
      <w:r w:rsidRPr="0026009A">
        <w:t>census environment.</w:t>
      </w:r>
      <w:r>
        <w:t xml:space="preserve"> To</w:t>
      </w:r>
      <w:r w:rsidRPr="0026009A">
        <w:t xml:space="preserve"> ensure compliance with the secrecy guidelines, the administrative data is assigned to the data set of the </w:t>
      </w:r>
      <w:r>
        <w:t>m</w:t>
      </w:r>
      <w:r w:rsidRPr="0026009A">
        <w:t>icro</w:t>
      </w:r>
      <w:r w:rsidR="003234D0">
        <w:t>-</w:t>
      </w:r>
      <w:r w:rsidRPr="0026009A">
        <w:t>census Environment by means of a</w:t>
      </w:r>
      <w:r>
        <w:t>n</w:t>
      </w:r>
      <w:r w:rsidRPr="0026009A">
        <w:t xml:space="preserve"> anonymised 28-digit personal key.</w:t>
      </w:r>
    </w:p>
    <w:p w:rsidR="00194887" w:rsidRDefault="00194887" w:rsidP="00194887">
      <w:r>
        <w:t>For the remaining income components (like income from self-employment or some housing benefits) i</w:t>
      </w:r>
      <w:r w:rsidRPr="00584599">
        <w:t xml:space="preserve">ncome </w:t>
      </w:r>
      <w:r>
        <w:t>information</w:t>
      </w:r>
      <w:r w:rsidRPr="00584599">
        <w:t xml:space="preserve"> from EU-SILC 201</w:t>
      </w:r>
      <w:r>
        <w:t>6</w:t>
      </w:r>
      <w:r w:rsidRPr="00584599">
        <w:t xml:space="preserve"> </w:t>
      </w:r>
      <w:r>
        <w:t>were inserted</w:t>
      </w:r>
      <w:r w:rsidRPr="00584599">
        <w:t xml:space="preserve"> to the data</w:t>
      </w:r>
      <w:r>
        <w:t>-set</w:t>
      </w:r>
      <w:r w:rsidRPr="00584599">
        <w:t xml:space="preserve"> of the micro-census environment 201</w:t>
      </w:r>
      <w:r>
        <w:t xml:space="preserve">5 by statistical matching. Some focus was laid on the selection of the variables used to link the two data files (= connecting </w:t>
      </w:r>
      <w:r w:rsidRPr="00B95E82">
        <w:t>variables</w:t>
      </w:r>
      <w:r>
        <w:t xml:space="preserve">). </w:t>
      </w:r>
      <w:r w:rsidRPr="007C12D7">
        <w:t>The comparability and homogeneity of the variables</w:t>
      </w:r>
      <w:r>
        <w:t xml:space="preserve"> is granted by using a so called “Rich Frame” of variables, conducted by the methodological department</w:t>
      </w:r>
      <w:r w:rsidRPr="007C12D7">
        <w:t xml:space="preserve"> </w:t>
      </w:r>
      <w:r>
        <w:t>for sample surveys of Statistics Austria</w:t>
      </w:r>
      <w:r w:rsidRPr="007C12D7">
        <w:t xml:space="preserve"> </w:t>
      </w:r>
      <w:r>
        <w:t xml:space="preserve">[for the relevance of harmonised variables </w:t>
      </w:r>
      <w:r w:rsidRPr="007C12D7">
        <w:t>see</w:t>
      </w:r>
      <w:r>
        <w:t xml:space="preserve"> also Eurostat, 2013</w:t>
      </w:r>
      <w:r w:rsidRPr="007C12D7">
        <w:t>, p.13</w:t>
      </w:r>
      <w:r>
        <w:t>]</w:t>
      </w:r>
      <w:r w:rsidRPr="007C12D7">
        <w:t>.</w:t>
      </w:r>
    </w:p>
    <w:p w:rsidR="00194887" w:rsidRDefault="00194887" w:rsidP="00194887">
      <w:r>
        <w:lastRenderedPageBreak/>
        <w:t xml:space="preserve">With the income components of administrative data combined with the income components from EU-SILC, gained by statistical matching, a total household income for 2015 was calculated for further use of analytics evaluations. </w:t>
      </w:r>
    </w:p>
    <w:p w:rsidR="00194887" w:rsidRPr="000C5571" w:rsidRDefault="00194887" w:rsidP="00194887">
      <w:pPr>
        <w:pStyle w:val="berschrift2"/>
        <w:tabs>
          <w:tab w:val="clear" w:pos="1080"/>
          <w:tab w:val="num" w:pos="482"/>
        </w:tabs>
        <w:ind w:left="482" w:hanging="482"/>
      </w:pPr>
      <w:r w:rsidRPr="000C5571">
        <w:t>Statistical matching process</w:t>
      </w:r>
    </w:p>
    <w:p w:rsidR="007809D1" w:rsidRDefault="007809D1" w:rsidP="007809D1">
      <w:r w:rsidRPr="0016695C">
        <w:t>The statistical matching of the income components was carrie</w:t>
      </w:r>
      <w:r>
        <w:t>d out by a random forest model [</w:t>
      </w:r>
      <w:r w:rsidRPr="0016695C">
        <w:t xml:space="preserve">see </w:t>
      </w:r>
      <w:proofErr w:type="spellStart"/>
      <w:r w:rsidRPr="0016695C">
        <w:t>Briemann</w:t>
      </w:r>
      <w:proofErr w:type="spellEnd"/>
      <w:r w:rsidRPr="0016695C">
        <w:t>, 2001</w:t>
      </w:r>
      <w:r>
        <w:t>]</w:t>
      </w:r>
      <w:r w:rsidRPr="0016695C">
        <w:t>. This is a machine-learning algorithm where multiple (in this case 1500) decision trees are created at random. Each of these decision trees provides an estimate of income, and these estimates are then averaged. The decision trees are created from random samples of data from EU-SILC.</w:t>
      </w:r>
      <w:r>
        <w:t xml:space="preserve"> </w:t>
      </w:r>
      <w:r w:rsidRPr="00BC1D40">
        <w:t xml:space="preserve">Model-based methods, such as the </w:t>
      </w:r>
      <w:r>
        <w:t>r</w:t>
      </w:r>
      <w:r w:rsidRPr="00BC1D40">
        <w:t xml:space="preserve">andom </w:t>
      </w:r>
      <w:r>
        <w:t>f</w:t>
      </w:r>
      <w:r w:rsidRPr="00BC1D40">
        <w:t>orest algorithm, use a model estimated on the donor record, transfers it to the recipient record, and estimates values of the searched variables based on it.</w:t>
      </w:r>
      <w:r>
        <w:t xml:space="preserve"> </w:t>
      </w:r>
    </w:p>
    <w:p w:rsidR="007809D1" w:rsidRDefault="007809D1" w:rsidP="007809D1">
      <w:r w:rsidRPr="001C7899">
        <w:t xml:space="preserve">In a first run, a regression model was </w:t>
      </w:r>
      <w:r>
        <w:t>employed</w:t>
      </w:r>
      <w:r w:rsidRPr="001C7899">
        <w:t xml:space="preserve"> for the creation of the decision trees, which uses the logarithm of the household income on the basis of the </w:t>
      </w:r>
      <w:r>
        <w:t xml:space="preserve">connecting </w:t>
      </w:r>
      <w:r w:rsidRPr="00B95E82">
        <w:t>variables</w:t>
      </w:r>
      <w:r>
        <w:t>.</w:t>
      </w:r>
    </w:p>
    <w:p w:rsidR="007809D1" w:rsidRDefault="007809D1" w:rsidP="007809D1">
      <w:r>
        <w:t>During</w:t>
      </w:r>
      <w:r w:rsidRPr="001C7899">
        <w:t xml:space="preserve"> data evaluation, it turned out that, although the overall estimation of income by this method is </w:t>
      </w:r>
      <w:r>
        <w:t>satisfying</w:t>
      </w:r>
      <w:r w:rsidRPr="001C7899">
        <w:t xml:space="preserve">, but especially in the lower income deciles there is a large deviation at distribution level from the actual income from EU-SILC. </w:t>
      </w:r>
      <w:r>
        <w:t xml:space="preserve">Therefore in a second run, </w:t>
      </w:r>
      <w:r w:rsidRPr="001C7899">
        <w:t xml:space="preserve">only the </w:t>
      </w:r>
      <w:proofErr w:type="gramStart"/>
      <w:r w:rsidRPr="001C7899">
        <w:t>households</w:t>
      </w:r>
      <w:proofErr w:type="gramEnd"/>
      <w:r w:rsidRPr="001C7899">
        <w:t xml:space="preserve"> at-risk-of-poverty were estimated, (as a dichotomous variable, which indicates whether the equivalent household income is below the at-risk-of-poverty threshold). This logical variable was then used as an additional </w:t>
      </w:r>
      <w:proofErr w:type="spellStart"/>
      <w:r w:rsidRPr="001C7899">
        <w:t>regressor</w:t>
      </w:r>
      <w:proofErr w:type="spellEnd"/>
      <w:r w:rsidRPr="001C7899">
        <w:t xml:space="preserve"> to create the decision trees. In this way the </w:t>
      </w:r>
      <w:r>
        <w:t>rate</w:t>
      </w:r>
      <w:r w:rsidRPr="001C7899">
        <w:t xml:space="preserve"> of persons at risk of poverty could be well transferred to the imputed values</w:t>
      </w:r>
      <w:r>
        <w:t>, which substantially improved the results</w:t>
      </w:r>
      <w:r w:rsidRPr="001C7899">
        <w:t>.</w:t>
      </w:r>
    </w:p>
    <w:p w:rsidR="00194887" w:rsidRPr="00BC6AFE" w:rsidRDefault="00194887" w:rsidP="00194887"/>
    <w:p w:rsidR="00194887" w:rsidRDefault="00194887" w:rsidP="00194887">
      <w:pPr>
        <w:pStyle w:val="berschrift1"/>
      </w:pPr>
      <w:bookmarkStart w:id="0" w:name="_GoBack"/>
      <w:bookmarkEnd w:id="0"/>
      <w:r>
        <w:t>Preliminary Results</w:t>
      </w:r>
    </w:p>
    <w:p w:rsidR="00194887" w:rsidRPr="008847C3" w:rsidRDefault="00194887" w:rsidP="00194887">
      <w:pPr>
        <w:pStyle w:val="Text1"/>
        <w:rPr>
          <w:highlight w:val="green"/>
        </w:rPr>
      </w:pPr>
      <w:r>
        <w:rPr>
          <w:noProof/>
          <w:lang w:val="de-AT" w:eastAsia="de-AT"/>
        </w:rPr>
        <w:drawing>
          <wp:inline distT="0" distB="0" distL="0" distR="0">
            <wp:extent cx="4099560" cy="265176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9560" cy="2651760"/>
                    </a:xfrm>
                    <a:prstGeom prst="rect">
                      <a:avLst/>
                    </a:prstGeom>
                    <a:noFill/>
                    <a:ln>
                      <a:noFill/>
                    </a:ln>
                  </pic:spPr>
                </pic:pic>
              </a:graphicData>
            </a:graphic>
          </wp:inline>
        </w:drawing>
      </w:r>
    </w:p>
    <w:p w:rsidR="00194887" w:rsidRDefault="00194887" w:rsidP="00194887">
      <w:pPr>
        <w:pStyle w:val="Beschriftung"/>
      </w:pPr>
      <w:proofErr w:type="gramStart"/>
      <w:r w:rsidRPr="008B40AB">
        <w:t xml:space="preserve">Figure </w:t>
      </w:r>
      <w:r w:rsidRPr="008B40AB">
        <w:fldChar w:fldCharType="begin"/>
      </w:r>
      <w:r w:rsidRPr="008B40AB">
        <w:instrText xml:space="preserve"> SEQ Figure \* ARABIC </w:instrText>
      </w:r>
      <w:r w:rsidRPr="008B40AB">
        <w:fldChar w:fldCharType="separate"/>
      </w:r>
      <w:r>
        <w:t>1</w:t>
      </w:r>
      <w:r w:rsidRPr="008B40AB">
        <w:fldChar w:fldCharType="end"/>
      </w:r>
      <w:r w:rsidRPr="008B40AB">
        <w:t>.</w:t>
      </w:r>
      <w:proofErr w:type="gramEnd"/>
      <w:r w:rsidRPr="008B40AB">
        <w:t xml:space="preserve"> Assessment of the subjective quality of life by income </w:t>
      </w:r>
      <w:r>
        <w:t>(</w:t>
      </w:r>
      <w:proofErr w:type="spellStart"/>
      <w:r>
        <w:t>terciles</w:t>
      </w:r>
      <w:proofErr w:type="spellEnd"/>
      <w:r>
        <w:t>)</w:t>
      </w:r>
    </w:p>
    <w:p w:rsidR="00194887" w:rsidRPr="000E3594" w:rsidRDefault="00194887" w:rsidP="00194887">
      <w:r w:rsidRPr="000E3594">
        <w:t xml:space="preserve">A distinction of responses by household income revealed significant differences in the assessment of quality of life: While </w:t>
      </w:r>
      <w:r>
        <w:t>59.6</w:t>
      </w:r>
      <w:r w:rsidRPr="000E3594">
        <w:t xml:space="preserve">% of respondents with high household income defined their quality of life as high, this was true for only </w:t>
      </w:r>
      <w:r>
        <w:t>38.5</w:t>
      </w:r>
      <w:r w:rsidRPr="000E3594">
        <w:t xml:space="preserve">% of those with low household income. Persons with low household income stated to nearly </w:t>
      </w:r>
      <w:r>
        <w:t>5.3</w:t>
      </w:r>
      <w:r w:rsidRPr="000E3594">
        <w:t xml:space="preserve">%, </w:t>
      </w:r>
      <w:r>
        <w:t xml:space="preserve">that </w:t>
      </w:r>
      <w:r w:rsidRPr="000E3594">
        <w:t xml:space="preserve">their quality of life was </w:t>
      </w:r>
      <w:r>
        <w:t>not so good or bad</w:t>
      </w:r>
      <w:r w:rsidRPr="000E3594">
        <w:t xml:space="preserve">; this information </w:t>
      </w:r>
      <w:r>
        <w:t>was given</w:t>
      </w:r>
      <w:r w:rsidRPr="000E3594">
        <w:t xml:space="preserve"> only </w:t>
      </w:r>
      <w:r>
        <w:t xml:space="preserve">by </w:t>
      </w:r>
      <w:r w:rsidRPr="000E3594">
        <w:t>1.</w:t>
      </w:r>
      <w:r>
        <w:t>3</w:t>
      </w:r>
      <w:r w:rsidRPr="000E3594">
        <w:t xml:space="preserve">% of the </w:t>
      </w:r>
      <w:r w:rsidRPr="000E3594">
        <w:lastRenderedPageBreak/>
        <w:t xml:space="preserve">group with a high household income. Persons with medium household income </w:t>
      </w:r>
      <w:r>
        <w:t>rated</w:t>
      </w:r>
      <w:r w:rsidRPr="000E3594">
        <w:t xml:space="preserve"> their quality of life to </w:t>
      </w:r>
      <w:r>
        <w:t>48.2</w:t>
      </w:r>
      <w:r w:rsidRPr="000E3594">
        <w:t xml:space="preserve">% </w:t>
      </w:r>
      <w:r>
        <w:t xml:space="preserve">as </w:t>
      </w:r>
      <w:r w:rsidRPr="000E3594">
        <w:t>very good, 2.</w:t>
      </w:r>
      <w:r>
        <w:t>4</w:t>
      </w:r>
      <w:r w:rsidRPr="000E3594">
        <w:t xml:space="preserve">% as poor or very poor. </w:t>
      </w:r>
    </w:p>
    <w:p w:rsidR="00194887" w:rsidRDefault="00194887" w:rsidP="00194887">
      <w:r>
        <w:t xml:space="preserve">Further findings: </w:t>
      </w:r>
    </w:p>
    <w:p w:rsidR="00194887" w:rsidRDefault="00194887" w:rsidP="00194887">
      <w:r>
        <w:t>P</w:t>
      </w:r>
      <w:r w:rsidRPr="000E3594">
        <w:t>ersons with low household income were</w:t>
      </w:r>
      <w:r>
        <w:t xml:space="preserve"> more</w:t>
      </w:r>
      <w:r w:rsidRPr="000E3594">
        <w:t xml:space="preserve"> affected by noise disturbance, </w:t>
      </w:r>
      <w:r>
        <w:t xml:space="preserve">then </w:t>
      </w:r>
      <w:r w:rsidRPr="000E3594">
        <w:t>high household income earners</w:t>
      </w:r>
      <w:r>
        <w:t xml:space="preserve">. </w:t>
      </w:r>
    </w:p>
    <w:p w:rsidR="00194887" w:rsidRPr="000E3594" w:rsidRDefault="00194887" w:rsidP="00194887">
      <w:r>
        <w:t xml:space="preserve">People with high household income answered </w:t>
      </w:r>
      <w:r w:rsidRPr="0013195B">
        <w:t xml:space="preserve">more frequently </w:t>
      </w:r>
      <w:r>
        <w:t xml:space="preserve">to buy </w:t>
      </w:r>
      <w:r w:rsidRPr="0013195B">
        <w:t>"often" or "sometimes" organic food, as people in the middle or low income group</w:t>
      </w:r>
      <w:r>
        <w:t>.</w:t>
      </w:r>
    </w:p>
    <w:p w:rsidR="00194887" w:rsidRDefault="00194887" w:rsidP="00194887">
      <w:r>
        <w:t>P</w:t>
      </w:r>
      <w:r w:rsidRPr="000E3594">
        <w:t xml:space="preserve">eople </w:t>
      </w:r>
      <w:r>
        <w:t xml:space="preserve">with a low household income </w:t>
      </w:r>
      <w:r w:rsidRPr="0013195B">
        <w:t xml:space="preserve">were least likely </w:t>
      </w:r>
      <w:r>
        <w:t>to use their</w:t>
      </w:r>
      <w:r w:rsidRPr="0013195B">
        <w:t xml:space="preserve"> car</w:t>
      </w:r>
      <w:r>
        <w:t xml:space="preserve"> for daily commuting, medium and high income had significant more daily use of car.</w:t>
      </w:r>
    </w:p>
    <w:p w:rsidR="00194887" w:rsidRDefault="00194887" w:rsidP="00194887">
      <w:pPr>
        <w:pStyle w:val="berschrift1"/>
      </w:pPr>
      <w:r>
        <w:t>Conclusions</w:t>
      </w:r>
    </w:p>
    <w:p w:rsidR="004D085D" w:rsidRDefault="004D085D" w:rsidP="004D085D">
      <w:r>
        <w:t>The use of administrative data to generate income components into an existing data set improves the data quality compared to a sole s</w:t>
      </w:r>
      <w:r w:rsidRPr="0013195B">
        <w:t>tatistical matching</w:t>
      </w:r>
      <w:r>
        <w:t>. But not all needed data information (here for income components) is available in administrative sources (or not available in time).</w:t>
      </w:r>
      <w:r w:rsidRPr="00B759D7">
        <w:t xml:space="preserve"> </w:t>
      </w:r>
      <w:r>
        <w:t>The a</w:t>
      </w:r>
      <w:r w:rsidRPr="00342EFF">
        <w:t>dvantage</w:t>
      </w:r>
      <w:r>
        <w:t>s</w:t>
      </w:r>
      <w:r w:rsidRPr="00342EFF">
        <w:t xml:space="preserve"> of </w:t>
      </w:r>
      <w:r>
        <w:t>statistical matching</w:t>
      </w:r>
      <w:r w:rsidRPr="00342EFF">
        <w:t xml:space="preserve"> </w:t>
      </w:r>
      <w:r>
        <w:t>are</w:t>
      </w:r>
      <w:r w:rsidRPr="00342EFF">
        <w:t xml:space="preserve"> the cost reduction and the reduced burden on respondents [</w:t>
      </w:r>
      <w:r>
        <w:t>Eurostat, 2013</w:t>
      </w:r>
      <w:r w:rsidRPr="00342EFF">
        <w:t>]</w:t>
      </w:r>
      <w:r>
        <w:t xml:space="preserve"> as well as the timeliness</w:t>
      </w:r>
      <w:r w:rsidRPr="00342EFF">
        <w:t xml:space="preserve">. Nevertheless the </w:t>
      </w:r>
      <w:r>
        <w:t>variables</w:t>
      </w:r>
      <w:r w:rsidRPr="00342EFF">
        <w:t xml:space="preserve"> are synthetic</w:t>
      </w:r>
      <w:r>
        <w:t>ally</w:t>
      </w:r>
      <w:r w:rsidRPr="00342EFF">
        <w:t xml:space="preserve"> generated “statistical twins” and not actual observations. The values obtained can thus be distorted. They </w:t>
      </w:r>
      <w:r>
        <w:t>depend highly on</w:t>
      </w:r>
      <w:r w:rsidRPr="00342EFF">
        <w:t xml:space="preserve"> the </w:t>
      </w:r>
      <w:r>
        <w:t xml:space="preserve">“connecting </w:t>
      </w:r>
      <w:r w:rsidRPr="00342EFF">
        <w:t>variables</w:t>
      </w:r>
      <w:r>
        <w:t>”</w:t>
      </w:r>
      <w:r w:rsidRPr="00342EFF">
        <w:t>.</w:t>
      </w:r>
    </w:p>
    <w:p w:rsidR="004D085D" w:rsidRDefault="004D085D" w:rsidP="004D085D">
      <w:r>
        <w:t xml:space="preserve">A mixed use of both methods (administrative and matching) therefore seems to be the most useful way to generate a variable as the total household income for an existing data set. This way the advantages of both data generating possibilities can add up and improve the data quality. </w:t>
      </w:r>
    </w:p>
    <w:p w:rsidR="004D085D" w:rsidRPr="00342EFF" w:rsidRDefault="004D085D" w:rsidP="004D085D">
      <w:r>
        <w:t>For</w:t>
      </w:r>
      <w:r w:rsidRPr="008B40AB">
        <w:t xml:space="preserve"> this project, some expectations</w:t>
      </w:r>
      <w:r>
        <w:t>, described in relevant</w:t>
      </w:r>
      <w:r w:rsidRPr="008B40AB">
        <w:t xml:space="preserve"> literature</w:t>
      </w:r>
      <w:r>
        <w:t>,</w:t>
      </w:r>
      <w:r w:rsidRPr="008B40AB">
        <w:t xml:space="preserve"> were confirmed by the data obtained: </w:t>
      </w:r>
      <w:r>
        <w:t xml:space="preserve">the assessment of life quality </w:t>
      </w:r>
      <w:r w:rsidRPr="008B40AB">
        <w:t xml:space="preserve">showed a </w:t>
      </w:r>
      <w:r>
        <w:t xml:space="preserve">clear </w:t>
      </w:r>
      <w:r w:rsidRPr="008B40AB">
        <w:t>correlation</w:t>
      </w:r>
      <w:r>
        <w:t xml:space="preserve"> with income</w:t>
      </w:r>
      <w:r w:rsidRPr="008B40AB">
        <w:t xml:space="preserve">. Also the </w:t>
      </w:r>
      <w:r>
        <w:t>connection</w:t>
      </w:r>
      <w:r w:rsidRPr="008B40AB">
        <w:t xml:space="preserve"> between environmental behavio</w:t>
      </w:r>
      <w:r>
        <w:t>u</w:t>
      </w:r>
      <w:r w:rsidRPr="008B40AB">
        <w:t>r and income has been confirmed for several aspects.</w:t>
      </w:r>
      <w:r>
        <w:t xml:space="preserve"> The results followed largely the findings of the pilot study in 2014 </w:t>
      </w:r>
      <w:r w:rsidRPr="00941A21">
        <w:t xml:space="preserve">and thus contribute to a further </w:t>
      </w:r>
      <w:r>
        <w:t>verification</w:t>
      </w:r>
      <w:r w:rsidRPr="00941A21">
        <w:t xml:space="preserve"> of results</w:t>
      </w:r>
      <w:r>
        <w:t>.</w:t>
      </w:r>
    </w:p>
    <w:p w:rsidR="00194887" w:rsidRDefault="00194887" w:rsidP="00194887">
      <w:pPr>
        <w:pStyle w:val="berschrift1"/>
        <w:numPr>
          <w:ilvl w:val="0"/>
          <w:numId w:val="0"/>
        </w:numPr>
        <w:ind w:left="480" w:hanging="480"/>
      </w:pPr>
      <w:r>
        <w:t>References</w:t>
      </w:r>
    </w:p>
    <w:p w:rsidR="00194887" w:rsidRDefault="00194887" w:rsidP="00194887">
      <w:pPr>
        <w:pStyle w:val="Text1"/>
        <w:numPr>
          <w:ilvl w:val="0"/>
          <w:numId w:val="20"/>
        </w:numPr>
        <w:ind w:left="357" w:hanging="357"/>
        <w:rPr>
          <w:lang w:val="de-AT"/>
        </w:rPr>
      </w:pPr>
      <w:r w:rsidRPr="00342EFF">
        <w:rPr>
          <w:lang w:val="de-AT"/>
        </w:rPr>
        <w:t xml:space="preserve">S. Baud </w:t>
      </w:r>
      <w:proofErr w:type="spellStart"/>
      <w:r w:rsidRPr="00342EFF">
        <w:rPr>
          <w:lang w:val="de-AT"/>
        </w:rPr>
        <w:t>and</w:t>
      </w:r>
      <w:proofErr w:type="spellEnd"/>
      <w:r w:rsidRPr="00342EFF">
        <w:rPr>
          <w:lang w:val="de-AT"/>
        </w:rPr>
        <w:t xml:space="preserve"> E. </w:t>
      </w:r>
      <w:proofErr w:type="spellStart"/>
      <w:r w:rsidRPr="00342EFF">
        <w:rPr>
          <w:lang w:val="de-AT"/>
        </w:rPr>
        <w:t>Milota</w:t>
      </w:r>
      <w:proofErr w:type="spellEnd"/>
      <w:r w:rsidRPr="00342EFF">
        <w:rPr>
          <w:lang w:val="de-AT"/>
        </w:rPr>
        <w:t>, Umweltbedingungen, Umweltverhalten 201</w:t>
      </w:r>
      <w:r>
        <w:rPr>
          <w:lang w:val="de-AT"/>
        </w:rPr>
        <w:t>5</w:t>
      </w:r>
      <w:r w:rsidRPr="00342EFF">
        <w:rPr>
          <w:lang w:val="de-AT"/>
        </w:rPr>
        <w:t xml:space="preserve">, Ergebnisse des Mikrozensus, </w:t>
      </w:r>
      <w:proofErr w:type="spellStart"/>
      <w:r w:rsidRPr="00342EFF">
        <w:rPr>
          <w:lang w:val="de-AT"/>
        </w:rPr>
        <w:t>Statistics</w:t>
      </w:r>
      <w:proofErr w:type="spellEnd"/>
      <w:r w:rsidRPr="00342EFF">
        <w:rPr>
          <w:lang w:val="de-AT"/>
        </w:rPr>
        <w:t xml:space="preserve"> Austria </w:t>
      </w:r>
      <w:proofErr w:type="spellStart"/>
      <w:r w:rsidRPr="00342EFF">
        <w:rPr>
          <w:lang w:val="de-AT"/>
        </w:rPr>
        <w:t>publication</w:t>
      </w:r>
      <w:proofErr w:type="spellEnd"/>
      <w:r w:rsidRPr="00342EFF">
        <w:rPr>
          <w:lang w:val="de-AT"/>
        </w:rPr>
        <w:t>, (201</w:t>
      </w:r>
      <w:r>
        <w:rPr>
          <w:lang w:val="de-AT"/>
        </w:rPr>
        <w:t>7</w:t>
      </w:r>
      <w:r w:rsidRPr="00342EFF">
        <w:rPr>
          <w:lang w:val="de-AT"/>
        </w:rPr>
        <w:t>), Vienna.</w:t>
      </w:r>
    </w:p>
    <w:p w:rsidR="00194887" w:rsidRPr="00B759D7" w:rsidRDefault="00194887" w:rsidP="00194887">
      <w:pPr>
        <w:pStyle w:val="Text1"/>
        <w:numPr>
          <w:ilvl w:val="0"/>
          <w:numId w:val="20"/>
        </w:numPr>
        <w:ind w:left="357" w:hanging="357"/>
        <w:rPr>
          <w:lang w:val="de-AT"/>
        </w:rPr>
      </w:pPr>
      <w:r w:rsidRPr="00B759D7">
        <w:rPr>
          <w:lang w:val="de-AT"/>
        </w:rPr>
        <w:t xml:space="preserve">A. Wegscheider-Pichler, Umweltbetroffenheit und –verhalten von Personengruppen abhängig von Einkommen und Kaufkraft, </w:t>
      </w:r>
      <w:proofErr w:type="spellStart"/>
      <w:r w:rsidRPr="00342EFF">
        <w:rPr>
          <w:lang w:val="de-AT"/>
        </w:rPr>
        <w:t>Statistics</w:t>
      </w:r>
      <w:proofErr w:type="spellEnd"/>
      <w:r w:rsidRPr="00342EFF">
        <w:rPr>
          <w:lang w:val="de-AT"/>
        </w:rPr>
        <w:t xml:space="preserve"> Austria </w:t>
      </w:r>
      <w:proofErr w:type="spellStart"/>
      <w:r w:rsidRPr="00342EFF">
        <w:rPr>
          <w:lang w:val="de-AT"/>
        </w:rPr>
        <w:t>publication</w:t>
      </w:r>
      <w:proofErr w:type="spellEnd"/>
      <w:r w:rsidRPr="00B759D7">
        <w:rPr>
          <w:lang w:val="de-AT"/>
        </w:rPr>
        <w:t xml:space="preserve">, </w:t>
      </w:r>
      <w:r w:rsidRPr="00342EFF">
        <w:rPr>
          <w:lang w:val="de-AT"/>
        </w:rPr>
        <w:t>(201</w:t>
      </w:r>
      <w:r>
        <w:rPr>
          <w:lang w:val="de-AT"/>
        </w:rPr>
        <w:t>4</w:t>
      </w:r>
      <w:r w:rsidRPr="00342EFF">
        <w:rPr>
          <w:lang w:val="de-AT"/>
        </w:rPr>
        <w:t>), Vienna.</w:t>
      </w:r>
    </w:p>
    <w:p w:rsidR="00194887" w:rsidRDefault="00194887" w:rsidP="00194887">
      <w:pPr>
        <w:pStyle w:val="Text1"/>
        <w:numPr>
          <w:ilvl w:val="0"/>
          <w:numId w:val="20"/>
        </w:numPr>
        <w:ind w:left="357" w:hanging="357"/>
      </w:pPr>
      <w:r w:rsidRPr="00342EFF">
        <w:t>Eurostat, Statistical matching: a model based approach for data integration, Methodologies and Working papers (2013), ISBN 978-92-79-30355-2 Luxembourg.</w:t>
      </w:r>
    </w:p>
    <w:p w:rsidR="00194887" w:rsidRPr="00194887" w:rsidRDefault="00194887" w:rsidP="00194887">
      <w:pPr>
        <w:pStyle w:val="Text1"/>
        <w:numPr>
          <w:ilvl w:val="0"/>
          <w:numId w:val="20"/>
        </w:numPr>
        <w:ind w:left="357" w:hanging="357"/>
      </w:pPr>
      <w:r w:rsidRPr="0080042B">
        <w:t>L.</w:t>
      </w:r>
      <w:r>
        <w:t xml:space="preserve"> </w:t>
      </w:r>
      <w:proofErr w:type="spellStart"/>
      <w:r w:rsidRPr="0080042B">
        <w:t>Briemann</w:t>
      </w:r>
      <w:proofErr w:type="spellEnd"/>
      <w:r w:rsidRPr="0080042B">
        <w:t xml:space="preserve">, </w:t>
      </w:r>
      <w:proofErr w:type="spellStart"/>
      <w:r w:rsidRPr="0080042B">
        <w:t>Ramdom</w:t>
      </w:r>
      <w:proofErr w:type="spellEnd"/>
      <w:r w:rsidRPr="0080042B">
        <w:t xml:space="preserve"> forests. </w:t>
      </w:r>
      <w:r w:rsidRPr="00194887">
        <w:t>Machine Learning, 45:5-32, 2001, http://dx.doi.org/10.1023/ A</w:t>
      </w:r>
      <w:proofErr w:type="gramStart"/>
      <w:r w:rsidRPr="00194887">
        <w:t>:1010933404324</w:t>
      </w:r>
      <w:proofErr w:type="gramEnd"/>
      <w:r w:rsidRPr="00194887">
        <w:t>.</w:t>
      </w:r>
    </w:p>
    <w:p w:rsidR="00194887" w:rsidRPr="00194887" w:rsidRDefault="00194887" w:rsidP="00194887">
      <w:pPr>
        <w:pStyle w:val="Text1"/>
        <w:rPr>
          <w:highlight w:val="yellow"/>
          <w:lang w:val="de-AT"/>
        </w:rPr>
      </w:pPr>
    </w:p>
    <w:sectPr w:rsidR="00194887" w:rsidRPr="00194887"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BE" w:rsidRDefault="001739BE" w:rsidP="00BC6AFE">
      <w:pPr>
        <w:spacing w:after="0"/>
      </w:pPr>
      <w:r>
        <w:separator/>
      </w:r>
    </w:p>
  </w:endnote>
  <w:endnote w:type="continuationSeparator" w:id="0">
    <w:p w:rsidR="001739BE" w:rsidRDefault="001739BE"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BE" w:rsidRDefault="001739BE">
    <w:pPr>
      <w:pStyle w:val="Fuzeile"/>
      <w:jc w:val="center"/>
    </w:pPr>
    <w:r>
      <w:fldChar w:fldCharType="begin"/>
    </w:r>
    <w:r>
      <w:instrText>PAGE</w:instrText>
    </w:r>
    <w:r>
      <w:fldChar w:fldCharType="separate"/>
    </w:r>
    <w:r w:rsidR="007809D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BE" w:rsidRDefault="001739BE">
    <w:pPr>
      <w:pStyle w:val="Fuzeile"/>
      <w:rPr>
        <w:sz w:val="24"/>
        <w:szCs w:val="24"/>
      </w:rPr>
    </w:pPr>
  </w:p>
  <w:p w:rsidR="001739BE" w:rsidRDefault="001739BE">
    <w:pPr>
      <w:pStyle w:val="Fuzeile"/>
    </w:pPr>
    <w:r w:rsidRPr="00BC6AFE">
      <w:rPr>
        <w:lang w:val="fr-FR"/>
      </w:rPr>
      <w:t xml:space="preserve">Commission européenne, 2920 Luxembourg, LUXEMBOURG - Tel. </w:t>
    </w:r>
    <w:r>
      <w:t>+352 43011</w:t>
    </w:r>
    <w:r>
      <w:rPr>
        <w:noProof/>
      </w:rPr>
      <w:br/>
      <w:t>Office: BECH A2/160 - Tel. direct line +352 4301-+352-4301-35934 - Fax +352 4301-+352-4301-33899</w:t>
    </w:r>
  </w:p>
  <w:p w:rsidR="001739BE" w:rsidRDefault="001739BE">
    <w:pPr>
      <w:pStyle w:val="Fuzeile"/>
    </w:pPr>
  </w:p>
  <w:p w:rsidR="001739BE" w:rsidRDefault="001739BE">
    <w:pPr>
      <w:pStyle w:val="Fuzeile"/>
    </w:pPr>
    <w:r>
      <w:t>http://epp.eurostat.ec.europa.eu</w:t>
    </w:r>
  </w:p>
  <w:p w:rsidR="001739BE" w:rsidRDefault="001739BE">
    <w:pPr>
      <w:pStyle w:val="Fuzeile"/>
    </w:pPr>
    <w:r>
      <w:t>Martin.Karlberg@ec.europa.eu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BE" w:rsidRDefault="001739BE" w:rsidP="00BC6AFE">
      <w:pPr>
        <w:spacing w:after="0"/>
      </w:pPr>
      <w:r>
        <w:separator/>
      </w:r>
    </w:p>
  </w:footnote>
  <w:footnote w:type="continuationSeparator" w:id="0">
    <w:p w:rsidR="001739BE" w:rsidRDefault="001739BE" w:rsidP="00BC6A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BE" w:rsidRDefault="001739BE">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5">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432656"/>
    <w:multiLevelType w:val="multilevel"/>
    <w:tmpl w:val="AC885D7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080"/>
        </w:tabs>
        <w:ind w:left="1080" w:hanging="600"/>
      </w:pPr>
    </w:lvl>
    <w:lvl w:ilvl="2">
      <w:start w:val="1"/>
      <w:numFmt w:val="decimal"/>
      <w:pStyle w:val="berschrift3"/>
      <w:lvlText w:val="%1.%2.%3."/>
      <w:lvlJc w:val="left"/>
      <w:pPr>
        <w:tabs>
          <w:tab w:val="num" w:pos="1920"/>
        </w:tabs>
        <w:ind w:left="1920" w:hanging="840"/>
      </w:pPr>
    </w:lvl>
    <w:lvl w:ilvl="3">
      <w:start w:val="1"/>
      <w:numFmt w:val="decimal"/>
      <w:pStyle w:val="bersch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8E29ED"/>
    <w:rsid w:val="000642A1"/>
    <w:rsid w:val="000F7438"/>
    <w:rsid w:val="00127067"/>
    <w:rsid w:val="001739BE"/>
    <w:rsid w:val="001857CF"/>
    <w:rsid w:val="00194887"/>
    <w:rsid w:val="001B50CE"/>
    <w:rsid w:val="002012A8"/>
    <w:rsid w:val="00243A2C"/>
    <w:rsid w:val="003234D0"/>
    <w:rsid w:val="00332D6F"/>
    <w:rsid w:val="003616BB"/>
    <w:rsid w:val="003D30B8"/>
    <w:rsid w:val="004D085D"/>
    <w:rsid w:val="00562F20"/>
    <w:rsid w:val="00573E28"/>
    <w:rsid w:val="005B4EA5"/>
    <w:rsid w:val="005F779D"/>
    <w:rsid w:val="006312AF"/>
    <w:rsid w:val="006875D6"/>
    <w:rsid w:val="0070043D"/>
    <w:rsid w:val="007809D1"/>
    <w:rsid w:val="00820BDC"/>
    <w:rsid w:val="008847C3"/>
    <w:rsid w:val="008A75D0"/>
    <w:rsid w:val="008E29ED"/>
    <w:rsid w:val="00923850"/>
    <w:rsid w:val="009A41E5"/>
    <w:rsid w:val="009B4EE0"/>
    <w:rsid w:val="00A17E8C"/>
    <w:rsid w:val="00AB4423"/>
    <w:rsid w:val="00B9492F"/>
    <w:rsid w:val="00BC17F5"/>
    <w:rsid w:val="00BC6AFE"/>
    <w:rsid w:val="00BD17D6"/>
    <w:rsid w:val="00D24082"/>
    <w:rsid w:val="00D52EA1"/>
    <w:rsid w:val="00DB60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34D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4D0"/>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D52EA1"/>
    <w:pPr>
      <w:spacing w:after="240"/>
      <w:jc w:val="both"/>
    </w:pPr>
    <w:rPr>
      <w:sz w:val="24"/>
      <w:lang w:val="en-GB" w:eastAsia="en-US"/>
    </w:rPr>
  </w:style>
  <w:style w:type="paragraph" w:styleId="berschrift1">
    <w:name w:val="heading 1"/>
    <w:basedOn w:val="Standard"/>
    <w:next w:val="Text1"/>
    <w:link w:val="berschrift1Zchn"/>
    <w:qFormat/>
    <w:pPr>
      <w:keepNext/>
      <w:numPr>
        <w:numId w:val="3"/>
      </w:numPr>
      <w:spacing w:before="240"/>
      <w:outlineLvl w:val="0"/>
    </w:pPr>
    <w:rPr>
      <w:b/>
      <w:smallCaps/>
    </w:rPr>
  </w:style>
  <w:style w:type="paragraph" w:styleId="berschrift2">
    <w:name w:val="heading 2"/>
    <w:basedOn w:val="Standard"/>
    <w:next w:val="Text2"/>
    <w:link w:val="berschrift2Zchn"/>
    <w:qFormat/>
    <w:pPr>
      <w:keepNext/>
      <w:numPr>
        <w:ilvl w:val="1"/>
        <w:numId w:val="3"/>
      </w:numPr>
      <w:outlineLvl w:val="1"/>
    </w:pPr>
    <w:rPr>
      <w:b/>
    </w:rPr>
  </w:style>
  <w:style w:type="paragraph" w:styleId="berschrift3">
    <w:name w:val="heading 3"/>
    <w:basedOn w:val="Standard"/>
    <w:next w:val="Text3"/>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spacing w:before="240" w:after="60"/>
      <w:ind w:left="3332" w:hanging="708"/>
      <w:outlineLvl w:val="4"/>
    </w:pPr>
    <w:rPr>
      <w:rFonts w:ascii="Arial" w:hAnsi="Arial"/>
      <w:sz w:val="22"/>
    </w:rPr>
  </w:style>
  <w:style w:type="paragraph" w:styleId="berschrift6">
    <w:name w:val="heading 6"/>
    <w:basedOn w:val="Standard"/>
    <w:next w:val="Standard"/>
    <w:qFormat/>
    <w:pPr>
      <w:spacing w:before="240" w:after="60"/>
      <w:ind w:left="4040" w:hanging="708"/>
      <w:outlineLvl w:val="5"/>
    </w:pPr>
    <w:rPr>
      <w:rFonts w:ascii="Arial" w:hAnsi="Arial"/>
      <w:i/>
      <w:sz w:val="22"/>
    </w:rPr>
  </w:style>
  <w:style w:type="paragraph" w:styleId="berschrift7">
    <w:name w:val="heading 7"/>
    <w:basedOn w:val="Standard"/>
    <w:next w:val="Standard"/>
    <w:qFormat/>
    <w:pPr>
      <w:spacing w:before="240" w:after="60"/>
      <w:ind w:left="4748" w:hanging="708"/>
      <w:outlineLvl w:val="6"/>
    </w:pPr>
    <w:rPr>
      <w:rFonts w:ascii="Arial" w:hAnsi="Arial"/>
      <w:sz w:val="20"/>
    </w:rPr>
  </w:style>
  <w:style w:type="paragraph" w:styleId="berschrift8">
    <w:name w:val="heading 8"/>
    <w:basedOn w:val="Standard"/>
    <w:next w:val="Standard"/>
    <w:qFormat/>
    <w:pPr>
      <w:spacing w:before="240" w:after="60"/>
      <w:ind w:left="5456" w:hanging="708"/>
      <w:outlineLvl w:val="7"/>
    </w:pPr>
    <w:rPr>
      <w:rFonts w:ascii="Arial" w:hAnsi="Arial"/>
      <w:i/>
      <w:sz w:val="20"/>
    </w:rPr>
  </w:style>
  <w:style w:type="paragraph" w:styleId="berschrift9">
    <w:name w:val="heading 9"/>
    <w:basedOn w:val="Standard"/>
    <w:next w:val="Standard"/>
    <w:qFormat/>
    <w:pPr>
      <w:spacing w:before="240" w:after="60"/>
      <w:ind w:left="6164" w:hanging="708"/>
      <w:outlineLvl w:val="8"/>
    </w:pPr>
    <w:rPr>
      <w:rFonts w:ascii="Arial" w:hAnsi="Arial"/>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xt1">
    <w:name w:val="Text 1"/>
    <w:basedOn w:val="Standard"/>
    <w:pPr>
      <w:ind w:left="482"/>
    </w:pPr>
  </w:style>
  <w:style w:type="paragraph" w:customStyle="1" w:styleId="Text2">
    <w:name w:val="Text 2"/>
    <w:basedOn w:val="Standard"/>
    <w:pPr>
      <w:tabs>
        <w:tab w:val="left" w:pos="2160"/>
      </w:tabs>
      <w:ind w:left="1077"/>
    </w:pPr>
  </w:style>
  <w:style w:type="paragraph" w:customStyle="1" w:styleId="Text3">
    <w:name w:val="Text 3"/>
    <w:basedOn w:val="Standard"/>
    <w:pPr>
      <w:tabs>
        <w:tab w:val="left" w:pos="2302"/>
      </w:tabs>
      <w:ind w:left="1916"/>
    </w:pPr>
  </w:style>
  <w:style w:type="paragraph" w:customStyle="1" w:styleId="Text4">
    <w:name w:val="Text 4"/>
    <w:basedOn w:val="Standard"/>
    <w:pPr>
      <w:ind w:left="2880"/>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styleId="Gruformel">
    <w:name w:val="Closing"/>
    <w:basedOn w:val="Standard"/>
    <w:next w:val="Unterschrift"/>
    <w:pPr>
      <w:tabs>
        <w:tab w:val="left" w:pos="5103"/>
      </w:tabs>
      <w:spacing w:before="240"/>
      <w:ind w:left="5103"/>
      <w:jc w:val="left"/>
    </w:pPr>
  </w:style>
  <w:style w:type="paragraph" w:styleId="Unterschrift">
    <w:name w:val="Signature"/>
    <w:basedOn w:val="Standard"/>
    <w:next w:val="Contact"/>
    <w:link w:val="UnterschriftZchn"/>
    <w:uiPriority w:val="99"/>
    <w:pPr>
      <w:tabs>
        <w:tab w:val="left" w:pos="5103"/>
      </w:tabs>
      <w:spacing w:before="1200" w:after="0"/>
      <w:ind w:left="5103"/>
      <w:jc w:val="center"/>
    </w:pPr>
  </w:style>
  <w:style w:type="paragraph" w:customStyle="1" w:styleId="Enclosures">
    <w:name w:val="Enclosures"/>
    <w:basedOn w:val="Standard"/>
    <w:next w:val="Participants"/>
    <w:pPr>
      <w:keepNext/>
      <w:keepLines/>
      <w:tabs>
        <w:tab w:val="left" w:pos="5670"/>
      </w:tabs>
      <w:spacing w:before="480" w:after="0"/>
      <w:ind w:left="1985" w:hanging="1985"/>
      <w:jc w:val="left"/>
    </w:pPr>
  </w:style>
  <w:style w:type="paragraph" w:customStyle="1" w:styleId="Participants">
    <w:name w:val="Participants"/>
    <w:basedOn w:val="Standard"/>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Standard"/>
    <w:next w:val="Standard"/>
    <w:pPr>
      <w:tabs>
        <w:tab w:val="left" w:pos="2552"/>
        <w:tab w:val="left" w:pos="2835"/>
        <w:tab w:val="left" w:pos="5670"/>
        <w:tab w:val="left" w:pos="6379"/>
        <w:tab w:val="left" w:pos="6804"/>
      </w:tabs>
      <w:spacing w:before="480" w:after="0"/>
      <w:ind w:left="1985" w:hanging="1985"/>
      <w:jc w:val="left"/>
    </w:pPr>
  </w:style>
  <w:style w:type="paragraph" w:styleId="Kommentartext">
    <w:name w:val="annotation text"/>
    <w:basedOn w:val="Standard"/>
    <w:semiHidden/>
    <w:rPr>
      <w:sz w:val="20"/>
    </w:rPr>
  </w:style>
  <w:style w:type="paragraph" w:styleId="Datum">
    <w:name w:val="Date"/>
    <w:basedOn w:val="Standard"/>
    <w:next w:val="References"/>
    <w:link w:val="DatumZchn"/>
    <w:uiPriority w:val="99"/>
    <w:pPr>
      <w:spacing w:after="0"/>
      <w:ind w:left="5103" w:right="-567"/>
      <w:jc w:val="left"/>
    </w:pPr>
  </w:style>
  <w:style w:type="paragraph" w:customStyle="1" w:styleId="References">
    <w:name w:val="References"/>
    <w:basedOn w:val="Standard"/>
    <w:next w:val="AddressTR"/>
    <w:uiPriority w:val="99"/>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Contact"/>
    <w:pPr>
      <w:tabs>
        <w:tab w:val="left" w:pos="5103"/>
      </w:tabs>
      <w:spacing w:before="1200" w:after="0"/>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rPr>
  </w:style>
  <w:style w:type="paragraph" w:styleId="Funotentext">
    <w:name w:val="footnote text"/>
    <w:basedOn w:val="Standard"/>
    <w:semiHidden/>
    <w:pPr>
      <w:ind w:left="357" w:hanging="357"/>
    </w:pPr>
    <w:rPr>
      <w:sz w:val="20"/>
    </w:rPr>
  </w:style>
  <w:style w:type="paragraph" w:styleId="Kopfzeile">
    <w:name w:val="header"/>
    <w:basedOn w:val="Standard"/>
    <w:link w:val="KopfzeileZchn"/>
    <w:uiPriority w:val="99"/>
    <w:pPr>
      <w:tabs>
        <w:tab w:val="center" w:pos="4153"/>
        <w:tab w:val="right" w:pos="8306"/>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160"/>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160"/>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pPr>
      <w:ind w:left="720"/>
    </w:p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qFormat/>
    <w:pPr>
      <w:spacing w:before="240" w:after="60"/>
      <w:jc w:val="center"/>
      <w:outlineLvl w:val="0"/>
    </w:pPr>
    <w:rPr>
      <w:rFonts w:ascii="Arial" w:hAnsi="Arial"/>
      <w:b/>
      <w:kern w:val="28"/>
      <w:sz w:val="32"/>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Enclosures"/>
    <w:uiPriority w:val="99"/>
    <w:pPr>
      <w:spacing w:before="480" w:after="0"/>
      <w:ind w:left="567" w:hanging="567"/>
      <w:jc w:val="left"/>
    </w:pPr>
  </w:style>
  <w:style w:type="paragraph" w:customStyle="1" w:styleId="DisclaimerNotice">
    <w:name w:val="Disclaimer Notice"/>
    <w:basedOn w:val="Standard"/>
    <w:next w:val="AddressTR"/>
    <w:pPr>
      <w:ind w:left="5103"/>
      <w:jc w:val="left"/>
    </w:pPr>
    <w:rPr>
      <w:i/>
      <w:sz w:val="20"/>
    </w:rPr>
  </w:style>
  <w:style w:type="paragraph" w:customStyle="1" w:styleId="Disclaimer">
    <w:name w:val="Disclaimer"/>
    <w:basedOn w:val="Standard"/>
    <w:pPr>
      <w:keepLines/>
      <w:pBdr>
        <w:top w:val="single" w:sz="4" w:space="1" w:color="auto"/>
      </w:pBdr>
      <w:spacing w:before="480" w:after="0"/>
    </w:pPr>
    <w:rPr>
      <w:i/>
    </w:rPr>
  </w:style>
  <w:style w:type="character" w:styleId="BesuchterHyperlink">
    <w:name w:val="FollowedHyperlink"/>
    <w:rPr>
      <w:color w:val="800080"/>
      <w:u w:val="single"/>
    </w:rPr>
  </w:style>
  <w:style w:type="paragraph" w:customStyle="1" w:styleId="DisclaimerSJ">
    <w:name w:val="Disclaimer_SJ"/>
    <w:basedOn w:val="Standard"/>
    <w:next w:val="Standard"/>
    <w:pPr>
      <w:spacing w:after="0"/>
    </w:pPr>
    <w:rPr>
      <w:rFonts w:ascii="Arial" w:hAnsi="Arial"/>
      <w:b/>
      <w:sz w:val="16"/>
    </w:rPr>
  </w:style>
  <w:style w:type="paragraph" w:customStyle="1" w:styleId="Designator">
    <w:name w:val="Designator"/>
    <w:basedOn w:val="Standard"/>
    <w:pPr>
      <w:spacing w:after="0"/>
      <w:jc w:val="center"/>
    </w:pPr>
    <w:rPr>
      <w:b/>
      <w:caps/>
      <w:sz w:val="32"/>
    </w:rPr>
  </w:style>
  <w:style w:type="paragraph" w:customStyle="1" w:styleId="Releasable">
    <w:name w:val="Releasable"/>
    <w:basedOn w:val="Standard"/>
    <w:qFormat/>
    <w:pPr>
      <w:spacing w:after="0"/>
      <w:jc w:val="center"/>
    </w:pPr>
    <w:rPr>
      <w:b/>
      <w:caps/>
      <w:sz w:val="32"/>
      <w:lang w:val="de-DE"/>
    </w:rPr>
  </w:style>
  <w:style w:type="paragraph" w:customStyle="1" w:styleId="RUE">
    <w:name w:val="RUE"/>
    <w:basedOn w:val="Standard"/>
    <w:pPr>
      <w:spacing w:after="0"/>
      <w:jc w:val="center"/>
    </w:pPr>
    <w:rPr>
      <w:b/>
      <w:caps/>
      <w:sz w:val="32"/>
      <w:bdr w:val="single" w:sz="18" w:space="0" w:color="auto"/>
      <w:lang w:val="de-DE"/>
    </w:rPr>
  </w:style>
  <w:style w:type="paragraph" w:customStyle="1" w:styleId="ConfidentialUE">
    <w:name w:val="Confidential UE"/>
    <w:basedOn w:val="Standard"/>
    <w:pPr>
      <w:spacing w:after="0"/>
      <w:jc w:val="center"/>
    </w:pPr>
    <w:rPr>
      <w:b/>
      <w:caps/>
      <w:sz w:val="32"/>
      <w:bdr w:val="single" w:sz="18" w:space="0" w:color="auto"/>
    </w:rPr>
  </w:style>
  <w:style w:type="paragraph" w:customStyle="1" w:styleId="TrsSecretUE">
    <w:name w:val="Très Secret UE"/>
    <w:basedOn w:val="Standard"/>
    <w:pPr>
      <w:spacing w:after="0"/>
      <w:jc w:val="center"/>
    </w:pPr>
    <w:rPr>
      <w:b/>
      <w:caps/>
      <w:color w:val="FF0000"/>
      <w:sz w:val="32"/>
      <w:bdr w:val="single" w:sz="18" w:space="0" w:color="FF0000"/>
    </w:rPr>
  </w:style>
  <w:style w:type="paragraph" w:customStyle="1" w:styleId="SecretUE">
    <w:name w:val="Secret UE"/>
    <w:basedOn w:val="Standard"/>
    <w:pPr>
      <w:spacing w:after="0"/>
      <w:jc w:val="center"/>
    </w:pPr>
    <w:rPr>
      <w:b/>
      <w:caps/>
      <w:color w:val="FF0000"/>
      <w:sz w:val="32"/>
      <w:bdr w:val="single" w:sz="18" w:space="0" w:color="FF0000"/>
    </w:rPr>
  </w:style>
  <w:style w:type="character" w:customStyle="1" w:styleId="FuzeileZchn">
    <w:name w:val="Fußzeile Zchn"/>
    <w:link w:val="Fuzeile"/>
    <w:uiPriority w:val="99"/>
    <w:rsid w:val="00BC6AFE"/>
    <w:rPr>
      <w:rFonts w:ascii="Arial" w:hAnsi="Arial"/>
      <w:sz w:val="16"/>
      <w:lang w:eastAsia="en-US"/>
    </w:rPr>
  </w:style>
  <w:style w:type="character" w:customStyle="1" w:styleId="DatumZchn">
    <w:name w:val="Datum Zchn"/>
    <w:link w:val="Datum"/>
    <w:uiPriority w:val="99"/>
    <w:rsid w:val="00BC6AFE"/>
    <w:rPr>
      <w:sz w:val="24"/>
      <w:lang w:eastAsia="en-US"/>
    </w:rPr>
  </w:style>
  <w:style w:type="character" w:customStyle="1" w:styleId="UnterschriftZchn">
    <w:name w:val="Unterschrift Zchn"/>
    <w:link w:val="Unterschrift"/>
    <w:uiPriority w:val="99"/>
    <w:rsid w:val="00BC6AFE"/>
    <w:rPr>
      <w:sz w:val="24"/>
      <w:lang w:eastAsia="en-US"/>
    </w:rPr>
  </w:style>
  <w:style w:type="paragraph" w:customStyle="1" w:styleId="ZCom">
    <w:name w:val="Z_Com"/>
    <w:basedOn w:val="Standard"/>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KopfzeileZchn">
    <w:name w:val="Kopfzeile Zchn"/>
    <w:link w:val="Kopfzeile"/>
    <w:uiPriority w:val="99"/>
    <w:rsid w:val="00BC6AFE"/>
    <w:rPr>
      <w:sz w:val="24"/>
      <w:lang w:eastAsia="en-US"/>
    </w:rPr>
  </w:style>
  <w:style w:type="character" w:customStyle="1" w:styleId="berschrift2Zchn">
    <w:name w:val="Überschrift 2 Zchn"/>
    <w:link w:val="berschrift2"/>
    <w:rsid w:val="00BC6AFE"/>
    <w:rPr>
      <w:b/>
      <w:sz w:val="24"/>
      <w:lang w:eastAsia="en-US"/>
    </w:rPr>
  </w:style>
  <w:style w:type="character" w:customStyle="1" w:styleId="berschrift1Zchn">
    <w:name w:val="Überschrift 1 Zchn"/>
    <w:link w:val="berschrift1"/>
    <w:rsid w:val="00BC6AFE"/>
    <w:rPr>
      <w:b/>
      <w:smallCaps/>
      <w:sz w:val="24"/>
      <w:lang w:eastAsia="en-US"/>
    </w:rPr>
  </w:style>
  <w:style w:type="table" w:styleId="Tabellenraster">
    <w:name w:val="Table Grid"/>
    <w:basedOn w:val="NormaleTabelle"/>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34D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4D0"/>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C654-FE0D-4FA5-9C33-13E2F461D7CA}">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420F3705-659C-480D-8E31-48205D23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6526</Characters>
  <Application>Microsoft Office Word</Application>
  <DocSecurity>0</DocSecurity>
  <PresentationFormat>Microsoft Word 14.0</PresentationFormat>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GAUCKLER Britta (ESTAT)</dc:creator>
  <cp:keywords>EL4</cp:keywords>
  <cp:lastModifiedBy>WEGSCHEIDER-PICHLER Alexandra</cp:lastModifiedBy>
  <cp:revision>10</cp:revision>
  <cp:lastPrinted>2018-05-29T10:06:00Z</cp:lastPrinted>
  <dcterms:created xsi:type="dcterms:W3CDTF">2018-10-11T14:28:00Z</dcterms:created>
  <dcterms:modified xsi:type="dcterms:W3CDTF">2018-10-11T14:59:00Z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