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72783F" w14:textId="5EADB499" w:rsidR="00C54867" w:rsidRDefault="00656F8D">
      <w:pPr>
        <w:pStyle w:val="Title"/>
      </w:pPr>
      <w:r>
        <w:t>Open data sources</w:t>
      </w:r>
      <w:r w:rsidR="00B67A44">
        <w:t xml:space="preserve"> for retrieving information on multinational enterprise</w:t>
      </w:r>
      <w:r>
        <w:t xml:space="preserve"> gro</w:t>
      </w:r>
      <w:bookmarkStart w:id="0" w:name="_GoBack"/>
      <w:bookmarkEnd w:id="0"/>
      <w:r>
        <w:t>ups</w:t>
      </w:r>
    </w:p>
    <w:p w14:paraId="3F91D598" w14:textId="77777777" w:rsidR="002B139B" w:rsidRDefault="002B139B">
      <w:pPr>
        <w:rPr>
          <w:b/>
          <w:u w:val="single"/>
        </w:rPr>
      </w:pPr>
    </w:p>
    <w:p w14:paraId="04F7E846" w14:textId="785D6003" w:rsidR="00C54867" w:rsidRDefault="00656F8D">
      <w:pPr>
        <w:rPr>
          <w:color w:val="FF0000"/>
        </w:rPr>
      </w:pPr>
      <w:r>
        <w:rPr>
          <w:b/>
          <w:u w:val="single"/>
        </w:rPr>
        <w:t>Keywords</w:t>
      </w:r>
      <w:r>
        <w:rPr>
          <w:b/>
        </w:rPr>
        <w:t>:</w:t>
      </w:r>
      <w:r>
        <w:t xml:space="preserve"> </w:t>
      </w:r>
      <w:r w:rsidR="002B139B">
        <w:t>Statistical Business Register, EuroGroup</w:t>
      </w:r>
      <w:r w:rsidR="00A769CA">
        <w:t>s</w:t>
      </w:r>
      <w:r w:rsidR="002B139B">
        <w:t xml:space="preserve"> Register (EGR), Enterprise, aggregated group figures, crowdsourcing, open data projects.</w:t>
      </w:r>
    </w:p>
    <w:p w14:paraId="35966666" w14:textId="77777777" w:rsidR="00C54867" w:rsidRDefault="00656F8D">
      <w:pPr>
        <w:pStyle w:val="Heading1"/>
        <w:numPr>
          <w:ilvl w:val="0"/>
          <w:numId w:val="2"/>
        </w:numPr>
      </w:pPr>
      <w:r>
        <w:t>Introduction</w:t>
      </w:r>
    </w:p>
    <w:p w14:paraId="65E32DE5" w14:textId="51D8A1EA" w:rsidR="00C54867" w:rsidRDefault="00656F8D">
      <w:pPr>
        <w:pStyle w:val="BodyText"/>
      </w:pPr>
      <w:r>
        <w:t>Eurostat governs the EuroGroups Register (EGR), the statistical business register of multinational enterprise groups (MNE</w:t>
      </w:r>
      <w:r w:rsidR="002B139B">
        <w:t>s</w:t>
      </w:r>
      <w:r>
        <w:t>) in the European Union</w:t>
      </w:r>
      <w:r w:rsidR="00A769CA">
        <w:t xml:space="preserve"> and EFTA countries</w:t>
      </w:r>
      <w:r>
        <w:t>. Sources of information such as crowdsourcing platforms, web crawling and different open data projects are seen as further opportunities to increase the quality of the EGR, its completeness and accuracy namely with the units outside of the EU and EFTA as well as on the whole group level.</w:t>
      </w:r>
    </w:p>
    <w:p w14:paraId="1943F0C1" w14:textId="0FD7AF17" w:rsidR="00C54867" w:rsidRDefault="00656F8D" w:rsidP="007A122A">
      <w:pPr>
        <w:pStyle w:val="BodyText"/>
      </w:pPr>
      <w:r>
        <w:t>Under the umbrella of Eurostat BIG DATA project, the EGR Team is investigating these additional data sources. Eurostat is collaborating with Leipzig University to explore the possibility of using DBpedia as new additional source of data of multinational enterprise groups. EGR Team and Leipzig University</w:t>
      </w:r>
      <w:r w:rsidR="007A122A">
        <w:t xml:space="preserve"> carried out a Prove of concept (Po</w:t>
      </w:r>
      <w:r>
        <w:t xml:space="preserve">C) to automatize at a large extend the collection of aggregated group figures using as input the names of the enterprise groups. </w:t>
      </w:r>
    </w:p>
    <w:p w14:paraId="5E77D86E" w14:textId="77777777" w:rsidR="00C54867" w:rsidRDefault="00656F8D">
      <w:pPr>
        <w:pStyle w:val="Heading1"/>
        <w:numPr>
          <w:ilvl w:val="0"/>
          <w:numId w:val="2"/>
        </w:numPr>
      </w:pPr>
      <w:r>
        <w:t>Methods</w:t>
      </w:r>
    </w:p>
    <w:p w14:paraId="45DF710E" w14:textId="74DB0EDF" w:rsidR="007A122A" w:rsidRDefault="007A122A" w:rsidP="007A122A">
      <w:pPr>
        <w:pStyle w:val="BodyText"/>
      </w:pPr>
      <w:r>
        <w:t>Currently EGR Team performs final checks and updates of enterprise group figures manually by looking into the data published in the annual accounts or websites. For the feasibility study EGR team selected 73 enterprise groups (EGs)</w:t>
      </w:r>
      <w:r w:rsidR="00141229">
        <w:t xml:space="preserve"> of reference year 2016</w:t>
      </w:r>
      <w:r>
        <w:t xml:space="preserve"> based on size and geographical diversity and provided them to DBpedia for matching. The main </w:t>
      </w:r>
      <w:r w:rsidR="002B139B">
        <w:t>attributes, which were targeted to be collected,</w:t>
      </w:r>
      <w:r>
        <w:t xml:space="preserve"> were persons employed, turnover and assets. The following indicators were analysed:</w:t>
      </w:r>
    </w:p>
    <w:p w14:paraId="280102B3" w14:textId="7561012C" w:rsidR="007A122A" w:rsidRDefault="007A122A" w:rsidP="007A122A">
      <w:pPr>
        <w:pStyle w:val="Compact"/>
        <w:numPr>
          <w:ilvl w:val="0"/>
          <w:numId w:val="4"/>
        </w:numPr>
        <w:rPr>
          <w:rFonts w:ascii="Times New Roman" w:hAnsi="Times New Roman" w:cs="Times New Roman"/>
        </w:rPr>
      </w:pPr>
      <w:r>
        <w:rPr>
          <w:rFonts w:ascii="Times New Roman" w:hAnsi="Times New Roman" w:cs="Times New Roman"/>
        </w:rPr>
        <w:t>Coverage - number of successful</w:t>
      </w:r>
      <w:r w:rsidR="00A769CA">
        <w:rPr>
          <w:rFonts w:ascii="Times New Roman" w:hAnsi="Times New Roman" w:cs="Times New Roman"/>
        </w:rPr>
        <w:t>ly</w:t>
      </w:r>
      <w:r>
        <w:rPr>
          <w:rFonts w:ascii="Times New Roman" w:hAnsi="Times New Roman" w:cs="Times New Roman"/>
        </w:rPr>
        <w:t xml:space="preserve"> matched enterprise groups</w:t>
      </w:r>
      <w:r w:rsidR="00A769CA">
        <w:rPr>
          <w:rFonts w:ascii="Times New Roman" w:hAnsi="Times New Roman" w:cs="Times New Roman"/>
        </w:rPr>
        <w:t>’</w:t>
      </w:r>
      <w:r>
        <w:rPr>
          <w:rFonts w:ascii="Times New Roman" w:hAnsi="Times New Roman" w:cs="Times New Roman"/>
        </w:rPr>
        <w:t xml:space="preserve"> names</w:t>
      </w:r>
    </w:p>
    <w:p w14:paraId="49D153FC" w14:textId="77777777" w:rsidR="007A122A" w:rsidRDefault="007A122A" w:rsidP="007A122A">
      <w:pPr>
        <w:pStyle w:val="Compact"/>
        <w:numPr>
          <w:ilvl w:val="0"/>
          <w:numId w:val="4"/>
        </w:numPr>
        <w:rPr>
          <w:rFonts w:ascii="Times New Roman" w:hAnsi="Times New Roman" w:cs="Times New Roman"/>
        </w:rPr>
      </w:pPr>
      <w:r>
        <w:rPr>
          <w:rFonts w:ascii="Times New Roman" w:hAnsi="Times New Roman" w:cs="Times New Roman"/>
        </w:rPr>
        <w:t>Completeness - number of received values for the different attributes</w:t>
      </w:r>
    </w:p>
    <w:p w14:paraId="7E8FC4E8" w14:textId="6CF833B9" w:rsidR="007A122A" w:rsidRDefault="007A122A" w:rsidP="007A122A">
      <w:pPr>
        <w:pStyle w:val="Compact"/>
        <w:numPr>
          <w:ilvl w:val="0"/>
          <w:numId w:val="4"/>
        </w:numPr>
        <w:rPr>
          <w:rFonts w:ascii="Times New Roman" w:hAnsi="Times New Roman" w:cs="Times New Roman"/>
        </w:rPr>
      </w:pPr>
      <w:r>
        <w:rPr>
          <w:rFonts w:ascii="Times New Roman" w:hAnsi="Times New Roman" w:cs="Times New Roman"/>
        </w:rPr>
        <w:t>Accuracy - quality of the returned values when compared to the figures published by the enterprise itself</w:t>
      </w:r>
    </w:p>
    <w:p w14:paraId="08E529A3" w14:textId="4791C019" w:rsidR="007A122A" w:rsidRDefault="007A122A" w:rsidP="007A122A">
      <w:pPr>
        <w:pStyle w:val="Compact"/>
        <w:numPr>
          <w:ilvl w:val="0"/>
          <w:numId w:val="4"/>
        </w:numPr>
        <w:rPr>
          <w:rFonts w:ascii="Times New Roman" w:hAnsi="Times New Roman" w:cs="Times New Roman"/>
        </w:rPr>
      </w:pPr>
      <w:r>
        <w:rPr>
          <w:rFonts w:ascii="Times New Roman" w:hAnsi="Times New Roman" w:cs="Times New Roman"/>
        </w:rPr>
        <w:t>Timeliness - availability of data for certain reference period based on EGR cycle</w:t>
      </w:r>
    </w:p>
    <w:p w14:paraId="71C25D5E" w14:textId="77777777" w:rsidR="007A122A" w:rsidRDefault="007A122A"/>
    <w:p w14:paraId="36B6D645" w14:textId="74A6F93A" w:rsidR="00C54867" w:rsidRDefault="00656F8D">
      <w:r>
        <w:t>DBpedia is a project that extracts data from Wikipedia (</w:t>
      </w:r>
      <w:r w:rsidR="000E1C31">
        <w:t>info boxes</w:t>
      </w:r>
      <w:r>
        <w:t>) in order to make it publicly available in the machine readable and query</w:t>
      </w:r>
      <w:r w:rsidR="000E1C31">
        <w:t>-friendly</w:t>
      </w:r>
      <w:r>
        <w:t xml:space="preserve"> Resource Description Framework (RDF) format that overcomes limitations of the latter. Wikipedia is an online encyclopaedia that is collaboratively written by volunteers. Currently about 71000 active contributors are working on more than 47 Million articles in 299 languages.  Its specific way of content creation brings advantages and disadvantages. It is a very rich data source but does not provide any guarantee for the quality of the data. In addition, the structure and representation of the information is quite diverse, especially across different language versions.</w:t>
      </w:r>
    </w:p>
    <w:p w14:paraId="1F46D488" w14:textId="77777777" w:rsidR="00C54867" w:rsidRDefault="00656F8D">
      <w:pPr>
        <w:pStyle w:val="BodyText"/>
      </w:pPr>
      <w:r>
        <w:t xml:space="preserve">However, in which way and to what extend DBpedia can be considered a potential resource to enrich the EGR Database on enterprise groups does not only depend on the data source itself, but also on the technical possibilities to create a practical tool for </w:t>
      </w:r>
      <w:r>
        <w:lastRenderedPageBreak/>
        <w:t>parsing data. The project goal was to create a Prove of Concept as an interface that handles a list of enterprise names and returns a list of results with detailed information on those enterprises. The workflow of this tool is split into 3 phases depending on each other: Linking (company Identification), Data Download &amp; Extraction as well as a Data Conversion, Consolidation &amp; Export phase.</w:t>
      </w:r>
    </w:p>
    <w:p w14:paraId="7B543979" w14:textId="77777777" w:rsidR="00C54867" w:rsidRDefault="00656F8D">
      <w:pPr>
        <w:pStyle w:val="Heading2"/>
        <w:numPr>
          <w:ilvl w:val="1"/>
          <w:numId w:val="2"/>
        </w:numPr>
      </w:pPr>
      <w:r>
        <w:t>Phase 1: Entity Linking (MNE Identification)</w:t>
      </w:r>
    </w:p>
    <w:p w14:paraId="692DCF84" w14:textId="3AA8C82C" w:rsidR="00C54867" w:rsidRDefault="00656F8D">
      <w:pPr>
        <w:pStyle w:val="BodyText"/>
      </w:pPr>
      <w:r>
        <w:t>Every MNE name is sent to the DBpedia Spotlight</w:t>
      </w:r>
      <w:r w:rsidR="00046131" w:rsidRPr="00046131">
        <w:t xml:space="preserve"> </w:t>
      </w:r>
      <w:r w:rsidR="00046131" w:rsidRPr="00011DED">
        <w:t>Application program interface</w:t>
      </w:r>
      <w:r>
        <w:t xml:space="preserve"> </w:t>
      </w:r>
      <w:r w:rsidR="00046131">
        <w:t>(</w:t>
      </w:r>
      <w:r>
        <w:t>API</w:t>
      </w:r>
      <w:r w:rsidR="00046131">
        <w:t>)</w:t>
      </w:r>
      <w:r>
        <w:t xml:space="preserve"> in order to identify and annotate it with a DBpedia ID (which corresponds to a Wikipedia Page). Multiple language models are used which improves the recognition of language dependent aliases or name variations and also improves coverage for entities which have only a restricted regional importance. Spotlight tries to disambiguate names but it can deliver multiple candidates with individual confidence scores. </w:t>
      </w:r>
    </w:p>
    <w:p w14:paraId="1D7EDED6" w14:textId="77777777" w:rsidR="00C54867" w:rsidRDefault="00656F8D">
      <w:pPr>
        <w:pStyle w:val="Heading2"/>
        <w:numPr>
          <w:ilvl w:val="1"/>
          <w:numId w:val="2"/>
        </w:numPr>
      </w:pPr>
      <w:r>
        <w:t>Phase 2: Data Download and Extraction</w:t>
      </w:r>
    </w:p>
    <w:p w14:paraId="27377017" w14:textId="0427DFEB" w:rsidR="00C54867" w:rsidRDefault="00656F8D">
      <w:pPr>
        <w:pStyle w:val="BodyText"/>
      </w:pPr>
      <w:r>
        <w:t xml:space="preserve">Using the Wikimedia API plus the DBpedia ID resolved in phase 1, all available Wikipedia articles </w:t>
      </w:r>
      <w:r w:rsidR="009A2EE4">
        <w:t>for set of (currently 17 European) languages</w:t>
      </w:r>
      <w:r>
        <w:t xml:space="preserve"> are retrieved for an MNE. The DBpedia extraction framework is used to extract and transform the information primarily contained in the </w:t>
      </w:r>
      <w:r w:rsidR="009A2EE4">
        <w:t>info boxes</w:t>
      </w:r>
      <w:r>
        <w:t xml:space="preserve"> of the Wikipedia articles into RDF. Reference year information from e.g. </w:t>
      </w:r>
      <w:r w:rsidR="005A0CA8">
        <w:t xml:space="preserve">employment </w:t>
      </w:r>
      <w:r w:rsidR="00732C21">
        <w:t xml:space="preserve">figures </w:t>
      </w:r>
      <w:r>
        <w:t xml:space="preserve">and revenues very often are not provided for the same reference year. </w:t>
      </w:r>
      <w:r w:rsidR="009A2EE4">
        <w:t>Furthermore,</w:t>
      </w:r>
      <w:r>
        <w:t xml:space="preserve"> data for the year 2016 tends to be not available for bigger companies in Q2/2018 anymore, since Wikipedia users also updated the article for 2017. In order to achieve better coverage for a given reference year, a historic mode is integrated in the prototype. To put it </w:t>
      </w:r>
      <w:r w:rsidR="009A2EE4">
        <w:t>briefly</w:t>
      </w:r>
      <w:r>
        <w:t xml:space="preserve">, this mode tracks all changes in the </w:t>
      </w:r>
      <w:r w:rsidR="009A2EE4">
        <w:t>info box</w:t>
      </w:r>
      <w:r>
        <w:t xml:space="preserve"> and merges this information into a virtual file per reference year. Such a file represents all information for one entity from a single Wikipedia language </w:t>
      </w:r>
      <w:r w:rsidR="009A2EE4">
        <w:t>version, which</w:t>
      </w:r>
      <w:r>
        <w:t xml:space="preserve"> could be retrieved for the target reference year.</w:t>
      </w:r>
    </w:p>
    <w:p w14:paraId="14D3EC9D" w14:textId="77777777" w:rsidR="00C54867" w:rsidRDefault="00656F8D">
      <w:pPr>
        <w:pStyle w:val="Heading2"/>
        <w:numPr>
          <w:ilvl w:val="1"/>
          <w:numId w:val="2"/>
        </w:numPr>
      </w:pPr>
      <w:bookmarkStart w:id="1" w:name="phase-3-data-conversion-and-export"/>
      <w:bookmarkEnd w:id="1"/>
      <w:r>
        <w:t>Phase 3: Data Conversion, Consolidation and Export</w:t>
      </w:r>
    </w:p>
    <w:p w14:paraId="2128F6BD" w14:textId="2B57DA89" w:rsidR="00C54867" w:rsidRDefault="00656F8D">
      <w:pPr>
        <w:pStyle w:val="BodyText"/>
      </w:pPr>
      <w:r>
        <w:t>Using the PoC prototype the RDF information gathered in phase 2 is converted into a tabular structure. In order to consolidate and resolve contradicting information from the different languages, Data Fusion is applied. The fusion algorithm leverages a majority voting approach for numeric values and uses a preference list for other values (English over German etc.) to filter outliers or (extraction) errors. The results are finally exported to CSV.</w:t>
      </w:r>
    </w:p>
    <w:p w14:paraId="3B8E70E0" w14:textId="77777777" w:rsidR="00C54867" w:rsidRDefault="00656F8D">
      <w:pPr>
        <w:pStyle w:val="Heading1"/>
        <w:numPr>
          <w:ilvl w:val="0"/>
          <w:numId w:val="2"/>
        </w:numPr>
      </w:pPr>
      <w:r>
        <w:t>Evaluation</w:t>
      </w:r>
    </w:p>
    <w:p w14:paraId="628D0E66" w14:textId="16443ADB" w:rsidR="00C54867" w:rsidRDefault="00656F8D">
      <w:pPr>
        <w:pStyle w:val="Caption"/>
      </w:pPr>
      <w:r>
        <w:rPr>
          <w:b w:val="0"/>
        </w:rPr>
        <w:t xml:space="preserve">The searches carried out during the testing phase proved that 70 of </w:t>
      </w:r>
      <w:r w:rsidR="00141229">
        <w:rPr>
          <w:b w:val="0"/>
        </w:rPr>
        <w:t xml:space="preserve">73 selected </w:t>
      </w:r>
      <w:r>
        <w:rPr>
          <w:b w:val="0"/>
        </w:rPr>
        <w:t>groups could be found in DBpedia.</w:t>
      </w:r>
    </w:p>
    <w:p w14:paraId="586E54C4" w14:textId="08AA3754" w:rsidR="00C54867" w:rsidRDefault="00656F8D">
      <w:r>
        <w:t>In contrast to the high percentage of enterprise groups matched in DBpedia, the number of retrieved attributes for the 2016 reference year is less promising. As shown in Table 1, for 70 out of 73 groups at a minimum a general description is provided</w:t>
      </w:r>
      <w:r w:rsidR="007A122A">
        <w:t>.</w:t>
      </w:r>
    </w:p>
    <w:p w14:paraId="1BB6CAC2" w14:textId="3677100C" w:rsidR="00C54867" w:rsidRDefault="00656F8D">
      <w:pPr>
        <w:pStyle w:val="BodyText"/>
      </w:pPr>
      <w:r>
        <w:t xml:space="preserve">Regarding the key figures, however, for less than 50% of the companies the number of </w:t>
      </w:r>
      <w:r w:rsidR="005A0CA8">
        <w:t>persons employed</w:t>
      </w:r>
      <w:r>
        <w:t xml:space="preserve">, turnover, or total assets could be obtained by parsing DBpedia. The percentage of coverage per attribute is </w:t>
      </w:r>
      <w:r w:rsidR="002B139B">
        <w:t>shown in</w:t>
      </w:r>
      <w:r>
        <w:t xml:space="preserve"> Table 1.</w:t>
      </w:r>
    </w:p>
    <w:p w14:paraId="45C8CF3B" w14:textId="36BB2397" w:rsidR="00656F8D" w:rsidRDefault="00656F8D">
      <w:pPr>
        <w:spacing w:after="0"/>
        <w:jc w:val="left"/>
      </w:pPr>
      <w:r>
        <w:br w:type="page"/>
      </w:r>
    </w:p>
    <w:p w14:paraId="44512E79" w14:textId="77777777" w:rsidR="00656F8D" w:rsidRDefault="00656F8D">
      <w:pPr>
        <w:pStyle w:val="BodyText"/>
      </w:pPr>
    </w:p>
    <w:p w14:paraId="4E8D2900" w14:textId="3B3D851D" w:rsidR="00C54867" w:rsidRDefault="00656F8D">
      <w:pPr>
        <w:pStyle w:val="Caption"/>
      </w:pPr>
      <w:r>
        <w:t xml:space="preserve">Table </w:t>
      </w:r>
      <w:r>
        <w:fldChar w:fldCharType="begin"/>
      </w:r>
      <w:r>
        <w:instrText>SEQ Table \* ARABIC</w:instrText>
      </w:r>
      <w:r>
        <w:fldChar w:fldCharType="separate"/>
      </w:r>
      <w:r w:rsidR="00A769CA">
        <w:rPr>
          <w:noProof/>
        </w:rPr>
        <w:t>1</w:t>
      </w:r>
      <w:r>
        <w:fldChar w:fldCharType="end"/>
      </w:r>
      <w:r>
        <w:t xml:space="preserve">. Sample Completeness Analysis of Attributes of Interest for EGR </w:t>
      </w:r>
    </w:p>
    <w:tbl>
      <w:tblPr>
        <w:tblW w:w="8820" w:type="dxa"/>
        <w:tblInd w:w="5" w:type="dxa"/>
        <w:tblBorders>
          <w:top w:val="single" w:sz="4" w:space="0" w:color="00000A"/>
          <w:left w:val="single" w:sz="4" w:space="0" w:color="00000A"/>
          <w:bottom w:val="single" w:sz="4" w:space="0" w:color="00000A"/>
          <w:insideH w:val="single" w:sz="4" w:space="0" w:color="00000A"/>
        </w:tblBorders>
        <w:tblLook w:val="07E0" w:firstRow="1" w:lastRow="1" w:firstColumn="1" w:lastColumn="1" w:noHBand="1" w:noVBand="1"/>
      </w:tblPr>
      <w:tblGrid>
        <w:gridCol w:w="4500"/>
        <w:gridCol w:w="2070"/>
        <w:gridCol w:w="2250"/>
      </w:tblGrid>
      <w:tr w:rsidR="00C54867" w14:paraId="41F0E011" w14:textId="77777777" w:rsidTr="007A122A">
        <w:trPr>
          <w:trHeight w:hRule="exact" w:val="230"/>
        </w:trPr>
        <w:tc>
          <w:tcPr>
            <w:tcW w:w="4500" w:type="dxa"/>
            <w:tcBorders>
              <w:top w:val="single" w:sz="4" w:space="0" w:color="00000A"/>
              <w:left w:val="single" w:sz="4" w:space="0" w:color="00000A"/>
              <w:bottom w:val="single" w:sz="4" w:space="0" w:color="00000A"/>
            </w:tcBorders>
            <w:shd w:val="clear" w:color="auto" w:fill="FFFFFF"/>
            <w:tcMar>
              <w:left w:w="108" w:type="dxa"/>
            </w:tcMar>
          </w:tcPr>
          <w:p w14:paraId="186ACB81" w14:textId="77777777" w:rsidR="00C54867" w:rsidRPr="007A122A" w:rsidRDefault="00656F8D">
            <w:pPr>
              <w:rPr>
                <w:b/>
                <w:bCs/>
                <w:sz w:val="20"/>
              </w:rPr>
            </w:pPr>
            <w:r w:rsidRPr="007A122A">
              <w:rPr>
                <w:b/>
                <w:bCs/>
                <w:sz w:val="20"/>
              </w:rPr>
              <w:t>Attribute of the MNE</w:t>
            </w:r>
          </w:p>
        </w:tc>
        <w:tc>
          <w:tcPr>
            <w:tcW w:w="2070" w:type="dxa"/>
            <w:tcBorders>
              <w:top w:val="single" w:sz="4" w:space="0" w:color="00000A"/>
              <w:left w:val="single" w:sz="4" w:space="0" w:color="00000A"/>
              <w:bottom w:val="single" w:sz="4" w:space="0" w:color="00000A"/>
            </w:tcBorders>
            <w:shd w:val="clear" w:color="auto" w:fill="FFFFFF"/>
            <w:tcMar>
              <w:left w:w="108" w:type="dxa"/>
            </w:tcMar>
          </w:tcPr>
          <w:p w14:paraId="540DD9EC" w14:textId="77777777" w:rsidR="00C54867" w:rsidRPr="007A122A" w:rsidRDefault="00656F8D">
            <w:pPr>
              <w:jc w:val="center"/>
              <w:rPr>
                <w:b/>
                <w:bCs/>
                <w:sz w:val="20"/>
              </w:rPr>
            </w:pPr>
            <w:r w:rsidRPr="007A122A">
              <w:rPr>
                <w:b/>
                <w:bCs/>
                <w:sz w:val="20"/>
              </w:rPr>
              <w:t>completeness</w:t>
            </w:r>
          </w:p>
        </w:tc>
        <w:tc>
          <w:tcPr>
            <w:tcW w:w="225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326E0635" w14:textId="77777777" w:rsidR="00C54867" w:rsidRPr="007A122A" w:rsidRDefault="00656F8D">
            <w:pPr>
              <w:jc w:val="center"/>
              <w:rPr>
                <w:b/>
                <w:bCs/>
                <w:sz w:val="20"/>
              </w:rPr>
            </w:pPr>
            <w:r w:rsidRPr="007A122A">
              <w:rPr>
                <w:b/>
                <w:bCs/>
                <w:sz w:val="20"/>
              </w:rPr>
              <w:t>completeness in %</w:t>
            </w:r>
          </w:p>
        </w:tc>
      </w:tr>
      <w:tr w:rsidR="00C54867" w14:paraId="336F5633" w14:textId="77777777" w:rsidTr="007A122A">
        <w:trPr>
          <w:trHeight w:hRule="exact" w:val="290"/>
        </w:trPr>
        <w:tc>
          <w:tcPr>
            <w:tcW w:w="4500" w:type="dxa"/>
            <w:tcBorders>
              <w:left w:val="single" w:sz="4" w:space="0" w:color="00000A"/>
              <w:bottom w:val="single" w:sz="4" w:space="0" w:color="00000A"/>
            </w:tcBorders>
            <w:shd w:val="clear" w:color="auto" w:fill="FFFFFF"/>
            <w:tcMar>
              <w:left w:w="108" w:type="dxa"/>
            </w:tcMar>
          </w:tcPr>
          <w:p w14:paraId="50D0CA96" w14:textId="77777777" w:rsidR="00C54867" w:rsidRPr="007A122A" w:rsidRDefault="00656F8D">
            <w:pPr>
              <w:rPr>
                <w:sz w:val="20"/>
              </w:rPr>
            </w:pPr>
            <w:r w:rsidRPr="007A122A">
              <w:rPr>
                <w:sz w:val="20"/>
              </w:rPr>
              <w:t>Short Description</w:t>
            </w:r>
          </w:p>
        </w:tc>
        <w:tc>
          <w:tcPr>
            <w:tcW w:w="2070" w:type="dxa"/>
            <w:tcBorders>
              <w:left w:val="single" w:sz="4" w:space="0" w:color="00000A"/>
              <w:bottom w:val="single" w:sz="4" w:space="0" w:color="00000A"/>
            </w:tcBorders>
            <w:shd w:val="clear" w:color="auto" w:fill="FFFFFF"/>
            <w:tcMar>
              <w:left w:w="108" w:type="dxa"/>
            </w:tcMar>
          </w:tcPr>
          <w:p w14:paraId="74F8B13C" w14:textId="77777777" w:rsidR="00C54867" w:rsidRPr="007A122A" w:rsidRDefault="00656F8D">
            <w:pPr>
              <w:jc w:val="center"/>
              <w:rPr>
                <w:sz w:val="20"/>
              </w:rPr>
            </w:pPr>
            <w:r w:rsidRPr="007A122A">
              <w:rPr>
                <w:sz w:val="20"/>
              </w:rPr>
              <w:t>70</w:t>
            </w:r>
          </w:p>
        </w:tc>
        <w:tc>
          <w:tcPr>
            <w:tcW w:w="2250" w:type="dxa"/>
            <w:tcBorders>
              <w:left w:val="single" w:sz="4" w:space="0" w:color="00000A"/>
              <w:bottom w:val="single" w:sz="4" w:space="0" w:color="00000A"/>
              <w:right w:val="single" w:sz="4" w:space="0" w:color="00000A"/>
            </w:tcBorders>
            <w:shd w:val="clear" w:color="auto" w:fill="FFFFFF"/>
            <w:tcMar>
              <w:left w:w="108" w:type="dxa"/>
            </w:tcMar>
          </w:tcPr>
          <w:p w14:paraId="03B43559" w14:textId="77777777" w:rsidR="00C54867" w:rsidRPr="007A122A" w:rsidRDefault="00656F8D">
            <w:pPr>
              <w:jc w:val="center"/>
              <w:rPr>
                <w:sz w:val="20"/>
              </w:rPr>
            </w:pPr>
            <w:r w:rsidRPr="007A122A">
              <w:rPr>
                <w:sz w:val="20"/>
              </w:rPr>
              <w:t>95.9</w:t>
            </w:r>
          </w:p>
        </w:tc>
      </w:tr>
      <w:tr w:rsidR="00C54867" w14:paraId="7E298AC7" w14:textId="77777777">
        <w:trPr>
          <w:trHeight w:hRule="exact" w:val="317"/>
        </w:trPr>
        <w:tc>
          <w:tcPr>
            <w:tcW w:w="4500" w:type="dxa"/>
            <w:tcBorders>
              <w:left w:val="single" w:sz="4" w:space="0" w:color="00000A"/>
              <w:bottom w:val="single" w:sz="4" w:space="0" w:color="00000A"/>
            </w:tcBorders>
            <w:shd w:val="clear" w:color="auto" w:fill="FFFFFF"/>
            <w:tcMar>
              <w:left w:w="108" w:type="dxa"/>
            </w:tcMar>
          </w:tcPr>
          <w:p w14:paraId="514AA536" w14:textId="77777777" w:rsidR="00C54867" w:rsidRPr="007A122A" w:rsidRDefault="00656F8D">
            <w:pPr>
              <w:rPr>
                <w:sz w:val="20"/>
              </w:rPr>
            </w:pPr>
            <w:r w:rsidRPr="007A122A">
              <w:rPr>
                <w:sz w:val="20"/>
              </w:rPr>
              <w:t>NACE Code</w:t>
            </w:r>
          </w:p>
        </w:tc>
        <w:tc>
          <w:tcPr>
            <w:tcW w:w="2070" w:type="dxa"/>
            <w:tcBorders>
              <w:left w:val="single" w:sz="4" w:space="0" w:color="00000A"/>
              <w:bottom w:val="single" w:sz="4" w:space="0" w:color="00000A"/>
            </w:tcBorders>
            <w:shd w:val="clear" w:color="auto" w:fill="FFFFFF"/>
            <w:tcMar>
              <w:left w:w="108" w:type="dxa"/>
            </w:tcMar>
          </w:tcPr>
          <w:p w14:paraId="37B0FBC8" w14:textId="77777777" w:rsidR="00C54867" w:rsidRPr="007A122A" w:rsidRDefault="00656F8D">
            <w:pPr>
              <w:jc w:val="center"/>
              <w:rPr>
                <w:sz w:val="20"/>
              </w:rPr>
            </w:pPr>
            <w:r w:rsidRPr="007A122A">
              <w:rPr>
                <w:sz w:val="20"/>
              </w:rPr>
              <w:t>*</w:t>
            </w:r>
          </w:p>
        </w:tc>
        <w:tc>
          <w:tcPr>
            <w:tcW w:w="2250" w:type="dxa"/>
            <w:tcBorders>
              <w:left w:val="single" w:sz="4" w:space="0" w:color="00000A"/>
              <w:bottom w:val="single" w:sz="4" w:space="0" w:color="00000A"/>
              <w:right w:val="single" w:sz="4" w:space="0" w:color="00000A"/>
            </w:tcBorders>
            <w:shd w:val="clear" w:color="auto" w:fill="FFFFFF"/>
            <w:tcMar>
              <w:left w:w="108" w:type="dxa"/>
            </w:tcMar>
          </w:tcPr>
          <w:p w14:paraId="1BB80877" w14:textId="77777777" w:rsidR="00C54867" w:rsidRPr="007A122A" w:rsidRDefault="00656F8D">
            <w:pPr>
              <w:jc w:val="center"/>
              <w:rPr>
                <w:sz w:val="20"/>
              </w:rPr>
            </w:pPr>
            <w:r w:rsidRPr="007A122A">
              <w:rPr>
                <w:sz w:val="20"/>
              </w:rPr>
              <w:t>*</w:t>
            </w:r>
          </w:p>
        </w:tc>
      </w:tr>
      <w:tr w:rsidR="00C54867" w14:paraId="14D3BDAA" w14:textId="77777777">
        <w:trPr>
          <w:trHeight w:hRule="exact" w:val="317"/>
        </w:trPr>
        <w:tc>
          <w:tcPr>
            <w:tcW w:w="4500" w:type="dxa"/>
            <w:tcBorders>
              <w:left w:val="single" w:sz="4" w:space="0" w:color="00000A"/>
              <w:bottom w:val="single" w:sz="4" w:space="0" w:color="00000A"/>
            </w:tcBorders>
            <w:shd w:val="clear" w:color="auto" w:fill="FFFFFF"/>
            <w:tcMar>
              <w:left w:w="108" w:type="dxa"/>
            </w:tcMar>
          </w:tcPr>
          <w:p w14:paraId="1ABDF46C" w14:textId="77777777" w:rsidR="00C54867" w:rsidRPr="007A122A" w:rsidRDefault="00656F8D">
            <w:pPr>
              <w:rPr>
                <w:sz w:val="20"/>
              </w:rPr>
            </w:pPr>
            <w:r w:rsidRPr="007A122A">
              <w:rPr>
                <w:sz w:val="20"/>
              </w:rPr>
              <w:t xml:space="preserve">Persons employed </w:t>
            </w:r>
          </w:p>
        </w:tc>
        <w:tc>
          <w:tcPr>
            <w:tcW w:w="2070" w:type="dxa"/>
            <w:tcBorders>
              <w:left w:val="single" w:sz="4" w:space="0" w:color="00000A"/>
              <w:bottom w:val="single" w:sz="4" w:space="0" w:color="00000A"/>
            </w:tcBorders>
            <w:shd w:val="clear" w:color="auto" w:fill="FFFFFF"/>
            <w:tcMar>
              <w:left w:w="108" w:type="dxa"/>
            </w:tcMar>
          </w:tcPr>
          <w:p w14:paraId="04569E17" w14:textId="77777777" w:rsidR="00C54867" w:rsidRPr="007A122A" w:rsidRDefault="00656F8D">
            <w:pPr>
              <w:jc w:val="center"/>
              <w:rPr>
                <w:sz w:val="20"/>
              </w:rPr>
            </w:pPr>
            <w:r w:rsidRPr="007A122A">
              <w:rPr>
                <w:sz w:val="20"/>
              </w:rPr>
              <w:t>31</w:t>
            </w:r>
          </w:p>
        </w:tc>
        <w:tc>
          <w:tcPr>
            <w:tcW w:w="2250" w:type="dxa"/>
            <w:tcBorders>
              <w:left w:val="single" w:sz="4" w:space="0" w:color="00000A"/>
              <w:bottom w:val="single" w:sz="4" w:space="0" w:color="00000A"/>
              <w:right w:val="single" w:sz="4" w:space="0" w:color="00000A"/>
            </w:tcBorders>
            <w:shd w:val="clear" w:color="auto" w:fill="FFFFFF"/>
            <w:tcMar>
              <w:left w:w="108" w:type="dxa"/>
            </w:tcMar>
          </w:tcPr>
          <w:p w14:paraId="09FB9D71" w14:textId="77777777" w:rsidR="00C54867" w:rsidRPr="007A122A" w:rsidRDefault="00656F8D">
            <w:pPr>
              <w:jc w:val="center"/>
              <w:rPr>
                <w:sz w:val="20"/>
              </w:rPr>
            </w:pPr>
            <w:r w:rsidRPr="007A122A">
              <w:rPr>
                <w:sz w:val="20"/>
              </w:rPr>
              <w:t>42.5</w:t>
            </w:r>
          </w:p>
        </w:tc>
      </w:tr>
      <w:tr w:rsidR="00C54867" w14:paraId="6B924035" w14:textId="77777777">
        <w:trPr>
          <w:trHeight w:hRule="exact" w:val="317"/>
        </w:trPr>
        <w:tc>
          <w:tcPr>
            <w:tcW w:w="4500" w:type="dxa"/>
            <w:tcBorders>
              <w:left w:val="single" w:sz="4" w:space="0" w:color="00000A"/>
              <w:bottom w:val="single" w:sz="4" w:space="0" w:color="00000A"/>
            </w:tcBorders>
            <w:shd w:val="clear" w:color="auto" w:fill="FFFFFF"/>
            <w:tcMar>
              <w:left w:w="108" w:type="dxa"/>
            </w:tcMar>
          </w:tcPr>
          <w:p w14:paraId="1A1FCC6C" w14:textId="77777777" w:rsidR="00C54867" w:rsidRPr="007A122A" w:rsidRDefault="00656F8D">
            <w:pPr>
              <w:rPr>
                <w:sz w:val="20"/>
              </w:rPr>
            </w:pPr>
            <w:r w:rsidRPr="007A122A">
              <w:rPr>
                <w:sz w:val="20"/>
              </w:rPr>
              <w:t>Persons employed outside Europe</w:t>
            </w:r>
          </w:p>
        </w:tc>
        <w:tc>
          <w:tcPr>
            <w:tcW w:w="2070" w:type="dxa"/>
            <w:tcBorders>
              <w:left w:val="single" w:sz="4" w:space="0" w:color="00000A"/>
              <w:bottom w:val="single" w:sz="4" w:space="0" w:color="00000A"/>
            </w:tcBorders>
            <w:shd w:val="clear" w:color="auto" w:fill="FFFFFF"/>
            <w:tcMar>
              <w:left w:w="108" w:type="dxa"/>
            </w:tcMar>
          </w:tcPr>
          <w:p w14:paraId="50F1FE69" w14:textId="77777777" w:rsidR="00C54867" w:rsidRPr="007A122A" w:rsidRDefault="00656F8D">
            <w:pPr>
              <w:jc w:val="center"/>
              <w:rPr>
                <w:sz w:val="20"/>
              </w:rPr>
            </w:pPr>
            <w:r w:rsidRPr="007A122A">
              <w:rPr>
                <w:sz w:val="20"/>
              </w:rPr>
              <w:t>*</w:t>
            </w:r>
          </w:p>
        </w:tc>
        <w:tc>
          <w:tcPr>
            <w:tcW w:w="2250" w:type="dxa"/>
            <w:tcBorders>
              <w:left w:val="single" w:sz="4" w:space="0" w:color="00000A"/>
              <w:bottom w:val="single" w:sz="4" w:space="0" w:color="00000A"/>
              <w:right w:val="single" w:sz="4" w:space="0" w:color="00000A"/>
            </w:tcBorders>
            <w:shd w:val="clear" w:color="auto" w:fill="FFFFFF"/>
            <w:tcMar>
              <w:left w:w="108" w:type="dxa"/>
            </w:tcMar>
          </w:tcPr>
          <w:p w14:paraId="6EB9DE4E" w14:textId="77777777" w:rsidR="00C54867" w:rsidRPr="007A122A" w:rsidRDefault="00656F8D">
            <w:pPr>
              <w:jc w:val="center"/>
              <w:rPr>
                <w:sz w:val="20"/>
              </w:rPr>
            </w:pPr>
            <w:r w:rsidRPr="007A122A">
              <w:rPr>
                <w:sz w:val="20"/>
              </w:rPr>
              <w:t>*</w:t>
            </w:r>
          </w:p>
        </w:tc>
      </w:tr>
      <w:tr w:rsidR="00C54867" w14:paraId="1436817F" w14:textId="77777777">
        <w:trPr>
          <w:trHeight w:hRule="exact" w:val="317"/>
        </w:trPr>
        <w:tc>
          <w:tcPr>
            <w:tcW w:w="4500" w:type="dxa"/>
            <w:tcBorders>
              <w:left w:val="single" w:sz="4" w:space="0" w:color="00000A"/>
              <w:bottom w:val="single" w:sz="4" w:space="0" w:color="00000A"/>
            </w:tcBorders>
            <w:shd w:val="clear" w:color="auto" w:fill="FFFFFF"/>
            <w:tcMar>
              <w:left w:w="108" w:type="dxa"/>
            </w:tcMar>
          </w:tcPr>
          <w:p w14:paraId="64B6246B" w14:textId="77777777" w:rsidR="00C54867" w:rsidRPr="007A122A" w:rsidRDefault="00656F8D">
            <w:pPr>
              <w:rPr>
                <w:sz w:val="20"/>
              </w:rPr>
            </w:pPr>
            <w:r w:rsidRPr="007A122A">
              <w:rPr>
                <w:sz w:val="20"/>
              </w:rPr>
              <w:t>Total Assets</w:t>
            </w:r>
          </w:p>
        </w:tc>
        <w:tc>
          <w:tcPr>
            <w:tcW w:w="2070" w:type="dxa"/>
            <w:tcBorders>
              <w:left w:val="single" w:sz="4" w:space="0" w:color="00000A"/>
              <w:bottom w:val="single" w:sz="4" w:space="0" w:color="00000A"/>
            </w:tcBorders>
            <w:shd w:val="clear" w:color="auto" w:fill="FFFFFF"/>
            <w:tcMar>
              <w:left w:w="108" w:type="dxa"/>
            </w:tcMar>
          </w:tcPr>
          <w:p w14:paraId="3A9FFDC1" w14:textId="77777777" w:rsidR="00C54867" w:rsidRPr="007A122A" w:rsidRDefault="00656F8D">
            <w:pPr>
              <w:jc w:val="center"/>
              <w:rPr>
                <w:sz w:val="20"/>
              </w:rPr>
            </w:pPr>
            <w:r w:rsidRPr="007A122A">
              <w:rPr>
                <w:sz w:val="20"/>
              </w:rPr>
              <w:t>12</w:t>
            </w:r>
          </w:p>
        </w:tc>
        <w:tc>
          <w:tcPr>
            <w:tcW w:w="2250" w:type="dxa"/>
            <w:tcBorders>
              <w:left w:val="single" w:sz="4" w:space="0" w:color="00000A"/>
              <w:bottom w:val="single" w:sz="4" w:space="0" w:color="00000A"/>
              <w:right w:val="single" w:sz="4" w:space="0" w:color="00000A"/>
            </w:tcBorders>
            <w:shd w:val="clear" w:color="auto" w:fill="FFFFFF"/>
            <w:tcMar>
              <w:left w:w="108" w:type="dxa"/>
            </w:tcMar>
          </w:tcPr>
          <w:p w14:paraId="26D6A9A2" w14:textId="77777777" w:rsidR="00C54867" w:rsidRPr="007A122A" w:rsidRDefault="00656F8D">
            <w:pPr>
              <w:jc w:val="center"/>
              <w:rPr>
                <w:sz w:val="20"/>
              </w:rPr>
            </w:pPr>
            <w:r w:rsidRPr="007A122A">
              <w:rPr>
                <w:sz w:val="20"/>
              </w:rPr>
              <w:t>16.4</w:t>
            </w:r>
          </w:p>
        </w:tc>
      </w:tr>
      <w:tr w:rsidR="00C54867" w14:paraId="44128E8A" w14:textId="77777777">
        <w:trPr>
          <w:trHeight w:hRule="exact" w:val="317"/>
        </w:trPr>
        <w:tc>
          <w:tcPr>
            <w:tcW w:w="4500" w:type="dxa"/>
            <w:tcBorders>
              <w:left w:val="single" w:sz="4" w:space="0" w:color="00000A"/>
              <w:bottom w:val="single" w:sz="4" w:space="0" w:color="00000A"/>
            </w:tcBorders>
            <w:shd w:val="clear" w:color="auto" w:fill="FFFFFF"/>
            <w:tcMar>
              <w:left w:w="108" w:type="dxa"/>
            </w:tcMar>
          </w:tcPr>
          <w:p w14:paraId="0A12B038" w14:textId="77777777" w:rsidR="00C54867" w:rsidRPr="007A122A" w:rsidRDefault="00656F8D">
            <w:pPr>
              <w:rPr>
                <w:sz w:val="20"/>
              </w:rPr>
            </w:pPr>
            <w:r w:rsidRPr="007A122A">
              <w:rPr>
                <w:sz w:val="20"/>
              </w:rPr>
              <w:t>Total Assets Currency Code</w:t>
            </w:r>
          </w:p>
        </w:tc>
        <w:tc>
          <w:tcPr>
            <w:tcW w:w="2070" w:type="dxa"/>
            <w:tcBorders>
              <w:left w:val="single" w:sz="4" w:space="0" w:color="00000A"/>
              <w:bottom w:val="single" w:sz="4" w:space="0" w:color="00000A"/>
            </w:tcBorders>
            <w:shd w:val="clear" w:color="auto" w:fill="FFFFFF"/>
            <w:tcMar>
              <w:left w:w="108" w:type="dxa"/>
            </w:tcMar>
          </w:tcPr>
          <w:p w14:paraId="09FF07F9" w14:textId="77777777" w:rsidR="00C54867" w:rsidRPr="007A122A" w:rsidRDefault="00656F8D">
            <w:pPr>
              <w:jc w:val="center"/>
              <w:rPr>
                <w:sz w:val="20"/>
              </w:rPr>
            </w:pPr>
            <w:r w:rsidRPr="007A122A">
              <w:rPr>
                <w:sz w:val="20"/>
              </w:rPr>
              <w:t>12</w:t>
            </w:r>
          </w:p>
        </w:tc>
        <w:tc>
          <w:tcPr>
            <w:tcW w:w="2250" w:type="dxa"/>
            <w:tcBorders>
              <w:left w:val="single" w:sz="4" w:space="0" w:color="00000A"/>
              <w:bottom w:val="single" w:sz="4" w:space="0" w:color="00000A"/>
              <w:right w:val="single" w:sz="4" w:space="0" w:color="00000A"/>
            </w:tcBorders>
            <w:shd w:val="clear" w:color="auto" w:fill="FFFFFF"/>
            <w:tcMar>
              <w:left w:w="108" w:type="dxa"/>
            </w:tcMar>
          </w:tcPr>
          <w:p w14:paraId="17E194B4" w14:textId="77777777" w:rsidR="00C54867" w:rsidRPr="007A122A" w:rsidRDefault="00656F8D">
            <w:pPr>
              <w:jc w:val="center"/>
              <w:rPr>
                <w:sz w:val="20"/>
              </w:rPr>
            </w:pPr>
            <w:r w:rsidRPr="007A122A">
              <w:rPr>
                <w:sz w:val="20"/>
              </w:rPr>
              <w:t>16.4</w:t>
            </w:r>
          </w:p>
        </w:tc>
      </w:tr>
      <w:tr w:rsidR="00C54867" w14:paraId="3A58EC10" w14:textId="77777777">
        <w:trPr>
          <w:trHeight w:hRule="exact" w:val="317"/>
        </w:trPr>
        <w:tc>
          <w:tcPr>
            <w:tcW w:w="4500" w:type="dxa"/>
            <w:tcBorders>
              <w:left w:val="single" w:sz="4" w:space="0" w:color="00000A"/>
              <w:bottom w:val="single" w:sz="4" w:space="0" w:color="00000A"/>
            </w:tcBorders>
            <w:shd w:val="clear" w:color="auto" w:fill="FFFFFF"/>
            <w:tcMar>
              <w:left w:w="108" w:type="dxa"/>
            </w:tcMar>
          </w:tcPr>
          <w:p w14:paraId="16F3131C" w14:textId="77777777" w:rsidR="00C54867" w:rsidRPr="007A122A" w:rsidRDefault="00656F8D">
            <w:pPr>
              <w:rPr>
                <w:sz w:val="20"/>
              </w:rPr>
            </w:pPr>
            <w:r w:rsidRPr="007A122A">
              <w:rPr>
                <w:sz w:val="20"/>
              </w:rPr>
              <w:t>Total Turnover</w:t>
            </w:r>
          </w:p>
        </w:tc>
        <w:tc>
          <w:tcPr>
            <w:tcW w:w="2070" w:type="dxa"/>
            <w:tcBorders>
              <w:left w:val="single" w:sz="4" w:space="0" w:color="00000A"/>
              <w:bottom w:val="single" w:sz="4" w:space="0" w:color="00000A"/>
            </w:tcBorders>
            <w:shd w:val="clear" w:color="auto" w:fill="FFFFFF"/>
            <w:tcMar>
              <w:left w:w="108" w:type="dxa"/>
            </w:tcMar>
          </w:tcPr>
          <w:p w14:paraId="0630DDE3" w14:textId="77777777" w:rsidR="00C54867" w:rsidRPr="007A122A" w:rsidRDefault="00656F8D">
            <w:pPr>
              <w:jc w:val="center"/>
              <w:rPr>
                <w:sz w:val="20"/>
              </w:rPr>
            </w:pPr>
            <w:r w:rsidRPr="007A122A">
              <w:rPr>
                <w:sz w:val="20"/>
              </w:rPr>
              <w:t>27</w:t>
            </w:r>
          </w:p>
        </w:tc>
        <w:tc>
          <w:tcPr>
            <w:tcW w:w="2250" w:type="dxa"/>
            <w:tcBorders>
              <w:left w:val="single" w:sz="4" w:space="0" w:color="00000A"/>
              <w:bottom w:val="single" w:sz="4" w:space="0" w:color="00000A"/>
              <w:right w:val="single" w:sz="4" w:space="0" w:color="00000A"/>
            </w:tcBorders>
            <w:shd w:val="clear" w:color="auto" w:fill="FFFFFF"/>
            <w:tcMar>
              <w:left w:w="108" w:type="dxa"/>
            </w:tcMar>
          </w:tcPr>
          <w:p w14:paraId="1BBCF03C" w14:textId="77777777" w:rsidR="00C54867" w:rsidRPr="007A122A" w:rsidRDefault="00656F8D">
            <w:pPr>
              <w:jc w:val="center"/>
              <w:rPr>
                <w:sz w:val="20"/>
              </w:rPr>
            </w:pPr>
            <w:r w:rsidRPr="007A122A">
              <w:rPr>
                <w:sz w:val="20"/>
              </w:rPr>
              <w:t>37.0</w:t>
            </w:r>
          </w:p>
        </w:tc>
      </w:tr>
      <w:tr w:rsidR="00C54867" w14:paraId="1BC0965F" w14:textId="77777777">
        <w:trPr>
          <w:trHeight w:hRule="exact" w:val="317"/>
        </w:trPr>
        <w:tc>
          <w:tcPr>
            <w:tcW w:w="4500" w:type="dxa"/>
            <w:tcBorders>
              <w:left w:val="single" w:sz="4" w:space="0" w:color="00000A"/>
              <w:bottom w:val="single" w:sz="4" w:space="0" w:color="00000A"/>
            </w:tcBorders>
            <w:shd w:val="clear" w:color="auto" w:fill="FFFFFF"/>
            <w:tcMar>
              <w:left w:w="108" w:type="dxa"/>
            </w:tcMar>
          </w:tcPr>
          <w:p w14:paraId="0064F97C" w14:textId="77777777" w:rsidR="00C54867" w:rsidRPr="007A122A" w:rsidRDefault="00656F8D">
            <w:pPr>
              <w:rPr>
                <w:sz w:val="20"/>
              </w:rPr>
            </w:pPr>
            <w:r w:rsidRPr="007A122A">
              <w:rPr>
                <w:sz w:val="20"/>
              </w:rPr>
              <w:t>Total Turnover Currency Code</w:t>
            </w:r>
          </w:p>
        </w:tc>
        <w:tc>
          <w:tcPr>
            <w:tcW w:w="2070" w:type="dxa"/>
            <w:tcBorders>
              <w:left w:val="single" w:sz="4" w:space="0" w:color="00000A"/>
              <w:bottom w:val="single" w:sz="4" w:space="0" w:color="00000A"/>
            </w:tcBorders>
            <w:shd w:val="clear" w:color="auto" w:fill="FFFFFF"/>
            <w:tcMar>
              <w:left w:w="108" w:type="dxa"/>
            </w:tcMar>
          </w:tcPr>
          <w:p w14:paraId="3CC3AB17" w14:textId="77777777" w:rsidR="00C54867" w:rsidRPr="007A122A" w:rsidRDefault="00656F8D">
            <w:pPr>
              <w:jc w:val="center"/>
              <w:rPr>
                <w:sz w:val="20"/>
              </w:rPr>
            </w:pPr>
            <w:r w:rsidRPr="007A122A">
              <w:rPr>
                <w:sz w:val="20"/>
              </w:rPr>
              <w:t>27</w:t>
            </w:r>
          </w:p>
        </w:tc>
        <w:tc>
          <w:tcPr>
            <w:tcW w:w="2250" w:type="dxa"/>
            <w:tcBorders>
              <w:left w:val="single" w:sz="4" w:space="0" w:color="00000A"/>
              <w:bottom w:val="single" w:sz="4" w:space="0" w:color="00000A"/>
              <w:right w:val="single" w:sz="4" w:space="0" w:color="00000A"/>
            </w:tcBorders>
            <w:shd w:val="clear" w:color="auto" w:fill="FFFFFF"/>
            <w:tcMar>
              <w:left w:w="108" w:type="dxa"/>
            </w:tcMar>
          </w:tcPr>
          <w:p w14:paraId="39876F2B" w14:textId="77777777" w:rsidR="00C54867" w:rsidRPr="007A122A" w:rsidRDefault="00656F8D">
            <w:pPr>
              <w:jc w:val="center"/>
              <w:rPr>
                <w:sz w:val="20"/>
              </w:rPr>
            </w:pPr>
            <w:r w:rsidRPr="007A122A">
              <w:rPr>
                <w:sz w:val="20"/>
              </w:rPr>
              <w:t>37.0</w:t>
            </w:r>
          </w:p>
        </w:tc>
      </w:tr>
      <w:tr w:rsidR="00C54867" w14:paraId="163C4B2F" w14:textId="77777777">
        <w:trPr>
          <w:trHeight w:hRule="exact" w:val="317"/>
        </w:trPr>
        <w:tc>
          <w:tcPr>
            <w:tcW w:w="4500" w:type="dxa"/>
            <w:tcBorders>
              <w:left w:val="single" w:sz="4" w:space="0" w:color="00000A"/>
              <w:bottom w:val="single" w:sz="4" w:space="0" w:color="00000A"/>
            </w:tcBorders>
            <w:shd w:val="clear" w:color="auto" w:fill="FFFFFF"/>
            <w:tcMar>
              <w:left w:w="108" w:type="dxa"/>
            </w:tcMar>
          </w:tcPr>
          <w:p w14:paraId="46557482" w14:textId="77777777" w:rsidR="00C54867" w:rsidRPr="007A122A" w:rsidRDefault="00656F8D">
            <w:pPr>
              <w:rPr>
                <w:sz w:val="20"/>
              </w:rPr>
            </w:pPr>
            <w:r w:rsidRPr="007A122A">
              <w:rPr>
                <w:sz w:val="20"/>
              </w:rPr>
              <w:t xml:space="preserve">Country Code </w:t>
            </w:r>
          </w:p>
        </w:tc>
        <w:tc>
          <w:tcPr>
            <w:tcW w:w="2070" w:type="dxa"/>
            <w:tcBorders>
              <w:left w:val="single" w:sz="4" w:space="0" w:color="00000A"/>
              <w:bottom w:val="single" w:sz="4" w:space="0" w:color="00000A"/>
            </w:tcBorders>
            <w:shd w:val="clear" w:color="auto" w:fill="FFFFFF"/>
            <w:tcMar>
              <w:left w:w="108" w:type="dxa"/>
            </w:tcMar>
          </w:tcPr>
          <w:p w14:paraId="57636954" w14:textId="77777777" w:rsidR="00C54867" w:rsidRPr="007A122A" w:rsidRDefault="00656F8D">
            <w:pPr>
              <w:jc w:val="center"/>
              <w:rPr>
                <w:sz w:val="20"/>
              </w:rPr>
            </w:pPr>
            <w:r w:rsidRPr="007A122A">
              <w:rPr>
                <w:sz w:val="20"/>
              </w:rPr>
              <w:t>56</w:t>
            </w:r>
          </w:p>
        </w:tc>
        <w:tc>
          <w:tcPr>
            <w:tcW w:w="2250" w:type="dxa"/>
            <w:tcBorders>
              <w:left w:val="single" w:sz="4" w:space="0" w:color="00000A"/>
              <w:bottom w:val="single" w:sz="4" w:space="0" w:color="00000A"/>
              <w:right w:val="single" w:sz="4" w:space="0" w:color="00000A"/>
            </w:tcBorders>
            <w:shd w:val="clear" w:color="auto" w:fill="FFFFFF"/>
            <w:tcMar>
              <w:left w:w="108" w:type="dxa"/>
            </w:tcMar>
          </w:tcPr>
          <w:p w14:paraId="1BCCAE02" w14:textId="77777777" w:rsidR="00C54867" w:rsidRPr="007A122A" w:rsidRDefault="00656F8D">
            <w:pPr>
              <w:jc w:val="center"/>
              <w:rPr>
                <w:sz w:val="20"/>
              </w:rPr>
            </w:pPr>
            <w:r w:rsidRPr="007A122A">
              <w:rPr>
                <w:sz w:val="20"/>
              </w:rPr>
              <w:t>76.7</w:t>
            </w:r>
          </w:p>
        </w:tc>
      </w:tr>
      <w:tr w:rsidR="00C54867" w14:paraId="01B70A79" w14:textId="77777777">
        <w:trPr>
          <w:trHeight w:hRule="exact" w:val="317"/>
        </w:trPr>
        <w:tc>
          <w:tcPr>
            <w:tcW w:w="4500" w:type="dxa"/>
            <w:tcBorders>
              <w:left w:val="single" w:sz="4" w:space="0" w:color="00000A"/>
              <w:bottom w:val="single" w:sz="4" w:space="0" w:color="00000A"/>
            </w:tcBorders>
            <w:shd w:val="clear" w:color="auto" w:fill="FFFFFF"/>
            <w:tcMar>
              <w:left w:w="108" w:type="dxa"/>
            </w:tcMar>
          </w:tcPr>
          <w:p w14:paraId="221D165A" w14:textId="77777777" w:rsidR="00C54867" w:rsidRPr="007A122A" w:rsidRDefault="00656F8D">
            <w:pPr>
              <w:rPr>
                <w:sz w:val="20"/>
              </w:rPr>
            </w:pPr>
            <w:r w:rsidRPr="007A122A">
              <w:rPr>
                <w:sz w:val="20"/>
              </w:rPr>
              <w:t>Ultimate Controlling Unit</w:t>
            </w:r>
          </w:p>
        </w:tc>
        <w:tc>
          <w:tcPr>
            <w:tcW w:w="2070" w:type="dxa"/>
            <w:tcBorders>
              <w:left w:val="single" w:sz="4" w:space="0" w:color="00000A"/>
              <w:bottom w:val="single" w:sz="4" w:space="0" w:color="00000A"/>
            </w:tcBorders>
            <w:shd w:val="clear" w:color="auto" w:fill="FFFFFF"/>
            <w:tcMar>
              <w:left w:w="108" w:type="dxa"/>
            </w:tcMar>
          </w:tcPr>
          <w:p w14:paraId="50EF5116" w14:textId="77777777" w:rsidR="00C54867" w:rsidRPr="007A122A" w:rsidRDefault="00656F8D">
            <w:pPr>
              <w:jc w:val="center"/>
              <w:rPr>
                <w:sz w:val="20"/>
              </w:rPr>
            </w:pPr>
            <w:r w:rsidRPr="007A122A">
              <w:rPr>
                <w:sz w:val="20"/>
              </w:rPr>
              <w:t>*</w:t>
            </w:r>
          </w:p>
        </w:tc>
        <w:tc>
          <w:tcPr>
            <w:tcW w:w="2250" w:type="dxa"/>
            <w:tcBorders>
              <w:left w:val="single" w:sz="4" w:space="0" w:color="00000A"/>
              <w:bottom w:val="single" w:sz="4" w:space="0" w:color="00000A"/>
              <w:right w:val="single" w:sz="4" w:space="0" w:color="00000A"/>
            </w:tcBorders>
            <w:shd w:val="clear" w:color="auto" w:fill="FFFFFF"/>
            <w:tcMar>
              <w:left w:w="108" w:type="dxa"/>
            </w:tcMar>
          </w:tcPr>
          <w:p w14:paraId="0806A365" w14:textId="77777777" w:rsidR="00C54867" w:rsidRPr="007A122A" w:rsidRDefault="00656F8D">
            <w:pPr>
              <w:jc w:val="center"/>
              <w:rPr>
                <w:sz w:val="20"/>
              </w:rPr>
            </w:pPr>
            <w:r w:rsidRPr="007A122A">
              <w:rPr>
                <w:sz w:val="20"/>
              </w:rPr>
              <w:t>*</w:t>
            </w:r>
          </w:p>
        </w:tc>
      </w:tr>
      <w:tr w:rsidR="00C54867" w14:paraId="04C68AE5" w14:textId="77777777">
        <w:trPr>
          <w:trHeight w:hRule="exact" w:val="317"/>
        </w:trPr>
        <w:tc>
          <w:tcPr>
            <w:tcW w:w="4500" w:type="dxa"/>
            <w:tcBorders>
              <w:left w:val="single" w:sz="4" w:space="0" w:color="00000A"/>
              <w:bottom w:val="single" w:sz="4" w:space="0" w:color="00000A"/>
            </w:tcBorders>
            <w:shd w:val="clear" w:color="auto" w:fill="FFFFFF"/>
            <w:tcMar>
              <w:left w:w="108" w:type="dxa"/>
            </w:tcMar>
          </w:tcPr>
          <w:p w14:paraId="661980F2" w14:textId="4BD1B98C" w:rsidR="00C54867" w:rsidRPr="007A122A" w:rsidRDefault="00656F8D">
            <w:pPr>
              <w:rPr>
                <w:sz w:val="20"/>
              </w:rPr>
            </w:pPr>
            <w:r w:rsidRPr="007A122A">
              <w:rPr>
                <w:sz w:val="20"/>
              </w:rPr>
              <w:t>Hyperlink to</w:t>
            </w:r>
            <w:r w:rsidR="00524DEE">
              <w:rPr>
                <w:sz w:val="20"/>
              </w:rPr>
              <w:t xml:space="preserve"> group’s</w:t>
            </w:r>
            <w:r w:rsidRPr="007A122A">
              <w:rPr>
                <w:sz w:val="20"/>
              </w:rPr>
              <w:t xml:space="preserve"> Webpage</w:t>
            </w:r>
          </w:p>
        </w:tc>
        <w:tc>
          <w:tcPr>
            <w:tcW w:w="2070" w:type="dxa"/>
            <w:tcBorders>
              <w:left w:val="single" w:sz="4" w:space="0" w:color="00000A"/>
              <w:bottom w:val="single" w:sz="4" w:space="0" w:color="00000A"/>
            </w:tcBorders>
            <w:shd w:val="clear" w:color="auto" w:fill="FFFFFF"/>
            <w:tcMar>
              <w:left w:w="108" w:type="dxa"/>
            </w:tcMar>
          </w:tcPr>
          <w:p w14:paraId="7B74BE92" w14:textId="77777777" w:rsidR="00C54867" w:rsidRPr="007A122A" w:rsidRDefault="00656F8D">
            <w:pPr>
              <w:jc w:val="center"/>
              <w:rPr>
                <w:sz w:val="20"/>
              </w:rPr>
            </w:pPr>
            <w:r w:rsidRPr="007A122A">
              <w:rPr>
                <w:sz w:val="20"/>
              </w:rPr>
              <w:t>67</w:t>
            </w:r>
          </w:p>
        </w:tc>
        <w:tc>
          <w:tcPr>
            <w:tcW w:w="2250" w:type="dxa"/>
            <w:tcBorders>
              <w:left w:val="single" w:sz="4" w:space="0" w:color="00000A"/>
              <w:bottom w:val="single" w:sz="4" w:space="0" w:color="00000A"/>
              <w:right w:val="single" w:sz="4" w:space="0" w:color="00000A"/>
            </w:tcBorders>
            <w:shd w:val="clear" w:color="auto" w:fill="FFFFFF"/>
            <w:tcMar>
              <w:left w:w="108" w:type="dxa"/>
            </w:tcMar>
          </w:tcPr>
          <w:p w14:paraId="48BFE525" w14:textId="77777777" w:rsidR="00C54867" w:rsidRPr="007A122A" w:rsidRDefault="00656F8D">
            <w:pPr>
              <w:jc w:val="center"/>
              <w:rPr>
                <w:sz w:val="20"/>
              </w:rPr>
            </w:pPr>
            <w:r w:rsidRPr="007A122A">
              <w:rPr>
                <w:sz w:val="20"/>
              </w:rPr>
              <w:t>91.8</w:t>
            </w:r>
          </w:p>
        </w:tc>
      </w:tr>
    </w:tbl>
    <w:p w14:paraId="4FCB2D7C" w14:textId="7B860CDE" w:rsidR="00C54867" w:rsidRDefault="00656F8D">
      <w:r>
        <w:t xml:space="preserve">The approach to determine the accuracy of the retrieved data was to manually </w:t>
      </w:r>
      <w:r w:rsidR="002B139B">
        <w:t>crosscheck</w:t>
      </w:r>
      <w:r>
        <w:t xml:space="preserve"> a sample of key figures against the officially published annual account reports by the companies on the internet.</w:t>
      </w:r>
    </w:p>
    <w:p w14:paraId="409CD406" w14:textId="2C3BBBC7" w:rsidR="00C54867" w:rsidRDefault="00656F8D">
      <w:pPr>
        <w:pStyle w:val="BodyText"/>
      </w:pPr>
      <w:r>
        <w:t xml:space="preserve">For 31 out of 70 </w:t>
      </w:r>
      <w:r w:rsidR="002B139B">
        <w:t>MNEs,</w:t>
      </w:r>
      <w:r>
        <w:t xml:space="preserve"> the number of </w:t>
      </w:r>
      <w:r w:rsidR="00524DEE">
        <w:t xml:space="preserve">persons employed </w:t>
      </w:r>
      <w:r>
        <w:t>cou</w:t>
      </w:r>
      <w:r w:rsidR="00AA6D57">
        <w:t>ld be retrieved from DBpedia. Sixteen</w:t>
      </w:r>
      <w:r>
        <w:t xml:space="preserve"> of those 31 </w:t>
      </w:r>
      <w:r w:rsidR="0016216C">
        <w:t xml:space="preserve">groups </w:t>
      </w:r>
      <w:r>
        <w:t>were crosschecked with manually collected data.</w:t>
      </w:r>
      <w:r>
        <w:rPr>
          <w:rStyle w:val="FootnoteAnchor"/>
        </w:rPr>
        <w:footnoteReference w:id="1"/>
      </w:r>
    </w:p>
    <w:p w14:paraId="5B7ECC2F" w14:textId="54D925ED" w:rsidR="00C54867" w:rsidRDefault="00656F8D">
      <w:pPr>
        <w:pStyle w:val="BodyText"/>
      </w:pPr>
      <w:r>
        <w:t xml:space="preserve">As shown by Figure 1, the overall accuracy of the number of </w:t>
      </w:r>
      <w:r w:rsidR="00246A91">
        <w:t xml:space="preserve">persons employed </w:t>
      </w:r>
      <w:r>
        <w:t>is very high since there is no remarkable deviation from the annual report data.</w:t>
      </w:r>
    </w:p>
    <w:p w14:paraId="2A6C1765" w14:textId="77777777" w:rsidR="00C54867" w:rsidRDefault="00656F8D">
      <w:pPr>
        <w:pStyle w:val="BodyText"/>
      </w:pPr>
      <w:r>
        <w:rPr>
          <w:noProof/>
          <w:lang w:eastAsia="en-GB"/>
        </w:rPr>
        <w:drawing>
          <wp:inline distT="0" distB="0" distL="0" distR="0" wp14:anchorId="5D603360" wp14:editId="78BAD9ED">
            <wp:extent cx="5333383" cy="2799298"/>
            <wp:effectExtent l="0" t="0" r="635" b="127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11"/>
                    <a:stretch>
                      <a:fillRect/>
                    </a:stretch>
                  </pic:blipFill>
                  <pic:spPr bwMode="auto">
                    <a:xfrm>
                      <a:off x="0" y="0"/>
                      <a:ext cx="5343173" cy="2804436"/>
                    </a:xfrm>
                    <a:prstGeom prst="rect">
                      <a:avLst/>
                    </a:prstGeom>
                  </pic:spPr>
                </pic:pic>
              </a:graphicData>
            </a:graphic>
          </wp:inline>
        </w:drawing>
      </w:r>
    </w:p>
    <w:p w14:paraId="0FCA3BE3" w14:textId="042E3CA6" w:rsidR="00C54867" w:rsidRDefault="00656F8D">
      <w:pPr>
        <w:pStyle w:val="Caption"/>
      </w:pPr>
      <w:r>
        <w:t xml:space="preserve">Figure </w:t>
      </w:r>
      <w:r>
        <w:fldChar w:fldCharType="begin"/>
      </w:r>
      <w:r>
        <w:instrText>SEQ Figure \* ARABIC</w:instrText>
      </w:r>
      <w:r>
        <w:fldChar w:fldCharType="separate"/>
      </w:r>
      <w:r w:rsidR="00A769CA">
        <w:rPr>
          <w:noProof/>
        </w:rPr>
        <w:t>1</w:t>
      </w:r>
      <w:r>
        <w:fldChar w:fldCharType="end"/>
      </w:r>
      <w:r>
        <w:t>. Persons employed scatter plot. Extracted data is show</w:t>
      </w:r>
      <w:r w:rsidR="00246A91">
        <w:t>n</w:t>
      </w:r>
      <w:r>
        <w:t xml:space="preserve"> on x-axis, manually collected data from financial reports on y-axis.</w:t>
      </w:r>
    </w:p>
    <w:p w14:paraId="5C681DCC" w14:textId="3689DA9E" w:rsidR="00C54867" w:rsidRDefault="00656F8D">
      <w:pPr>
        <w:pStyle w:val="BodyText"/>
      </w:pPr>
      <w:r>
        <w:t xml:space="preserve">For 27 out of 73 </w:t>
      </w:r>
      <w:r w:rsidR="002B139B">
        <w:t>MNEs,</w:t>
      </w:r>
      <w:r>
        <w:t xml:space="preserve"> the turnover could be retrieved from DBpedia. </w:t>
      </w:r>
      <w:r w:rsidR="00FB2C98">
        <w:t>Twenty-four</w:t>
      </w:r>
      <w:r>
        <w:t xml:space="preserve"> of those 27 are </w:t>
      </w:r>
      <w:r w:rsidR="002B139B">
        <w:t>crosschecked</w:t>
      </w:r>
      <w:r>
        <w:t xml:space="preserve"> with manually collected data as shown in Figure 2.</w:t>
      </w:r>
    </w:p>
    <w:p w14:paraId="214C0D01" w14:textId="77777777" w:rsidR="00C54867" w:rsidRDefault="00656F8D">
      <w:pPr>
        <w:pStyle w:val="BodyText"/>
      </w:pPr>
      <w:r>
        <w:rPr>
          <w:noProof/>
          <w:lang w:eastAsia="en-GB"/>
        </w:rPr>
        <w:lastRenderedPageBreak/>
        <w:drawing>
          <wp:inline distT="0" distB="0" distL="0" distR="0" wp14:anchorId="6728FB57" wp14:editId="2A3F37AF">
            <wp:extent cx="5334000" cy="2844800"/>
            <wp:effectExtent l="0" t="0" r="0" b="0"/>
            <wp:docPr id="2"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pic:cNvPicPr>
                      <a:picLocks noChangeAspect="1" noChangeArrowheads="1"/>
                    </pic:cNvPicPr>
                  </pic:nvPicPr>
                  <pic:blipFill>
                    <a:blip r:embed="rId12"/>
                    <a:stretch>
                      <a:fillRect/>
                    </a:stretch>
                  </pic:blipFill>
                  <pic:spPr bwMode="auto">
                    <a:xfrm>
                      <a:off x="0" y="0"/>
                      <a:ext cx="5334000" cy="2844800"/>
                    </a:xfrm>
                    <a:prstGeom prst="rect">
                      <a:avLst/>
                    </a:prstGeom>
                  </pic:spPr>
                </pic:pic>
              </a:graphicData>
            </a:graphic>
          </wp:inline>
        </w:drawing>
      </w:r>
    </w:p>
    <w:p w14:paraId="7D9B966F" w14:textId="0DCECF2D" w:rsidR="00C54867" w:rsidRDefault="00656F8D">
      <w:pPr>
        <w:pStyle w:val="Caption"/>
      </w:pPr>
      <w:r>
        <w:t xml:space="preserve">Figure </w:t>
      </w:r>
      <w:r>
        <w:fldChar w:fldCharType="begin"/>
      </w:r>
      <w:r>
        <w:instrText>SEQ Figure \* ARABIC</w:instrText>
      </w:r>
      <w:r>
        <w:fldChar w:fldCharType="separate"/>
      </w:r>
      <w:r w:rsidR="00A769CA">
        <w:rPr>
          <w:noProof/>
        </w:rPr>
        <w:t>2</w:t>
      </w:r>
      <w:r>
        <w:fldChar w:fldCharType="end"/>
      </w:r>
      <w:r>
        <w:t xml:space="preserve">.  Turnover scatter plot. </w:t>
      </w:r>
      <w:r w:rsidRPr="00656F8D">
        <w:t>Extracted data is show</w:t>
      </w:r>
      <w:r w:rsidR="00246A91">
        <w:t>n</w:t>
      </w:r>
      <w:r w:rsidRPr="00656F8D">
        <w:t xml:space="preserve"> on x-axis, manually collected data from financial reports on y-axis.</w:t>
      </w:r>
      <w:r>
        <w:t xml:space="preserve"> </w:t>
      </w:r>
    </w:p>
    <w:p w14:paraId="54E70D92" w14:textId="30AC1096" w:rsidR="00C54867" w:rsidRDefault="00656F8D">
      <w:r>
        <w:t xml:space="preserve">Although the overall accuracy of values is good there are few values close to </w:t>
      </w:r>
      <w:r w:rsidR="002B139B">
        <w:t>zero</w:t>
      </w:r>
      <w:r>
        <w:t xml:space="preserve"> retrieved from DBpedia. This problem occurs when a complex mixture of comma, point and currency is given.</w:t>
      </w:r>
    </w:p>
    <w:p w14:paraId="3F006D96" w14:textId="604A56AB" w:rsidR="00C54867" w:rsidRDefault="00656F8D">
      <w:pPr>
        <w:pStyle w:val="BodyText"/>
      </w:pPr>
      <w:r>
        <w:t xml:space="preserve">For 12 out of 73 MNEs the total assets could be retrieved from DBpedia. </w:t>
      </w:r>
      <w:r w:rsidR="00F214CE">
        <w:t>Ten</w:t>
      </w:r>
      <w:r>
        <w:t xml:space="preserve"> of those 12 are </w:t>
      </w:r>
      <w:r w:rsidR="002B139B">
        <w:t>crosschecked</w:t>
      </w:r>
      <w:r>
        <w:t xml:space="preserve"> with manually collected data.</w:t>
      </w:r>
    </w:p>
    <w:p w14:paraId="0E78DB47" w14:textId="479ABF61" w:rsidR="00C54867" w:rsidRDefault="00C54867">
      <w:pPr>
        <w:pStyle w:val="BodyText"/>
        <w:rPr>
          <w:highlight w:val="yellow"/>
        </w:rPr>
      </w:pPr>
    </w:p>
    <w:p w14:paraId="4D80E6B8" w14:textId="77777777" w:rsidR="00C54867" w:rsidRDefault="00656F8D">
      <w:pPr>
        <w:pStyle w:val="Heading1"/>
        <w:numPr>
          <w:ilvl w:val="0"/>
          <w:numId w:val="2"/>
        </w:numPr>
      </w:pPr>
      <w:r>
        <w:t>Conclusions</w:t>
      </w:r>
    </w:p>
    <w:p w14:paraId="148A7F08" w14:textId="32B11E8F" w:rsidR="005A0CA8" w:rsidRDefault="00656F8D">
      <w:r>
        <w:t>Additional sources of information such as crowdsourcing platforms, web crawling and different open data projects are seen as further opportunities to increase the quality of the EGR, its comple</w:t>
      </w:r>
      <w:r w:rsidR="002B139B">
        <w:t xml:space="preserve">teness and accuracy namely with </w:t>
      </w:r>
      <w:r>
        <w:t>aggregate indicators on the whole group level</w:t>
      </w:r>
      <w:r w:rsidR="002B139B">
        <w:t xml:space="preserve"> for the larger MNEs</w:t>
      </w:r>
      <w:r>
        <w:t xml:space="preserve">. </w:t>
      </w:r>
      <w:r w:rsidR="0016216C">
        <w:t>The aim of the feasibility study was</w:t>
      </w:r>
      <w:r w:rsidR="005A0CA8">
        <w:t>:</w:t>
      </w:r>
    </w:p>
    <w:p w14:paraId="015E87E5" w14:textId="4DD2C180" w:rsidR="005A0CA8" w:rsidRDefault="00656F8D" w:rsidP="0016216C">
      <w:pPr>
        <w:pStyle w:val="ListParagraph"/>
        <w:numPr>
          <w:ilvl w:val="0"/>
          <w:numId w:val="5"/>
        </w:numPr>
      </w:pPr>
      <w:r>
        <w:t>to automatize at a large extend the collection of aggregated whole group figures using as input the names of the enterprise groups</w:t>
      </w:r>
      <w:r w:rsidR="005A0CA8">
        <w:t>;</w:t>
      </w:r>
      <w:r w:rsidR="008D14EF">
        <w:t xml:space="preserve"> and</w:t>
      </w:r>
    </w:p>
    <w:p w14:paraId="651FF5F6" w14:textId="237BE347" w:rsidR="00C54867" w:rsidRDefault="005A0CA8" w:rsidP="0016216C">
      <w:pPr>
        <w:pStyle w:val="ListParagraph"/>
        <w:numPr>
          <w:ilvl w:val="0"/>
          <w:numId w:val="5"/>
        </w:numPr>
      </w:pPr>
      <w:r>
        <w:t>to</w:t>
      </w:r>
      <w:r w:rsidR="00656F8D">
        <w:t xml:space="preserve"> evaluate the level of coverage, completeness, accuracy and timeliness.</w:t>
      </w:r>
    </w:p>
    <w:p w14:paraId="162BC565" w14:textId="5BD0CDEB" w:rsidR="00C54867" w:rsidRDefault="00656F8D">
      <w:r>
        <w:t xml:space="preserve">The results from the feasibility study show that </w:t>
      </w:r>
      <w:r w:rsidR="0016216C">
        <w:t>a complete automatis</w:t>
      </w:r>
      <w:r>
        <w:t xml:space="preserve">ation was not achieved. The exported data </w:t>
      </w:r>
      <w:r w:rsidR="002B139B">
        <w:t>requires</w:t>
      </w:r>
      <w:r>
        <w:t xml:space="preserve"> further analysis and human intervention before the data is used. Regarding the </w:t>
      </w:r>
      <w:r w:rsidR="002B139B">
        <w:t>coverage,</w:t>
      </w:r>
      <w:r>
        <w:t xml:space="preserve"> the results are positive, having a high percentage of linked information based on the searching criteria. In terms of </w:t>
      </w:r>
      <w:r w:rsidR="002B139B">
        <w:t>completeness,</w:t>
      </w:r>
      <w:r>
        <w:t xml:space="preserve"> the </w:t>
      </w:r>
      <w:r w:rsidR="002B139B">
        <w:t>three</w:t>
      </w:r>
      <w:r>
        <w:t xml:space="preserve"> indicators (persons employed, turnover and assets) showed different results. The highest percentage of coverage for persons employed is still below 50% (42.5%), for turnover it is 37.0% and for assets 16.4%. The retrieved data on the three parameters showed high accuracy when compared to the figures published by the groups on their websites.</w:t>
      </w:r>
    </w:p>
    <w:p w14:paraId="69903C24" w14:textId="76A68E32" w:rsidR="00C54867" w:rsidRDefault="00C54867" w:rsidP="007A122A">
      <w:pPr>
        <w:pStyle w:val="Text1"/>
        <w:ind w:left="0"/>
      </w:pPr>
    </w:p>
    <w:sectPr w:rsidR="00C54867">
      <w:footerReference w:type="default" r:id="rId13"/>
      <w:pgSz w:w="11906" w:h="16838"/>
      <w:pgMar w:top="1021" w:right="1701" w:bottom="1134" w:left="1588" w:header="601" w:footer="1077"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AD2769" w14:textId="77777777" w:rsidR="00A21317" w:rsidRDefault="00656F8D">
      <w:pPr>
        <w:spacing w:after="0"/>
      </w:pPr>
      <w:r>
        <w:separator/>
      </w:r>
    </w:p>
  </w:endnote>
  <w:endnote w:type="continuationSeparator" w:id="0">
    <w:p w14:paraId="37637865" w14:textId="77777777" w:rsidR="00A21317" w:rsidRDefault="00656F8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Noto Sans CJK SC Regular">
    <w:panose1 w:val="00000000000000000000"/>
    <w:charset w:val="00"/>
    <w:family w:val="roman"/>
    <w:notTrueType/>
    <w:pitch w:val="default"/>
  </w:font>
  <w:font w:name="FreeSans">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197C0" w14:textId="65EC2C61" w:rsidR="00C54867" w:rsidRDefault="00656F8D">
    <w:pPr>
      <w:pStyle w:val="Footer"/>
      <w:jc w:val="center"/>
    </w:pPr>
    <w:r>
      <w:fldChar w:fldCharType="begin"/>
    </w:r>
    <w:r>
      <w:instrText>PAGE</w:instrText>
    </w:r>
    <w:r>
      <w:fldChar w:fldCharType="separate"/>
    </w:r>
    <w:r w:rsidR="00B67A44">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7B8224" w14:textId="77777777" w:rsidR="00C54867" w:rsidRDefault="00656F8D">
      <w:r>
        <w:separator/>
      </w:r>
    </w:p>
  </w:footnote>
  <w:footnote w:type="continuationSeparator" w:id="0">
    <w:p w14:paraId="3B41AFB7" w14:textId="77777777" w:rsidR="00C54867" w:rsidRDefault="00656F8D">
      <w:r>
        <w:continuationSeparator/>
      </w:r>
    </w:p>
  </w:footnote>
  <w:footnote w:id="1">
    <w:p w14:paraId="5175EE69" w14:textId="1CD61DDE" w:rsidR="00C54867" w:rsidRDefault="00656F8D">
      <w:pPr>
        <w:pStyle w:val="FootnoteText"/>
      </w:pPr>
      <w:r>
        <w:rPr>
          <w:rStyle w:val="FootnoteReference"/>
        </w:rPr>
        <w:footnoteRef/>
      </w:r>
      <w:r>
        <w:rPr>
          <w:rStyle w:val="FootnoteReference"/>
        </w:rPr>
        <w:tab/>
      </w:r>
      <w:r>
        <w:t xml:space="preserve"> It is necessary to note that not every group provides an estimated or exact number of </w:t>
      </w:r>
      <w:r w:rsidR="00246A91">
        <w:t xml:space="preserve">employed persons </w:t>
      </w:r>
      <w:r>
        <w:t>in their annual report. Only those reports serve as resource to measure the accuracy of the data parsed from DBpedia.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6112E"/>
    <w:multiLevelType w:val="multilevel"/>
    <w:tmpl w:val="87A8B47E"/>
    <w:lvl w:ilvl="0">
      <w:start w:val="1"/>
      <w:numFmt w:val="decimal"/>
      <w:lvlText w:val="%1."/>
      <w:lvlJc w:val="left"/>
      <w:pPr>
        <w:tabs>
          <w:tab w:val="num" w:pos="480"/>
        </w:tabs>
        <w:ind w:left="480" w:hanging="480"/>
      </w:pPr>
    </w:lvl>
    <w:lvl w:ilvl="1">
      <w:start w:val="1"/>
      <w:numFmt w:val="decimal"/>
      <w:lvlText w:val="%1.%2."/>
      <w:lvlJc w:val="left"/>
      <w:pPr>
        <w:tabs>
          <w:tab w:val="num" w:pos="1080"/>
        </w:tabs>
        <w:ind w:left="1080" w:hanging="600"/>
      </w:pPr>
    </w:lvl>
    <w:lvl w:ilvl="2">
      <w:start w:val="1"/>
      <w:numFmt w:val="decimal"/>
      <w:lvlText w:val="%1.%2.%3."/>
      <w:lvlJc w:val="left"/>
      <w:pPr>
        <w:tabs>
          <w:tab w:val="num" w:pos="1920"/>
        </w:tabs>
        <w:ind w:left="1920" w:hanging="840"/>
      </w:pPr>
    </w:lvl>
    <w:lvl w:ilvl="3">
      <w:start w:val="1"/>
      <w:numFmt w:val="decimal"/>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246A3CAC"/>
    <w:multiLevelType w:val="multilevel"/>
    <w:tmpl w:val="9EA6D52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080"/>
        </w:tabs>
        <w:ind w:left="1080" w:hanging="600"/>
      </w:pPr>
    </w:lvl>
    <w:lvl w:ilvl="2">
      <w:start w:val="1"/>
      <w:numFmt w:val="decimal"/>
      <w:pStyle w:val="Heading3"/>
      <w:lvlText w:val="%1.%2.%3."/>
      <w:lvlJc w:val="left"/>
      <w:pPr>
        <w:tabs>
          <w:tab w:val="num" w:pos="1920"/>
        </w:tabs>
        <w:ind w:left="1920" w:hanging="840"/>
      </w:pPr>
    </w:lvl>
    <w:lvl w:ilvl="3">
      <w:start w:val="1"/>
      <w:numFmt w:val="decimal"/>
      <w:pStyle w:val="Heading4"/>
      <w:lvlText w:val="%1.%2.%3.%4."/>
      <w:lvlJc w:val="left"/>
      <w:pPr>
        <w:tabs>
          <w:tab w:val="num" w:pos="2880"/>
        </w:tabs>
        <w:ind w:left="2880" w:hanging="960"/>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3C054329"/>
    <w:multiLevelType w:val="multilevel"/>
    <w:tmpl w:val="9EE4352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7A42783E"/>
    <w:multiLevelType w:val="multilevel"/>
    <w:tmpl w:val="8D323E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A863DA5"/>
    <w:multiLevelType w:val="hybridMultilevel"/>
    <w:tmpl w:val="6B44791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867"/>
    <w:rsid w:val="00011DED"/>
    <w:rsid w:val="00046131"/>
    <w:rsid w:val="000E1C31"/>
    <w:rsid w:val="00141229"/>
    <w:rsid w:val="0016216C"/>
    <w:rsid w:val="00246A91"/>
    <w:rsid w:val="002B139B"/>
    <w:rsid w:val="004A547B"/>
    <w:rsid w:val="00524DEE"/>
    <w:rsid w:val="00572F6A"/>
    <w:rsid w:val="005777CA"/>
    <w:rsid w:val="005A0CA8"/>
    <w:rsid w:val="00656F8D"/>
    <w:rsid w:val="00732C21"/>
    <w:rsid w:val="007A122A"/>
    <w:rsid w:val="008D14EF"/>
    <w:rsid w:val="009A2EE4"/>
    <w:rsid w:val="00A21317"/>
    <w:rsid w:val="00A769CA"/>
    <w:rsid w:val="00AA6D57"/>
    <w:rsid w:val="00B67A44"/>
    <w:rsid w:val="00C54867"/>
    <w:rsid w:val="00CD3F0E"/>
    <w:rsid w:val="00D6529E"/>
    <w:rsid w:val="00F12904"/>
    <w:rsid w:val="00F214CE"/>
    <w:rsid w:val="00FB2C98"/>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E2946"/>
  <w15:docId w15:val="{4F320A91-2CAB-4AB7-8DF2-5F24BCF15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2EA1"/>
    <w:pPr>
      <w:spacing w:after="240"/>
      <w:jc w:val="both"/>
    </w:pPr>
    <w:rPr>
      <w:sz w:val="24"/>
      <w:lang w:eastAsia="en-US"/>
    </w:rPr>
  </w:style>
  <w:style w:type="paragraph" w:styleId="Heading1">
    <w:name w:val="heading 1"/>
    <w:basedOn w:val="Normal"/>
    <w:link w:val="Heading1Char"/>
    <w:uiPriority w:val="9"/>
    <w:qFormat/>
    <w:pPr>
      <w:keepNext/>
      <w:numPr>
        <w:numId w:val="1"/>
      </w:numPr>
      <w:spacing w:before="240"/>
      <w:outlineLvl w:val="0"/>
    </w:pPr>
    <w:rPr>
      <w:b/>
      <w:smallCaps/>
    </w:rPr>
  </w:style>
  <w:style w:type="paragraph" w:styleId="Heading2">
    <w:name w:val="heading 2"/>
    <w:basedOn w:val="Normal"/>
    <w:link w:val="Heading2Char"/>
    <w:uiPriority w:val="9"/>
    <w:qFormat/>
    <w:pPr>
      <w:keepNext/>
      <w:numPr>
        <w:ilvl w:val="1"/>
        <w:numId w:val="1"/>
      </w:numPr>
      <w:outlineLvl w:val="1"/>
    </w:pPr>
    <w:rPr>
      <w:b/>
    </w:rPr>
  </w:style>
  <w:style w:type="paragraph" w:styleId="Heading3">
    <w:name w:val="heading 3"/>
    <w:basedOn w:val="Normal"/>
    <w:uiPriority w:val="9"/>
    <w:qFormat/>
    <w:pPr>
      <w:keepNext/>
      <w:numPr>
        <w:ilvl w:val="2"/>
        <w:numId w:val="1"/>
      </w:numPr>
      <w:outlineLvl w:val="2"/>
    </w:pPr>
    <w:rPr>
      <w:i/>
    </w:rPr>
  </w:style>
  <w:style w:type="paragraph" w:styleId="Heading4">
    <w:name w:val="heading 4"/>
    <w:basedOn w:val="Normal"/>
    <w:qFormat/>
    <w:pPr>
      <w:keepNext/>
      <w:numPr>
        <w:ilvl w:val="3"/>
        <w:numId w:val="1"/>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qFormat/>
    <w:rPr>
      <w:color w:val="800080"/>
      <w:u w:val="single"/>
    </w:rPr>
  </w:style>
  <w:style w:type="character" w:customStyle="1" w:styleId="FooterChar">
    <w:name w:val="Footer Char"/>
    <w:link w:val="Footer"/>
    <w:uiPriority w:val="99"/>
    <w:qFormat/>
    <w:rsid w:val="00BC6AFE"/>
    <w:rPr>
      <w:rFonts w:ascii="Arial" w:hAnsi="Arial"/>
      <w:sz w:val="16"/>
      <w:lang w:eastAsia="en-US"/>
    </w:rPr>
  </w:style>
  <w:style w:type="character" w:customStyle="1" w:styleId="DateChar">
    <w:name w:val="Date Char"/>
    <w:link w:val="Date"/>
    <w:uiPriority w:val="99"/>
    <w:qFormat/>
    <w:rsid w:val="00BC6AFE"/>
    <w:rPr>
      <w:sz w:val="24"/>
      <w:lang w:eastAsia="en-US"/>
    </w:rPr>
  </w:style>
  <w:style w:type="character" w:customStyle="1" w:styleId="SignatureChar">
    <w:name w:val="Signature Char"/>
    <w:link w:val="Signature"/>
    <w:uiPriority w:val="99"/>
    <w:qFormat/>
    <w:rsid w:val="00BC6AFE"/>
    <w:rPr>
      <w:sz w:val="24"/>
      <w:lang w:eastAsia="en-US"/>
    </w:rPr>
  </w:style>
  <w:style w:type="character" w:customStyle="1" w:styleId="HeaderChar">
    <w:name w:val="Header Char"/>
    <w:link w:val="Header"/>
    <w:uiPriority w:val="99"/>
    <w:qFormat/>
    <w:rsid w:val="00BC6AFE"/>
    <w:rPr>
      <w:sz w:val="24"/>
      <w:lang w:eastAsia="en-US"/>
    </w:rPr>
  </w:style>
  <w:style w:type="character" w:customStyle="1" w:styleId="Heading2Char">
    <w:name w:val="Heading 2 Char"/>
    <w:link w:val="Heading2"/>
    <w:qFormat/>
    <w:rsid w:val="00BC6AFE"/>
    <w:rPr>
      <w:b/>
      <w:sz w:val="24"/>
      <w:lang w:eastAsia="en-US"/>
    </w:rPr>
  </w:style>
  <w:style w:type="character" w:customStyle="1" w:styleId="Heading1Char">
    <w:name w:val="Heading 1 Char"/>
    <w:link w:val="Heading1"/>
    <w:qFormat/>
    <w:rsid w:val="00BC6AFE"/>
    <w:rPr>
      <w:b/>
      <w:smallCaps/>
      <w:sz w:val="24"/>
      <w:lang w:eastAsia="en-US"/>
    </w:rPr>
  </w:style>
  <w:style w:type="character" w:customStyle="1" w:styleId="BalloonTextChar">
    <w:name w:val="Balloon Text Char"/>
    <w:basedOn w:val="DefaultParagraphFont"/>
    <w:link w:val="BalloonText"/>
    <w:uiPriority w:val="99"/>
    <w:semiHidden/>
    <w:qFormat/>
    <w:rsid w:val="00671799"/>
    <w:rPr>
      <w:rFonts w:ascii="Tahoma" w:hAnsi="Tahoma" w:cs="Tahoma"/>
      <w:sz w:val="16"/>
      <w:szCs w:val="16"/>
      <w:lang w:eastAsia="en-US"/>
    </w:rPr>
  </w:style>
  <w:style w:type="character" w:customStyle="1" w:styleId="InternetLink">
    <w:name w:val="Internet Link"/>
    <w:basedOn w:val="DefaultParagraphFont"/>
    <w:uiPriority w:val="99"/>
    <w:unhideWhenUsed/>
    <w:rsid w:val="00E74F67"/>
    <w:rPr>
      <w:color w:val="0000FF" w:themeColor="hyperlink"/>
      <w:u w:val="single"/>
    </w:rPr>
  </w:style>
  <w:style w:type="character" w:styleId="FootnoteReference">
    <w:name w:val="footnote reference"/>
    <w:basedOn w:val="DefaultParagraphFont"/>
    <w:qFormat/>
    <w:rsid w:val="00E74F67"/>
    <w:rPr>
      <w:vertAlign w:val="superscript"/>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FootnoteCharacters">
    <w:name w:val="Footnote Characters"/>
    <w:qFormat/>
  </w:style>
  <w:style w:type="character" w:customStyle="1" w:styleId="FootnoteAnchor">
    <w:name w:val="Footnote Anchor"/>
    <w:rPr>
      <w:vertAlign w:val="superscript"/>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BodyText"/>
    <w:qFormat/>
    <w:pPr>
      <w:keepNext/>
      <w:spacing w:before="240" w:after="120"/>
    </w:pPr>
    <w:rPr>
      <w:rFonts w:ascii="Liberation Sans" w:eastAsia="Noto Sans CJK SC Regular" w:hAnsi="Liberation Sans" w:cs="FreeSans"/>
      <w:sz w:val="28"/>
      <w:szCs w:val="28"/>
    </w:rPr>
  </w:style>
  <w:style w:type="paragraph" w:styleId="BodyText">
    <w:name w:val="Body Text"/>
    <w:basedOn w:val="Normal"/>
    <w:qFormat/>
    <w:pPr>
      <w:spacing w:after="120"/>
    </w:pPr>
  </w:style>
  <w:style w:type="paragraph" w:styleId="List">
    <w:name w:val="List"/>
    <w:basedOn w:val="Normal"/>
    <w:pPr>
      <w:ind w:left="283" w:hanging="283"/>
    </w:pPr>
  </w:style>
  <w:style w:type="paragraph" w:styleId="Caption">
    <w:name w:val="caption"/>
    <w:basedOn w:val="Normal"/>
    <w:next w:val="Normal"/>
    <w:qFormat/>
    <w:pPr>
      <w:spacing w:before="120" w:after="120"/>
    </w:pPr>
    <w:rPr>
      <w:b/>
    </w:rPr>
  </w:style>
  <w:style w:type="paragraph" w:customStyle="1" w:styleId="Index">
    <w:name w:val="Index"/>
    <w:basedOn w:val="Normal"/>
    <w:qFormat/>
    <w:pPr>
      <w:suppressLineNumbers/>
    </w:pPr>
    <w:rPr>
      <w:rFonts w:cs="FreeSans"/>
    </w:rPr>
  </w:style>
  <w:style w:type="paragraph" w:customStyle="1" w:styleId="Text1">
    <w:name w:val="Text 1"/>
    <w:basedOn w:val="Normal"/>
    <w:qFormat/>
    <w:pPr>
      <w:ind w:left="482"/>
    </w:pPr>
  </w:style>
  <w:style w:type="paragraph" w:customStyle="1" w:styleId="Text2">
    <w:name w:val="Text 2"/>
    <w:basedOn w:val="Normal"/>
    <w:qFormat/>
    <w:pPr>
      <w:tabs>
        <w:tab w:val="left" w:pos="2160"/>
      </w:tabs>
      <w:ind w:left="1077"/>
    </w:pPr>
  </w:style>
  <w:style w:type="paragraph" w:customStyle="1" w:styleId="Text3">
    <w:name w:val="Text 3"/>
    <w:basedOn w:val="Normal"/>
    <w:qFormat/>
    <w:pPr>
      <w:tabs>
        <w:tab w:val="left" w:pos="2302"/>
      </w:tabs>
      <w:ind w:left="1916"/>
    </w:pPr>
  </w:style>
  <w:style w:type="paragraph" w:customStyle="1" w:styleId="Text4">
    <w:name w:val="Text 4"/>
    <w:basedOn w:val="Normal"/>
    <w:qFormat/>
    <w:pPr>
      <w:ind w:left="2880"/>
    </w:pPr>
  </w:style>
  <w:style w:type="paragraph" w:customStyle="1" w:styleId="Address">
    <w:name w:val="Address"/>
    <w:basedOn w:val="Normal"/>
    <w:qFormat/>
    <w:pPr>
      <w:spacing w:after="0"/>
      <w:jc w:val="left"/>
    </w:pPr>
  </w:style>
  <w:style w:type="paragraph" w:customStyle="1" w:styleId="AddressTL">
    <w:name w:val="AddressTL"/>
    <w:basedOn w:val="Normal"/>
    <w:next w:val="Normal"/>
    <w:qFormat/>
    <w:pPr>
      <w:spacing w:after="720"/>
      <w:jc w:val="left"/>
    </w:pPr>
  </w:style>
  <w:style w:type="paragraph" w:customStyle="1" w:styleId="AddressTR">
    <w:name w:val="AddressTR"/>
    <w:basedOn w:val="Normal"/>
    <w:next w:val="Normal"/>
    <w:qFormat/>
    <w:pPr>
      <w:spacing w:after="720"/>
      <w:ind w:left="5103"/>
      <w:jc w:val="left"/>
    </w:pPr>
  </w:style>
  <w:style w:type="paragraph" w:styleId="BlockText">
    <w:name w:val="Block Text"/>
    <w:basedOn w:val="Normal"/>
    <w:qFormat/>
    <w:pPr>
      <w:spacing w:after="120"/>
      <w:ind w:left="1440" w:right="1440"/>
    </w:pPr>
  </w:style>
  <w:style w:type="paragraph" w:styleId="BodyText2">
    <w:name w:val="Body Text 2"/>
    <w:basedOn w:val="Normal"/>
    <w:qFormat/>
    <w:pPr>
      <w:spacing w:after="120" w:line="480" w:lineRule="auto"/>
    </w:pPr>
  </w:style>
  <w:style w:type="paragraph" w:styleId="BodyText3">
    <w:name w:val="Body Text 3"/>
    <w:basedOn w:val="Normal"/>
    <w:qFormat/>
    <w:pPr>
      <w:spacing w:after="120"/>
    </w:pPr>
    <w:rPr>
      <w:sz w:val="16"/>
    </w:rPr>
  </w:style>
  <w:style w:type="paragraph" w:styleId="BodyTextIndent">
    <w:name w:val="Body Text Indent"/>
    <w:basedOn w:val="Normal"/>
    <w:pPr>
      <w:spacing w:after="120"/>
      <w:ind w:left="283"/>
    </w:pPr>
  </w:style>
  <w:style w:type="paragraph" w:styleId="BodyTextFirstIndent2">
    <w:name w:val="Body Text First Indent 2"/>
    <w:basedOn w:val="BodyTextIndent"/>
    <w:qFormat/>
    <w:pPr>
      <w:ind w:firstLine="210"/>
    </w:pPr>
  </w:style>
  <w:style w:type="paragraph" w:styleId="BodyTextIndent2">
    <w:name w:val="Body Text Indent 2"/>
    <w:basedOn w:val="Normal"/>
    <w:qFormat/>
    <w:pPr>
      <w:spacing w:after="120" w:line="480" w:lineRule="auto"/>
      <w:ind w:left="283"/>
    </w:pPr>
  </w:style>
  <w:style w:type="paragraph" w:styleId="BodyTextIndent3">
    <w:name w:val="Body Text Indent 3"/>
    <w:basedOn w:val="Normal"/>
    <w:qFormat/>
    <w:pPr>
      <w:spacing w:after="120"/>
      <w:ind w:left="283"/>
    </w:pPr>
    <w:rPr>
      <w:sz w:val="16"/>
    </w:rPr>
  </w:style>
  <w:style w:type="paragraph" w:styleId="Closing">
    <w:name w:val="Closing"/>
    <w:basedOn w:val="Normal"/>
    <w:next w:val="Signature"/>
    <w:qFormat/>
    <w:pPr>
      <w:tabs>
        <w:tab w:val="left" w:pos="5103"/>
      </w:tabs>
      <w:spacing w:before="240"/>
      <w:ind w:left="5103"/>
      <w:jc w:val="left"/>
    </w:pPr>
  </w:style>
  <w:style w:type="paragraph" w:styleId="Signature">
    <w:name w:val="Signature"/>
    <w:basedOn w:val="Normal"/>
    <w:link w:val="SignatureChar"/>
    <w:uiPriority w:val="99"/>
    <w:pPr>
      <w:tabs>
        <w:tab w:val="left" w:pos="5103"/>
      </w:tabs>
      <w:spacing w:before="1200" w:after="0"/>
      <w:ind w:left="5103"/>
      <w:jc w:val="center"/>
    </w:pPr>
  </w:style>
  <w:style w:type="paragraph" w:customStyle="1" w:styleId="Enclosures">
    <w:name w:val="Enclosures"/>
    <w:basedOn w:val="Normal"/>
    <w:qFormat/>
    <w:pPr>
      <w:keepNext/>
      <w:keepLines/>
      <w:tabs>
        <w:tab w:val="left" w:pos="5670"/>
      </w:tabs>
      <w:spacing w:before="480" w:after="0"/>
      <w:ind w:left="1985" w:hanging="1985"/>
      <w:jc w:val="left"/>
    </w:pPr>
  </w:style>
  <w:style w:type="paragraph" w:customStyle="1" w:styleId="Participants">
    <w:name w:val="Participants"/>
    <w:basedOn w:val="Normal"/>
    <w:qFormat/>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qFormat/>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link w:val="CommentTextChar"/>
    <w:semiHidden/>
    <w:qFormat/>
    <w:rPr>
      <w:sz w:val="20"/>
    </w:rPr>
  </w:style>
  <w:style w:type="paragraph" w:styleId="Date">
    <w:name w:val="Date"/>
    <w:basedOn w:val="Normal"/>
    <w:link w:val="DateChar"/>
    <w:uiPriority w:val="99"/>
    <w:qFormat/>
    <w:pPr>
      <w:spacing w:after="0"/>
      <w:ind w:left="5103" w:right="-567"/>
      <w:jc w:val="left"/>
    </w:pPr>
  </w:style>
  <w:style w:type="paragraph" w:customStyle="1" w:styleId="References">
    <w:name w:val="References"/>
    <w:basedOn w:val="Normal"/>
    <w:next w:val="AddressTR"/>
    <w:uiPriority w:val="99"/>
    <w:qFormat/>
    <w:pPr>
      <w:ind w:left="5103"/>
      <w:jc w:val="left"/>
    </w:pPr>
    <w:rPr>
      <w:sz w:val="20"/>
    </w:rPr>
  </w:style>
  <w:style w:type="paragraph" w:styleId="DocumentMap">
    <w:name w:val="Document Map"/>
    <w:basedOn w:val="Normal"/>
    <w:semiHidden/>
    <w:qFormat/>
    <w:pPr>
      <w:shd w:val="clear" w:color="auto" w:fill="000080"/>
    </w:pPr>
    <w:rPr>
      <w:rFonts w:ascii="Tahoma" w:hAnsi="Tahoma"/>
    </w:rPr>
  </w:style>
  <w:style w:type="paragraph" w:customStyle="1" w:styleId="DoubSign">
    <w:name w:val="DoubSign"/>
    <w:basedOn w:val="Normal"/>
    <w:qFormat/>
    <w:pPr>
      <w:tabs>
        <w:tab w:val="left" w:pos="5103"/>
      </w:tabs>
      <w:spacing w:before="1200" w:after="0"/>
      <w:jc w:val="left"/>
    </w:pPr>
  </w:style>
  <w:style w:type="paragraph" w:styleId="EndnoteText">
    <w:name w:val="endnote text"/>
    <w:basedOn w:val="Normal"/>
    <w:semiHidden/>
    <w:qFormat/>
    <w:rPr>
      <w:sz w:val="20"/>
    </w:rPr>
  </w:style>
  <w:style w:type="paragraph" w:styleId="EnvelopeAddress">
    <w:name w:val="envelope address"/>
    <w:basedOn w:val="Normal"/>
    <w:qFormat/>
    <w:pPr>
      <w:spacing w:after="0"/>
    </w:pPr>
  </w:style>
  <w:style w:type="paragraph" w:styleId="EnvelopeReturn">
    <w:name w:val="envelope return"/>
    <w:basedOn w:val="Normal"/>
    <w:qFormat/>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qFormat/>
    <w:pPr>
      <w:ind w:left="240" w:hanging="240"/>
    </w:pPr>
  </w:style>
  <w:style w:type="paragraph" w:styleId="Index2">
    <w:name w:val="index 2"/>
    <w:basedOn w:val="Normal"/>
    <w:next w:val="Normal"/>
    <w:autoRedefine/>
    <w:semiHidden/>
    <w:qFormat/>
    <w:pPr>
      <w:ind w:left="480" w:hanging="240"/>
    </w:pPr>
  </w:style>
  <w:style w:type="paragraph" w:styleId="Index3">
    <w:name w:val="index 3"/>
    <w:basedOn w:val="Normal"/>
    <w:next w:val="Normal"/>
    <w:autoRedefine/>
    <w:semiHidden/>
    <w:qFormat/>
    <w:pPr>
      <w:ind w:left="720" w:hanging="240"/>
    </w:pPr>
  </w:style>
  <w:style w:type="paragraph" w:styleId="Index4">
    <w:name w:val="index 4"/>
    <w:basedOn w:val="Normal"/>
    <w:next w:val="Normal"/>
    <w:autoRedefine/>
    <w:semiHidden/>
    <w:qFormat/>
    <w:pPr>
      <w:ind w:left="960" w:hanging="240"/>
    </w:pPr>
  </w:style>
  <w:style w:type="paragraph" w:styleId="Index5">
    <w:name w:val="index 5"/>
    <w:basedOn w:val="Normal"/>
    <w:next w:val="Normal"/>
    <w:autoRedefine/>
    <w:semiHidden/>
    <w:qFormat/>
    <w:pPr>
      <w:ind w:left="1200" w:hanging="240"/>
    </w:pPr>
  </w:style>
  <w:style w:type="paragraph" w:styleId="Index6">
    <w:name w:val="index 6"/>
    <w:basedOn w:val="Normal"/>
    <w:next w:val="Normal"/>
    <w:autoRedefine/>
    <w:semiHidden/>
    <w:qFormat/>
    <w:pPr>
      <w:ind w:left="1440" w:hanging="240"/>
    </w:pPr>
  </w:style>
  <w:style w:type="paragraph" w:styleId="Index7">
    <w:name w:val="index 7"/>
    <w:basedOn w:val="Normal"/>
    <w:next w:val="Normal"/>
    <w:autoRedefine/>
    <w:semiHidden/>
    <w:qFormat/>
    <w:pPr>
      <w:ind w:left="1680" w:hanging="240"/>
    </w:pPr>
  </w:style>
  <w:style w:type="paragraph" w:styleId="Index8">
    <w:name w:val="index 8"/>
    <w:basedOn w:val="Normal"/>
    <w:next w:val="Normal"/>
    <w:autoRedefine/>
    <w:semiHidden/>
    <w:qFormat/>
    <w:pPr>
      <w:ind w:left="1920" w:hanging="240"/>
    </w:pPr>
  </w:style>
  <w:style w:type="paragraph" w:styleId="Index9">
    <w:name w:val="index 9"/>
    <w:basedOn w:val="Normal"/>
    <w:next w:val="Normal"/>
    <w:autoRedefine/>
    <w:semiHidden/>
    <w:qFormat/>
    <w:pPr>
      <w:ind w:left="2160" w:hanging="240"/>
    </w:pPr>
  </w:style>
  <w:style w:type="paragraph" w:styleId="IndexHeading">
    <w:name w:val="index heading"/>
    <w:basedOn w:val="Normal"/>
    <w:semiHidden/>
    <w:qFormat/>
    <w:rPr>
      <w:rFonts w:ascii="Arial" w:hAnsi="Arial"/>
      <w:b/>
    </w:rPr>
  </w:style>
  <w:style w:type="paragraph" w:styleId="ListBullet3">
    <w:name w:val="List Bullet 3"/>
    <w:basedOn w:val="Text3"/>
    <w:qFormat/>
  </w:style>
  <w:style w:type="paragraph" w:styleId="ListBullet4">
    <w:name w:val="List Bullet 4"/>
    <w:basedOn w:val="Text4"/>
    <w:qFormat/>
  </w:style>
  <w:style w:type="paragraph" w:styleId="ListBullet5">
    <w:name w:val="List Bullet 5"/>
    <w:basedOn w:val="Normal"/>
    <w:autoRedefine/>
    <w:qFormat/>
  </w:style>
  <w:style w:type="paragraph" w:styleId="ListNumber">
    <w:name w:val="List Number"/>
    <w:basedOn w:val="Normal"/>
    <w:qFormat/>
  </w:style>
  <w:style w:type="paragraph" w:styleId="ListBullet">
    <w:name w:val="List Bullet"/>
    <w:basedOn w:val="Normal"/>
    <w:qFormat/>
  </w:style>
  <w:style w:type="paragraph" w:styleId="ListBullet2">
    <w:name w:val="List Bullet 2"/>
    <w:basedOn w:val="Text2"/>
    <w:qFormat/>
  </w:style>
  <w:style w:type="paragraph" w:styleId="ListContinue">
    <w:name w:val="List Continue"/>
    <w:basedOn w:val="Normal"/>
    <w:qFormat/>
    <w:pPr>
      <w:spacing w:after="120"/>
      <w:ind w:left="283"/>
    </w:pPr>
  </w:style>
  <w:style w:type="paragraph" w:styleId="ListContinue2">
    <w:name w:val="List Continue 2"/>
    <w:basedOn w:val="Normal"/>
    <w:qFormat/>
    <w:pPr>
      <w:spacing w:after="120"/>
      <w:ind w:left="566"/>
    </w:pPr>
  </w:style>
  <w:style w:type="paragraph" w:styleId="ListContinue3">
    <w:name w:val="List Continue 3"/>
    <w:basedOn w:val="Normal"/>
    <w:qFormat/>
    <w:pPr>
      <w:spacing w:after="120"/>
      <w:ind w:left="849"/>
    </w:pPr>
  </w:style>
  <w:style w:type="paragraph" w:styleId="ListContinue4">
    <w:name w:val="List Continue 4"/>
    <w:basedOn w:val="Normal"/>
    <w:qFormat/>
    <w:pPr>
      <w:spacing w:after="120"/>
      <w:ind w:left="1132"/>
    </w:pPr>
  </w:style>
  <w:style w:type="paragraph" w:styleId="ListContinue5">
    <w:name w:val="List Continue 5"/>
    <w:basedOn w:val="Normal"/>
    <w:qFormat/>
    <w:pPr>
      <w:spacing w:after="120"/>
      <w:ind w:left="1415"/>
    </w:pPr>
  </w:style>
  <w:style w:type="paragraph" w:styleId="ListNumber2">
    <w:name w:val="List Number 2"/>
    <w:basedOn w:val="Text2"/>
    <w:qFormat/>
  </w:style>
  <w:style w:type="paragraph" w:styleId="ListNumber3">
    <w:name w:val="List Number 3"/>
    <w:basedOn w:val="Text3"/>
    <w:qFormat/>
  </w:style>
  <w:style w:type="paragraph" w:styleId="ListNumber4">
    <w:name w:val="List Number 4"/>
    <w:basedOn w:val="Text4"/>
    <w:qFormat/>
  </w:style>
  <w:style w:type="paragraph" w:styleId="ListNumber5">
    <w:name w:val="List Number 5"/>
    <w:basedOn w:val="Normal"/>
    <w:qFormat/>
  </w:style>
  <w:style w:type="paragraph" w:styleId="MacroText">
    <w:name w:val="macro"/>
    <w:semiHidden/>
    <w:qFormat/>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sz w:val="24"/>
      <w:lang w:eastAsia="en-US"/>
    </w:rPr>
  </w:style>
  <w:style w:type="paragraph" w:styleId="MessageHeader">
    <w:name w:val="Message Header"/>
    <w:basedOn w:val="Normal"/>
    <w:qFormat/>
    <w:pPr>
      <w:pBdr>
        <w:top w:val="single" w:sz="6" w:space="1" w:color="00000A"/>
        <w:left w:val="single" w:sz="6" w:space="1" w:color="00000A"/>
        <w:bottom w:val="single" w:sz="6" w:space="1" w:color="00000A"/>
        <w:right w:val="single" w:sz="6" w:space="1" w:color="00000A"/>
      </w:pBdr>
      <w:shd w:val="pct20" w:color="auto" w:fill="auto"/>
      <w:ind w:left="1134" w:hanging="1134"/>
    </w:pPr>
    <w:rPr>
      <w:rFonts w:ascii="Arial" w:hAnsi="Arial"/>
    </w:rPr>
  </w:style>
  <w:style w:type="paragraph" w:styleId="NormalIndent">
    <w:name w:val="Normal Indent"/>
    <w:basedOn w:val="Normal"/>
    <w:qFormat/>
    <w:pPr>
      <w:ind w:left="720"/>
    </w:pPr>
  </w:style>
  <w:style w:type="paragraph" w:styleId="NoteHeading">
    <w:name w:val="Note Heading"/>
    <w:basedOn w:val="Normal"/>
    <w:next w:val="Normal"/>
    <w:qFormat/>
  </w:style>
  <w:style w:type="paragraph" w:customStyle="1" w:styleId="NoteHead">
    <w:name w:val="NoteHead"/>
    <w:basedOn w:val="Normal"/>
    <w:qFormat/>
    <w:pPr>
      <w:spacing w:before="720" w:after="720"/>
      <w:jc w:val="center"/>
    </w:pPr>
    <w:rPr>
      <w:b/>
      <w:smallCaps/>
    </w:rPr>
  </w:style>
  <w:style w:type="paragraph" w:customStyle="1" w:styleId="Subject">
    <w:name w:val="Subject"/>
    <w:basedOn w:val="Normal"/>
    <w:next w:val="Normal"/>
    <w:qFormat/>
    <w:pPr>
      <w:spacing w:after="480"/>
      <w:ind w:left="1531" w:hanging="1531"/>
      <w:jc w:val="left"/>
    </w:pPr>
    <w:rPr>
      <w:b/>
    </w:rPr>
  </w:style>
  <w:style w:type="paragraph" w:customStyle="1" w:styleId="NoteList">
    <w:name w:val="NoteList"/>
    <w:basedOn w:val="Normal"/>
    <w:next w:val="Subject"/>
    <w:qFormat/>
    <w:pPr>
      <w:tabs>
        <w:tab w:val="left" w:pos="5823"/>
      </w:tabs>
      <w:spacing w:before="720" w:after="720"/>
      <w:ind w:left="5104" w:hanging="3119"/>
      <w:jc w:val="left"/>
    </w:pPr>
    <w:rPr>
      <w:b/>
      <w:smallCaps/>
    </w:rPr>
  </w:style>
  <w:style w:type="paragraph" w:customStyle="1" w:styleId="NumPar1">
    <w:name w:val="NumPar 1"/>
    <w:basedOn w:val="Heading1"/>
    <w:qFormat/>
    <w:pPr>
      <w:numPr>
        <w:numId w:val="0"/>
      </w:numPr>
      <w:spacing w:before="0"/>
    </w:pPr>
    <w:rPr>
      <w:b w:val="0"/>
      <w:smallCaps w:val="0"/>
    </w:rPr>
  </w:style>
  <w:style w:type="paragraph" w:customStyle="1" w:styleId="NumPar2">
    <w:name w:val="NumPar 2"/>
    <w:basedOn w:val="Heading2"/>
    <w:qFormat/>
    <w:pPr>
      <w:numPr>
        <w:ilvl w:val="0"/>
        <w:numId w:val="0"/>
      </w:numPr>
    </w:pPr>
    <w:rPr>
      <w:b w:val="0"/>
    </w:rPr>
  </w:style>
  <w:style w:type="paragraph" w:customStyle="1" w:styleId="NumPar3">
    <w:name w:val="NumPar 3"/>
    <w:basedOn w:val="Heading3"/>
    <w:qFormat/>
    <w:pPr>
      <w:numPr>
        <w:ilvl w:val="0"/>
        <w:numId w:val="0"/>
      </w:numPr>
    </w:pPr>
    <w:rPr>
      <w:i w:val="0"/>
    </w:rPr>
  </w:style>
  <w:style w:type="paragraph" w:customStyle="1" w:styleId="NumPar4">
    <w:name w:val="NumPar 4"/>
    <w:basedOn w:val="Heading4"/>
    <w:qFormat/>
    <w:pPr>
      <w:numPr>
        <w:ilvl w:val="0"/>
        <w:numId w:val="0"/>
      </w:numPr>
    </w:pPr>
  </w:style>
  <w:style w:type="paragraph" w:styleId="PlainText">
    <w:name w:val="Plain Text"/>
    <w:basedOn w:val="Normal"/>
    <w:qFormat/>
    <w:rPr>
      <w:rFonts w:ascii="Courier New" w:hAnsi="Courier New"/>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qFormat/>
    <w:pPr>
      <w:ind w:left="240" w:hanging="240"/>
    </w:pPr>
  </w:style>
  <w:style w:type="paragraph" w:styleId="TableofFigures">
    <w:name w:val="table of figures"/>
    <w:basedOn w:val="Normal"/>
    <w:next w:val="Normal"/>
    <w:semiHidden/>
    <w:qFormat/>
    <w:pPr>
      <w:ind w:left="480" w:hanging="480"/>
    </w:pPr>
  </w:style>
  <w:style w:type="paragraph" w:styleId="Title">
    <w:name w:val="Title"/>
    <w:basedOn w:val="Normal"/>
    <w:qFormat/>
    <w:pPr>
      <w:spacing w:before="240" w:after="60"/>
      <w:jc w:val="center"/>
      <w:outlineLvl w:val="0"/>
    </w:pPr>
    <w:rPr>
      <w:rFonts w:ascii="Arial" w:hAnsi="Arial"/>
      <w:b/>
      <w:sz w:val="32"/>
    </w:rPr>
  </w:style>
  <w:style w:type="paragraph" w:styleId="TOAHeading">
    <w:name w:val="toa heading"/>
    <w:basedOn w:val="Normal"/>
    <w:next w:val="Normal"/>
    <w:semiHidden/>
    <w:qFormat/>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qFormat/>
    <w:pPr>
      <w:spacing w:after="480"/>
      <w:ind w:left="1531" w:hanging="1531"/>
    </w:pPr>
  </w:style>
  <w:style w:type="paragraph" w:customStyle="1" w:styleId="ListBullet1">
    <w:name w:val="List Bullet 1"/>
    <w:basedOn w:val="Text1"/>
    <w:qFormat/>
  </w:style>
  <w:style w:type="paragraph" w:customStyle="1" w:styleId="ListDash">
    <w:name w:val="List Dash"/>
    <w:basedOn w:val="Normal"/>
    <w:qFormat/>
  </w:style>
  <w:style w:type="paragraph" w:customStyle="1" w:styleId="ListDash1">
    <w:name w:val="List Dash 1"/>
    <w:basedOn w:val="Text1"/>
    <w:qFormat/>
  </w:style>
  <w:style w:type="paragraph" w:customStyle="1" w:styleId="ListDash2">
    <w:name w:val="List Dash 2"/>
    <w:basedOn w:val="Text2"/>
    <w:qFormat/>
  </w:style>
  <w:style w:type="paragraph" w:customStyle="1" w:styleId="ListDash3">
    <w:name w:val="List Dash 3"/>
    <w:basedOn w:val="Text3"/>
    <w:qFormat/>
  </w:style>
  <w:style w:type="paragraph" w:customStyle="1" w:styleId="ListDash4">
    <w:name w:val="List Dash 4"/>
    <w:basedOn w:val="Text4"/>
    <w:qFormat/>
  </w:style>
  <w:style w:type="paragraph" w:customStyle="1" w:styleId="ListNumberLevel2">
    <w:name w:val="List Number (Level 2)"/>
    <w:basedOn w:val="Normal"/>
    <w:qFormat/>
  </w:style>
  <w:style w:type="paragraph" w:customStyle="1" w:styleId="ListNumberLevel3">
    <w:name w:val="List Number (Level 3)"/>
    <w:basedOn w:val="Normal"/>
    <w:qFormat/>
  </w:style>
  <w:style w:type="paragraph" w:customStyle="1" w:styleId="ListNumberLevel4">
    <w:name w:val="List Number (Level 4)"/>
    <w:basedOn w:val="Normal"/>
    <w:qFormat/>
  </w:style>
  <w:style w:type="paragraph" w:customStyle="1" w:styleId="ListNumber1">
    <w:name w:val="List Number 1"/>
    <w:basedOn w:val="Text1"/>
    <w:qFormat/>
  </w:style>
  <w:style w:type="paragraph" w:customStyle="1" w:styleId="ListNumber1Level2">
    <w:name w:val="List Number 1 (Level 2)"/>
    <w:basedOn w:val="Text1"/>
    <w:qFormat/>
  </w:style>
  <w:style w:type="paragraph" w:customStyle="1" w:styleId="ListNumber1Level3">
    <w:name w:val="List Number 1 (Level 3)"/>
    <w:basedOn w:val="Text1"/>
    <w:qFormat/>
  </w:style>
  <w:style w:type="paragraph" w:customStyle="1" w:styleId="ListNumber1Level4">
    <w:name w:val="List Number 1 (Level 4)"/>
    <w:basedOn w:val="Text1"/>
    <w:qFormat/>
  </w:style>
  <w:style w:type="paragraph" w:customStyle="1" w:styleId="ListNumber2Level2">
    <w:name w:val="List Number 2 (Level 2)"/>
    <w:basedOn w:val="Text2"/>
    <w:qFormat/>
  </w:style>
  <w:style w:type="paragraph" w:customStyle="1" w:styleId="ListNumber2Level3">
    <w:name w:val="List Number 2 (Level 3)"/>
    <w:basedOn w:val="Text2"/>
    <w:qFormat/>
  </w:style>
  <w:style w:type="paragraph" w:customStyle="1" w:styleId="ListNumber2Level4">
    <w:name w:val="List Number 2 (Level 4)"/>
    <w:basedOn w:val="Text2"/>
    <w:qFormat/>
    <w:pPr>
      <w:ind w:left="3901" w:hanging="703"/>
    </w:pPr>
  </w:style>
  <w:style w:type="paragraph" w:customStyle="1" w:styleId="ListNumber3Level2">
    <w:name w:val="List Number 3 (Level 2)"/>
    <w:basedOn w:val="Text3"/>
    <w:qFormat/>
  </w:style>
  <w:style w:type="paragraph" w:customStyle="1" w:styleId="ListNumber3Level3">
    <w:name w:val="List Number 3 (Level 3)"/>
    <w:basedOn w:val="Text3"/>
    <w:qFormat/>
  </w:style>
  <w:style w:type="paragraph" w:customStyle="1" w:styleId="ListNumber3Level4">
    <w:name w:val="List Number 3 (Level 4)"/>
    <w:basedOn w:val="Text3"/>
    <w:qFormat/>
  </w:style>
  <w:style w:type="paragraph" w:customStyle="1" w:styleId="ListNumber4Level2">
    <w:name w:val="List Number 4 (Level 2)"/>
    <w:basedOn w:val="Text4"/>
    <w:qFormat/>
  </w:style>
  <w:style w:type="paragraph" w:customStyle="1" w:styleId="ListNumber4Level3">
    <w:name w:val="List Number 4 (Level 3)"/>
    <w:basedOn w:val="Text4"/>
    <w:qFormat/>
  </w:style>
  <w:style w:type="paragraph" w:customStyle="1" w:styleId="ListNumber4Level4">
    <w:name w:val="List Number 4 (Level 4)"/>
    <w:basedOn w:val="Text4"/>
    <w:qFormat/>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Enclosures"/>
    <w:uiPriority w:val="99"/>
    <w:qFormat/>
    <w:pPr>
      <w:spacing w:before="480" w:after="0"/>
      <w:ind w:left="567" w:hanging="567"/>
      <w:jc w:val="left"/>
    </w:pPr>
  </w:style>
  <w:style w:type="paragraph" w:customStyle="1" w:styleId="DisclaimerNotice">
    <w:name w:val="Disclaimer Notice"/>
    <w:basedOn w:val="Normal"/>
    <w:next w:val="AddressTR"/>
    <w:qFormat/>
    <w:pPr>
      <w:ind w:left="5103"/>
      <w:jc w:val="left"/>
    </w:pPr>
    <w:rPr>
      <w:i/>
      <w:sz w:val="20"/>
    </w:rPr>
  </w:style>
  <w:style w:type="paragraph" w:customStyle="1" w:styleId="Disclaimer">
    <w:name w:val="Disclaimer"/>
    <w:basedOn w:val="Normal"/>
    <w:qFormat/>
    <w:pPr>
      <w:keepLines/>
      <w:pBdr>
        <w:top w:val="single" w:sz="4" w:space="1" w:color="00000A"/>
      </w:pBdr>
      <w:spacing w:before="480" w:after="0"/>
    </w:pPr>
    <w:rPr>
      <w:i/>
    </w:rPr>
  </w:style>
  <w:style w:type="paragraph" w:customStyle="1" w:styleId="DisclaimerSJ">
    <w:name w:val="Disclaimer_SJ"/>
    <w:basedOn w:val="Normal"/>
    <w:next w:val="Normal"/>
    <w:qFormat/>
    <w:pPr>
      <w:spacing w:after="0"/>
    </w:pPr>
    <w:rPr>
      <w:rFonts w:ascii="Arial" w:hAnsi="Arial"/>
      <w:b/>
      <w:sz w:val="16"/>
    </w:rPr>
  </w:style>
  <w:style w:type="paragraph" w:customStyle="1" w:styleId="Designator">
    <w:name w:val="Designator"/>
    <w:basedOn w:val="Normal"/>
    <w:qFormat/>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qFormat/>
    <w:pPr>
      <w:spacing w:after="0"/>
      <w:jc w:val="center"/>
    </w:pPr>
    <w:rPr>
      <w:b/>
      <w:caps/>
      <w:sz w:val="32"/>
      <w:bdr w:val="single" w:sz="18" w:space="0" w:color="00000A"/>
      <w:lang w:val="de-DE"/>
    </w:rPr>
  </w:style>
  <w:style w:type="paragraph" w:customStyle="1" w:styleId="ConfidentialUE">
    <w:name w:val="Confidential UE"/>
    <w:basedOn w:val="Normal"/>
    <w:qFormat/>
    <w:pPr>
      <w:spacing w:after="0"/>
      <w:jc w:val="center"/>
    </w:pPr>
    <w:rPr>
      <w:b/>
      <w:caps/>
      <w:sz w:val="32"/>
      <w:bdr w:val="single" w:sz="18" w:space="0" w:color="00000A"/>
    </w:rPr>
  </w:style>
  <w:style w:type="paragraph" w:customStyle="1" w:styleId="TrsSecretUE">
    <w:name w:val="Très Secret UE"/>
    <w:basedOn w:val="Normal"/>
    <w:qFormat/>
    <w:pPr>
      <w:spacing w:after="0"/>
      <w:jc w:val="center"/>
    </w:pPr>
    <w:rPr>
      <w:b/>
      <w:caps/>
      <w:color w:val="FF0000"/>
      <w:sz w:val="32"/>
      <w:bdr w:val="single" w:sz="18" w:space="0" w:color="FF0000"/>
    </w:rPr>
  </w:style>
  <w:style w:type="paragraph" w:customStyle="1" w:styleId="SecretUE">
    <w:name w:val="Secret UE"/>
    <w:basedOn w:val="Normal"/>
    <w:qFormat/>
    <w:pPr>
      <w:spacing w:after="0"/>
      <w:jc w:val="center"/>
    </w:pPr>
    <w:rPr>
      <w:b/>
      <w:caps/>
      <w:color w:val="FF0000"/>
      <w:sz w:val="32"/>
      <w:bdr w:val="single" w:sz="18" w:space="0" w:color="FF0000"/>
    </w:rPr>
  </w:style>
  <w:style w:type="paragraph" w:customStyle="1" w:styleId="ZCom">
    <w:name w:val="Z_Com"/>
    <w:basedOn w:val="Normal"/>
    <w:uiPriority w:val="99"/>
    <w:qFormat/>
    <w:rsid w:val="00BC6AFE"/>
    <w:pPr>
      <w:widowControl w:val="0"/>
      <w:spacing w:after="0"/>
      <w:ind w:right="85"/>
    </w:pPr>
    <w:rPr>
      <w:rFonts w:ascii="Arial" w:hAnsi="Arial" w:cs="Arial"/>
      <w:szCs w:val="24"/>
      <w:lang w:eastAsia="en-GB"/>
    </w:rPr>
  </w:style>
  <w:style w:type="paragraph" w:customStyle="1" w:styleId="ZDGName">
    <w:name w:val="Z_DGName"/>
    <w:basedOn w:val="Normal"/>
    <w:uiPriority w:val="99"/>
    <w:qFormat/>
    <w:rsid w:val="00BC6AFE"/>
    <w:pPr>
      <w:widowControl w:val="0"/>
      <w:spacing w:after="0"/>
      <w:ind w:right="85"/>
      <w:jc w:val="left"/>
    </w:pPr>
    <w:rPr>
      <w:rFonts w:ascii="Arial" w:hAnsi="Arial" w:cs="Arial"/>
      <w:sz w:val="16"/>
      <w:szCs w:val="16"/>
      <w:lang w:eastAsia="en-GB"/>
    </w:rPr>
  </w:style>
  <w:style w:type="paragraph" w:styleId="BalloonText">
    <w:name w:val="Balloon Text"/>
    <w:basedOn w:val="Normal"/>
    <w:link w:val="BalloonTextChar"/>
    <w:uiPriority w:val="99"/>
    <w:semiHidden/>
    <w:unhideWhenUsed/>
    <w:qFormat/>
    <w:rsid w:val="00671799"/>
    <w:pPr>
      <w:spacing w:after="0"/>
    </w:pPr>
    <w:rPr>
      <w:rFonts w:ascii="Tahoma" w:hAnsi="Tahoma" w:cs="Tahoma"/>
      <w:sz w:val="16"/>
      <w:szCs w:val="16"/>
    </w:rPr>
  </w:style>
  <w:style w:type="paragraph" w:customStyle="1" w:styleId="Compact">
    <w:name w:val="Compact"/>
    <w:basedOn w:val="BodyText"/>
    <w:qFormat/>
    <w:rsid w:val="00671799"/>
    <w:pPr>
      <w:spacing w:before="36" w:after="36"/>
      <w:jc w:val="left"/>
    </w:pPr>
    <w:rPr>
      <w:rFonts w:asciiTheme="minorHAnsi" w:eastAsiaTheme="minorHAnsi" w:hAnsiTheme="minorHAnsi" w:cstheme="minorBidi"/>
      <w:szCs w:val="24"/>
      <w:lang w:val="en-US"/>
    </w:rPr>
  </w:style>
  <w:style w:type="paragraph" w:customStyle="1" w:styleId="PreformattedText">
    <w:name w:val="Preformatted Text"/>
    <w:basedOn w:val="Normal"/>
    <w:qFormat/>
  </w:style>
  <w:style w:type="table" w:styleId="TableGrid">
    <w:name w:val="Table Grid"/>
    <w:basedOn w:val="TableNormal"/>
    <w:uiPriority w:val="59"/>
    <w:rsid w:val="008847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D6529E"/>
    <w:rPr>
      <w:b/>
      <w:bCs/>
    </w:rPr>
  </w:style>
  <w:style w:type="character" w:customStyle="1" w:styleId="CommentTextChar">
    <w:name w:val="Comment Text Char"/>
    <w:basedOn w:val="DefaultParagraphFont"/>
    <w:link w:val="CommentText"/>
    <w:semiHidden/>
    <w:rsid w:val="00D6529E"/>
    <w:rPr>
      <w:lang w:eastAsia="en-US"/>
    </w:rPr>
  </w:style>
  <w:style w:type="character" w:customStyle="1" w:styleId="CommentSubjectChar">
    <w:name w:val="Comment Subject Char"/>
    <w:basedOn w:val="CommentTextChar"/>
    <w:link w:val="CommentSubject"/>
    <w:uiPriority w:val="99"/>
    <w:semiHidden/>
    <w:rsid w:val="00D6529E"/>
    <w:rPr>
      <w:b/>
      <w:bCs/>
      <w:lang w:eastAsia="en-US"/>
    </w:rPr>
  </w:style>
  <w:style w:type="paragraph" w:styleId="ListParagraph">
    <w:name w:val="List Paragraph"/>
    <w:basedOn w:val="Normal"/>
    <w:uiPriority w:val="34"/>
    <w:qFormat/>
    <w:rsid w:val="005A0C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Author Role="Creator">
  <Id>bd75a428-bbcb-4c74-9efa-281afaab0ab2</Id>
  <Names>
    <Latin>
      <FirstName>Britta</FirstName>
      <LastName>Gauckler</LastName>
    </Latin>
    <Greek>
      <FirstName/>
      <LastName/>
    </Greek>
    <Cyrillic>
      <FirstName/>
      <LastName/>
    </Cyrillic>
    <DocumentScript>
      <FirstName>Britta</FirstName>
      <LastName>Gauckler</LastName>
      <FullName>Britta Gauckler</FullName>
    </DocumentScript>
  </Names>
  <Initials>BG</Initials>
  <Gender>f</Gender>
  <Email>Britta.GAUCKLER@ec.europa.eu</Email>
  <Service>ESTAT.B.1</Service>
  <Function/>
  <WebAddress/>
  <InheritedWebAddress>http://europa.eu</InheritedWebAddress>
  <OrgaEntity1>
    <Id>25d24451-9908-4f0e-9a6d-f256cf91ab7b</Id>
    <LogicalLevel>1</LogicalLevel>
    <Name>ESTAT</Name>
    <HeadLine1>EUROSTAT</HeadLine1>
    <HeadLine2/>
    <PrimaryAddressId>1264fb81-f6bb-475e-9f9d-a937d3be6ee2</PrimaryAddressId>
    <SecondaryAddressId/>
    <WebAddress/>
    <InheritedWebAddress>http://europa.eu</InheritedWebAddress>
    <ShowInHeader>true</ShowInHeader>
  </OrgaEntity1>
  <OrgaEntity2/>
  <OrgaEntity3/>
  <Addresses>
    <Address>
      <Id>1264fb81-f6bb-475e-9f9d-a937d3be6ee2</Id>
      <Name>Luxembourg</Name>
      <PhoneNumberPrefix>+352 4301</PhoneNumberPrefix>
      <Location>Luxembourg,</Location>
      <Footer>Commission européenne, 2920 Luxembourg, LUXEMBOURG — Tel. +352 43011</Footer>
    </Address>
    <Address>
      <Id>f03b5801-04c9-4931-aa17-c6d6c70bc579</Id>
      <Name>Brussels</Name>
      <PhoneNumberPrefix>+32 229 </PhoneNumberPrefix>
      <Location>Brussels,</Location>
      <Footer>Commission européenne/Europese Commissie, 1049 Bruxelles/Brussel, BELGIQUE/BELGIË — Tel. +32 22991111</Footer>
    </Address>
  </Addresses>
  <JobAssignmentId/>
  <MainWorkplace IsMain="true">
    <AddressId>1264fb81-f6bb-475e-9f9d-a937d3be6ee2</AddressId>
    <Fax/>
    <Phone>+352 430136641</Phone>
    <Office>BECH A2/155</Office>
  </MainWorkplace>
  <Workplaces>
    <Workplace IsMain="true">
      <AddressId>1264fb81-f6bb-475e-9f9d-a937d3be6ee2</AddressId>
      <Fax/>
      <Phone>+352 430136641</Phone>
      <Office>BECH A2/155</Office>
    </Workplace>
    <Workplace IsMain="false">
      <AddressId>f03b5801-04c9-4931-aa17-c6d6c70bc579</AddressId>
      <Fax/>
      <Phone/>
      <Office/>
    </Workplace>
  </Workplaces>
</Author>
</file>

<file path=customXml/item2.xml><?xml version="1.0" encoding="utf-8"?>
<Texts>
  <SecurityPersonalData>Personal data</SecurityPersonalData>
  <SecurityLimitedDG>Limited</SecurityLimitedDG>
  <SecurityPharma>Pharma investigations</SecurityPharma>
  <SecurityMediationServiceMatter>Mediation Service matter</SecurityMediationServiceMatter>
  <SecurityDeadline>Deadline</SecurityDeadline>
  <SecurityEconomyAndFinance>Economy and finance – special handling</SecurityEconomyAndFinance>
  <FooterFax>Fax</FooterFax>
  <NoteCopy>c.c.:</NoteCopy>
  <FooterOffice>Office:</FooterOffice>
  <SecurityOlafInvestigations>OLAF investigations</SecurityOlafInvestigations>
  <NoteReference>Ref.:</NoteReference>
  <SecurityInternal>Commission internal</SecurityInternal>
  <NoteFile>Note for the File</NoteFile>
  <SecurityOlafSpecialHandling>OLAF investigations – special handling</SecurityOlafSpecialHandling>
  <NoteParticipants>Participants:</NoteParticipants>
  <SecurityPersonal>Personal</SecurityPersonal>
  <CourtProceduralDocuments>Court procedural documents</CourtProceduralDocuments>
  <SecurityCompOperationsHandling>Handling instructions are provided by the DG COMP (comp-lso@ec.europa.eu)</SecurityCompOperationsHandling>
  <NoteParticipant>Participant:</NoteParticipant>
  <OrgaRoot>EUROPEAN COMMISSION</OrgaRoot>
  <NoteCopies>c.c.:</NoteCopies>
  <NoteSubject>Subject:</NoteSubject>
  <Contact>Contact:</Contact>
  <SecurityInvestigationsDisciplinary>Investigations and disciplinary matters</SecurityInvestigationsDisciplinary>
  <SecurityCompOperations>COMP operations</SecurityCompOperations>
  <NoteEnclosure>Enclosure:</NoteEnclosure>
  <SecurityEuSatellite>EU satellite navigation matters</SecurityEuSatellite>
  <SecurityReleasable>RELEASABLE TO [...]</SecurityReleasable>
  <AddresseeTo>To:</AddresseeTo>
  <SecurityEtsLimited>ETS limited</SecurityEtsLimited>
  <SecurityStaffMatter>Staff matter</SecurityStaffMatter>
  <SecurityOpinionLegalService>Opinion of the Legal Service</SecurityOpinionLegalService>
  <SecurityEtsSensitive>ETS sensitive</SecurityEtsSensitive>
  <NoteHead>Note for the attention of</NoteHead>
  <SecurityEtsCritical>ETS critical</SecurityEtsCritical>
  <SecurityCompSpecial>COMP - special handling</SecurityCompSpecial>
  <SecurityOpinionOfTheLegalService>This document contains legal advice and is only for the use of the services to which it is addressed. It may not be transmitted outside the European Commission and its content may not be reproduced in documents to be sent outside the European Commission.	 It may be protected pursuant to Article 4 of Regulation (EC) No 1049/2001 of the European Parliament and of the Council and may only be disclosed under the procedures provided for in Commission Decision 2001/937/EC, ECSC, Euratom.</SecurityOpinionOfTheLegalService>
  <SecurityPharmaSpecial>Pharma investigations – special handling</SecurityPharmaSpecial>
  <TOCHeading>Table of Contents</TOCHeading>
  <AddressFooterBrussels>Commission européenne/Europese Commissie, 1049 Bruxelles/Brussel, BELGIQUE/BELGIË — Tel. +32 22991111</AddressFooterBrussels>
  <SecurityIasOperations>IAS operations</SecurityIasOperations>
  <FooterPhone>Tel. direct line</FooterPhone>
  <SecuritySecurityMatter>Security matter</SecuritySecurityMatter>
  <SecurityPersonalDataHandling>Shall only be communicated on a need to know basis pursuant to Regulation (EC) No 45/2001. Where e-mail is used, this must be encrypted using SECEM.</SecurityPersonalDataHandling>
  <NoteEnclosures>Enclosures:</NoteEnclosures>
  <SecurityLimitedServiceUnitGroup>Limited</SecurityLimitedServiceUnitGroup>
  <SecurityMedicalSecret>Medical secret</SecurityMedicalSecret>
  <Contacts>Contacts:</Contacts>
  <SecurityEmbargo>Embargo until</SecurityEmbargo>
  <SecurityLimited>Limited</SecurityLimited>
  <DateFormatShort>dd/MM/yyyy</DateFormatShort>
  <DateFormatLong>d MMMM yyyy</DateFormatLong>
</Texts>
</file>

<file path=customXml/item3.xml><?xml version="1.0" encoding="utf-8"?>
<EurolookProperties>
  <Created>
    <Version>4.5</Version>
    <Date>2018-05-29T11:59:20</Date>
    <Language>EN</Language>
  </Created>
  <Edited>
    <Version>10.0.37441.0</Version>
    <Date>2018-10-09T17:12:32</Date>
  </Edited>
  <DocumentModel>
    <Id>0b054141-88b1-4efb-8c91-2905cb0bed6c</Id>
    <Name>Note</Name>
  </DocumentModel>
  <DocumentDate/>
  <DocumentVersion/>
  <CompatibilityMode>Eurolook4x</CompatibilityMode>
  <Address/>
</Eurolook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06C654-FE0D-4FA5-9C33-13E2F461D7CA}">
  <ds:schemaRefs/>
</ds:datastoreItem>
</file>

<file path=customXml/itemProps2.xml><?xml version="1.0" encoding="utf-8"?>
<ds:datastoreItem xmlns:ds="http://schemas.openxmlformats.org/officeDocument/2006/customXml" ds:itemID="{502162AC-773B-4BAB-A035-07FB7E4FB26B}">
  <ds:schemaRefs/>
</ds:datastoreItem>
</file>

<file path=customXml/itemProps3.xml><?xml version="1.0" encoding="utf-8"?>
<ds:datastoreItem xmlns:ds="http://schemas.openxmlformats.org/officeDocument/2006/customXml" ds:itemID="{DEF58AF3-9929-4DC0-A819-0ADC671B5D1C}">
  <ds:schemaRefs/>
</ds:datastoreItem>
</file>

<file path=customXml/itemProps4.xml><?xml version="1.0" encoding="utf-8"?>
<ds:datastoreItem xmlns:ds="http://schemas.openxmlformats.org/officeDocument/2006/customXml" ds:itemID="{63686147-EE05-4F46-8F46-A923622BB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Eurolook.dotm</Template>
  <TotalTime>5</TotalTime>
  <Pages>4</Pages>
  <Words>1354</Words>
  <Characters>7723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NENKOV Dimitar (ESTAT)</dc:creator>
  <cp:keywords>EL4</cp:keywords>
  <dc:description/>
  <cp:lastModifiedBy>NENKOV Dimitar (ESTAT)</cp:lastModifiedBy>
  <cp:revision>6</cp:revision>
  <cp:lastPrinted>2018-09-24T18:24:00Z</cp:lastPrinted>
  <dcterms:created xsi:type="dcterms:W3CDTF">2018-09-25T07:01:00Z</dcterms:created>
  <dcterms:modified xsi:type="dcterms:W3CDTF">2018-10-09T15:12:00Z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European Commission</vt:lpwstr>
  </property>
  <property fmtid="{D5CDD505-2E9C-101B-9397-08002B2CF9AE}" pid="4" name="Created using">
    <vt:lpwstr>EL 4.6 Build 21000</vt:lpwstr>
  </property>
  <property fmtid="{D5CDD505-2E9C-101B-9397-08002B2CF9AE}" pid="5" name="DocID_EU">
    <vt:lpwstr> </vt:lpwstr>
  </property>
  <property fmtid="{D5CDD505-2E9C-101B-9397-08002B2CF9AE}" pid="6" name="DocSecurity">
    <vt:i4>0</vt:i4>
  </property>
  <property fmtid="{D5CDD505-2E9C-101B-9397-08002B2CF9AE}" pid="7" name="ELDocType">
    <vt:lpwstr>not.dot</vt:lpwstr>
  </property>
  <property fmtid="{D5CDD505-2E9C-101B-9397-08002B2CF9AE}" pid="8" name="EL_Author">
    <vt:lpwstr>Martin KARLBERG</vt:lpwstr>
  </property>
  <property fmtid="{D5CDD505-2E9C-101B-9397-08002B2CF9AE}" pid="9" name="EL_Language">
    <vt:lpwstr>EN</vt:lpwstr>
  </property>
  <property fmtid="{D5CDD505-2E9C-101B-9397-08002B2CF9AE}" pid="10" name="EurolookVersion">
    <vt:lpwstr>4.5</vt:lpwstr>
  </property>
  <property fmtid="{D5CDD505-2E9C-101B-9397-08002B2CF9AE}" pid="11" name="Formatting">
    <vt:lpwstr>4.1</vt:lpwstr>
  </property>
  <property fmtid="{D5CDD505-2E9C-101B-9397-08002B2CF9AE}" pid="12" name="HyperlinksChanged">
    <vt:bool>false</vt:bool>
  </property>
  <property fmtid="{D5CDD505-2E9C-101B-9397-08002B2CF9AE}" pid="13" name="Language">
    <vt:lpwstr>EN</vt:lpwstr>
  </property>
  <property fmtid="{D5CDD505-2E9C-101B-9397-08002B2CF9AE}" pid="14" name="Last edited using">
    <vt:lpwstr>EL 4.6 Build 50000</vt:lpwstr>
  </property>
  <property fmtid="{D5CDD505-2E9C-101B-9397-08002B2CF9AE}" pid="15" name="LinksUpToDate">
    <vt:bool>false</vt:bool>
  </property>
  <property fmtid="{D5CDD505-2E9C-101B-9397-08002B2CF9AE}" pid="16" name="PresentationFormat">
    <vt:lpwstr>Microsoft Word 14.0</vt:lpwstr>
  </property>
  <property fmtid="{D5CDD505-2E9C-101B-9397-08002B2CF9AE}" pid="17" name="ScaleCrop">
    <vt:bool>false</vt:bool>
  </property>
  <property fmtid="{D5CDD505-2E9C-101B-9397-08002B2CF9AE}" pid="18" name="ShareDoc">
    <vt:bool>false</vt:bool>
  </property>
  <property fmtid="{D5CDD505-2E9C-101B-9397-08002B2CF9AE}" pid="19" name="TemplateVersion">
    <vt:lpwstr>4.5.0.3</vt:lpwstr>
  </property>
  <property fmtid="{D5CDD505-2E9C-101B-9397-08002B2CF9AE}" pid="20" name="Type">
    <vt:lpwstr>Eurolook Note &amp; Letter</vt:lpwstr>
  </property>
</Properties>
</file>