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D03DB" w14:textId="67455214" w:rsidR="00BC6AFE" w:rsidRDefault="004054F0" w:rsidP="00BC6AFE">
      <w:pPr>
        <w:pStyle w:val="Title"/>
      </w:pPr>
      <w:bookmarkStart w:id="0" w:name="_GoBack"/>
      <w:bookmarkEnd w:id="0"/>
      <w:r w:rsidRPr="004054F0">
        <w:t>A data</w:t>
      </w:r>
      <w:r w:rsidR="00217CEF">
        <w:t>-</w:t>
      </w:r>
      <w:r w:rsidRPr="004054F0">
        <w:t>driven approach to urban digitalization</w:t>
      </w:r>
    </w:p>
    <w:p w14:paraId="3699C7F1" w14:textId="77777777" w:rsidR="001B50CE" w:rsidRDefault="001B50CE" w:rsidP="00BC6AFE">
      <w:pPr>
        <w:pStyle w:val="Title"/>
      </w:pPr>
    </w:p>
    <w:p w14:paraId="44984B28" w14:textId="77777777" w:rsidR="00243A2C" w:rsidRDefault="00243A2C" w:rsidP="00243A2C">
      <w:r w:rsidRPr="00243A2C">
        <w:rPr>
          <w:b/>
          <w:u w:val="single"/>
        </w:rPr>
        <w:t>Keywords</w:t>
      </w:r>
      <w:r w:rsidRPr="00243A2C">
        <w:rPr>
          <w:b/>
        </w:rPr>
        <w:t>:</w:t>
      </w:r>
      <w:r>
        <w:t xml:space="preserve"> </w:t>
      </w:r>
      <w:r w:rsidR="004054F0">
        <w:t>data, digitalization</w:t>
      </w:r>
      <w:r w:rsidR="005019A0">
        <w:t>, analytics, interoperability, enterprise architecture</w:t>
      </w:r>
    </w:p>
    <w:p w14:paraId="218818DF" w14:textId="77777777" w:rsidR="002012A8" w:rsidRDefault="002012A8" w:rsidP="002012A8">
      <w:pPr>
        <w:pStyle w:val="Heading1"/>
      </w:pPr>
      <w:r>
        <w:t>Introduction</w:t>
      </w:r>
    </w:p>
    <w:p w14:paraId="7D2EE698" w14:textId="70CEF011" w:rsidR="000A6CCC" w:rsidRDefault="004054F0" w:rsidP="00BC6AFE">
      <w:r>
        <w:t>The Milan</w:t>
      </w:r>
      <w:r w:rsidRPr="004054F0">
        <w:t xml:space="preserve"> </w:t>
      </w:r>
      <w:r>
        <w:t>Municipality</w:t>
      </w:r>
      <w:r w:rsidR="00ED08BE">
        <w:t>’s</w:t>
      </w:r>
      <w:r>
        <w:t xml:space="preserve"> </w:t>
      </w:r>
      <w:r w:rsidR="00ED08BE">
        <w:t xml:space="preserve">digital plan </w:t>
      </w:r>
      <w:r>
        <w:t xml:space="preserve">is inspired by the strategic goals of the Council and </w:t>
      </w:r>
      <w:r w:rsidR="000A6CCC">
        <w:t xml:space="preserve">of the National Agency for the digitalization of Public Administration (AGID). </w:t>
      </w:r>
    </w:p>
    <w:p w14:paraId="0B514F48" w14:textId="77777777" w:rsidR="00BC6AFE" w:rsidRPr="00577FFA" w:rsidRDefault="00577FFA" w:rsidP="00BC6AFE">
      <w:pPr>
        <w:pStyle w:val="Heading2"/>
        <w:tabs>
          <w:tab w:val="clear" w:pos="1080"/>
          <w:tab w:val="num" w:pos="482"/>
        </w:tabs>
        <w:ind w:left="482" w:hanging="482"/>
      </w:pPr>
      <w:r w:rsidRPr="00577FFA">
        <w:t>The Council’s strategic goals</w:t>
      </w:r>
    </w:p>
    <w:p w14:paraId="495B2C96" w14:textId="07BA43DD" w:rsidR="00BC6AFE" w:rsidRPr="00D52EA1" w:rsidRDefault="000A6CCC" w:rsidP="00BC6AFE">
      <w:pPr>
        <w:rPr>
          <w:highlight w:val="green"/>
        </w:rPr>
      </w:pPr>
      <w:r>
        <w:t>The strategic goals include technical innovation, transparency</w:t>
      </w:r>
      <w:r w:rsidR="00A05995">
        <w:t>,</w:t>
      </w:r>
      <w:r>
        <w:t xml:space="preserve"> </w:t>
      </w:r>
      <w:r w:rsidR="00ED08BE">
        <w:t xml:space="preserve">public </w:t>
      </w:r>
      <w:r>
        <w:t xml:space="preserve">involvement, development, liveability and sustainability. </w:t>
      </w:r>
      <w:r w:rsidR="00A05995" w:rsidDel="00A05995">
        <w:t xml:space="preserve"> </w:t>
      </w:r>
    </w:p>
    <w:p w14:paraId="49CA4F82" w14:textId="62891B1C" w:rsidR="001B50CE" w:rsidRPr="00577FFA" w:rsidRDefault="00577FFA" w:rsidP="001B50CE">
      <w:pPr>
        <w:pStyle w:val="Heading2"/>
        <w:tabs>
          <w:tab w:val="clear" w:pos="1080"/>
          <w:tab w:val="num" w:pos="482"/>
        </w:tabs>
        <w:ind w:left="482" w:hanging="482"/>
      </w:pPr>
      <w:r w:rsidRPr="00577FFA">
        <w:t xml:space="preserve">A </w:t>
      </w:r>
      <w:r w:rsidR="00BB232B" w:rsidRPr="00577FFA">
        <w:t xml:space="preserve">vision </w:t>
      </w:r>
      <w:r w:rsidRPr="00577FFA">
        <w:t>for IT</w:t>
      </w:r>
    </w:p>
    <w:p w14:paraId="7158FFF8" w14:textId="312B3CA0" w:rsidR="00D52EA1" w:rsidRDefault="000827EA" w:rsidP="00D52EA1">
      <w:r>
        <w:t xml:space="preserve">The strategic </w:t>
      </w:r>
      <w:r w:rsidR="001D23D9">
        <w:t xml:space="preserve">vision </w:t>
      </w:r>
      <w:r>
        <w:t xml:space="preserve">for IT </w:t>
      </w:r>
      <w:r w:rsidR="00BB232B">
        <w:t xml:space="preserve">that </w:t>
      </w:r>
      <w:r>
        <w:t>support</w:t>
      </w:r>
      <w:r w:rsidR="00BB232B">
        <w:t>s</w:t>
      </w:r>
      <w:r>
        <w:t xml:space="preserve"> the above activities is based on the following principles:</w:t>
      </w:r>
    </w:p>
    <w:p w14:paraId="7E60D3D0" w14:textId="77777777" w:rsidR="000827EA" w:rsidRDefault="000827EA" w:rsidP="000827EA">
      <w:pPr>
        <w:pStyle w:val="ListParagraph"/>
        <w:numPr>
          <w:ilvl w:val="0"/>
          <w:numId w:val="21"/>
        </w:numPr>
      </w:pPr>
      <w:r>
        <w:t>Information sharing in “open data” mode</w:t>
      </w:r>
    </w:p>
    <w:p w14:paraId="63AAC32E" w14:textId="77777777" w:rsidR="000827EA" w:rsidRDefault="000827EA" w:rsidP="000827EA">
      <w:pPr>
        <w:pStyle w:val="ListParagraph"/>
        <w:numPr>
          <w:ilvl w:val="0"/>
          <w:numId w:val="21"/>
        </w:numPr>
      </w:pPr>
      <w:r>
        <w:t>“Mobile first” approach</w:t>
      </w:r>
    </w:p>
    <w:p w14:paraId="290E95DA" w14:textId="77777777" w:rsidR="000827EA" w:rsidRDefault="000827EA" w:rsidP="000827EA">
      <w:pPr>
        <w:pStyle w:val="ListParagraph"/>
        <w:numPr>
          <w:ilvl w:val="0"/>
          <w:numId w:val="21"/>
        </w:numPr>
      </w:pPr>
      <w:r>
        <w:t>Safe, scalable and harmonized IT architectures</w:t>
      </w:r>
    </w:p>
    <w:p w14:paraId="2F979361" w14:textId="77777777" w:rsidR="000827EA" w:rsidRDefault="000827EA" w:rsidP="000827EA">
      <w:pPr>
        <w:pStyle w:val="ListParagraph"/>
        <w:numPr>
          <w:ilvl w:val="0"/>
          <w:numId w:val="21"/>
        </w:numPr>
      </w:pPr>
      <w:r>
        <w:t>Well-defined application interfaces</w:t>
      </w:r>
    </w:p>
    <w:p w14:paraId="64FDB924" w14:textId="77777777" w:rsidR="000827EA" w:rsidRDefault="000827EA" w:rsidP="000827EA">
      <w:pPr>
        <w:pStyle w:val="ListParagraph"/>
        <w:numPr>
          <w:ilvl w:val="0"/>
          <w:numId w:val="21"/>
        </w:numPr>
      </w:pPr>
      <w:r>
        <w:t>Full compliance with cyber-security standards</w:t>
      </w:r>
    </w:p>
    <w:p w14:paraId="74B4902A" w14:textId="77777777" w:rsidR="000827EA" w:rsidRPr="000827EA" w:rsidRDefault="000827EA" w:rsidP="000827EA">
      <w:pPr>
        <w:pStyle w:val="ListParagraph"/>
        <w:numPr>
          <w:ilvl w:val="0"/>
          <w:numId w:val="21"/>
        </w:numPr>
      </w:pPr>
      <w:r>
        <w:t>Adoption of enabling platforms</w:t>
      </w:r>
    </w:p>
    <w:p w14:paraId="4E0B7F49" w14:textId="77777777" w:rsidR="00BC6AFE" w:rsidRDefault="00BC6AFE" w:rsidP="00BC6AFE">
      <w:pPr>
        <w:pStyle w:val="Heading1"/>
      </w:pPr>
      <w:r>
        <w:t>Methods</w:t>
      </w:r>
    </w:p>
    <w:p w14:paraId="2A1F003E" w14:textId="5910B3F1" w:rsidR="00BC6AFE" w:rsidRDefault="00B70C6D" w:rsidP="00BC6AFE">
      <w:r>
        <w:t xml:space="preserve">The above principles are enacted through </w:t>
      </w:r>
      <w:r w:rsidR="00A05995">
        <w:t xml:space="preserve">4 </w:t>
      </w:r>
      <w:r>
        <w:t>broad lines of action:</w:t>
      </w:r>
    </w:p>
    <w:p w14:paraId="02591382" w14:textId="50C2F11E" w:rsidR="00B70C6D" w:rsidRDefault="001D23D9" w:rsidP="00B70C6D">
      <w:pPr>
        <w:pStyle w:val="ListParagraph"/>
        <w:numPr>
          <w:ilvl w:val="0"/>
          <w:numId w:val="22"/>
        </w:numPr>
      </w:pPr>
      <w:r>
        <w:t xml:space="preserve">Reorganizing the </w:t>
      </w:r>
      <w:r w:rsidR="00B70C6D">
        <w:t>ICT Division</w:t>
      </w:r>
      <w:r w:rsidRPr="001D23D9">
        <w:t xml:space="preserve"> </w:t>
      </w:r>
    </w:p>
    <w:p w14:paraId="2E4E128F" w14:textId="77777777" w:rsidR="00B70C6D" w:rsidRDefault="00B70C6D" w:rsidP="00B70C6D">
      <w:pPr>
        <w:pStyle w:val="ListParagraph"/>
        <w:numPr>
          <w:ilvl w:val="0"/>
          <w:numId w:val="22"/>
        </w:numPr>
      </w:pPr>
      <w:r>
        <w:t>Defining and implementing an Enterprise Architecture (EA) Model</w:t>
      </w:r>
    </w:p>
    <w:p w14:paraId="042AB180" w14:textId="26BBFE42" w:rsidR="00B70C6D" w:rsidRDefault="001D23D9" w:rsidP="00B70C6D">
      <w:pPr>
        <w:pStyle w:val="ListParagraph"/>
        <w:numPr>
          <w:ilvl w:val="0"/>
          <w:numId w:val="22"/>
        </w:numPr>
      </w:pPr>
      <w:r>
        <w:t xml:space="preserve">Making </w:t>
      </w:r>
      <w:r w:rsidR="00B70C6D">
        <w:t xml:space="preserve">legacy systems interoperable and compliant </w:t>
      </w:r>
      <w:r>
        <w:t xml:space="preserve">with </w:t>
      </w:r>
      <w:r w:rsidR="00B70C6D">
        <w:t xml:space="preserve">the EA </w:t>
      </w:r>
    </w:p>
    <w:p w14:paraId="74E832CB" w14:textId="77777777" w:rsidR="00B70C6D" w:rsidRPr="00BC6AFE" w:rsidRDefault="00B70C6D" w:rsidP="00B70C6D">
      <w:pPr>
        <w:pStyle w:val="ListParagraph"/>
        <w:numPr>
          <w:ilvl w:val="0"/>
          <w:numId w:val="22"/>
        </w:numPr>
      </w:pPr>
      <w:r>
        <w:t>Implementing innovation projects</w:t>
      </w:r>
      <w:r w:rsidR="001D23D9" w:rsidRPr="001D23D9">
        <w:t xml:space="preserve"> </w:t>
      </w:r>
    </w:p>
    <w:p w14:paraId="0AF197E6" w14:textId="052AC24E" w:rsidR="00BC6AFE" w:rsidRPr="00B70C6D" w:rsidRDefault="001D23D9" w:rsidP="001B50CE">
      <w:pPr>
        <w:pStyle w:val="Heading2"/>
        <w:tabs>
          <w:tab w:val="clear" w:pos="1080"/>
          <w:tab w:val="num" w:pos="482"/>
        </w:tabs>
        <w:ind w:left="482" w:hanging="482"/>
      </w:pPr>
      <w:r>
        <w:t>Re</w:t>
      </w:r>
      <w:r w:rsidR="00B70C6D">
        <w:t>organization</w:t>
      </w:r>
    </w:p>
    <w:p w14:paraId="715D19A9" w14:textId="63F6BD37" w:rsidR="00B70C6D" w:rsidRDefault="00BB232B" w:rsidP="00D52EA1">
      <w:r>
        <w:t>Some</w:t>
      </w:r>
      <w:r w:rsidR="00B70C6D">
        <w:t xml:space="preserve"> new divisions have been created in the </w:t>
      </w:r>
      <w:r w:rsidR="001D23D9">
        <w:t>IT</w:t>
      </w:r>
      <w:r w:rsidR="00B70C6D">
        <w:t xml:space="preserve"> Division. They </w:t>
      </w:r>
      <w:r w:rsidR="00CD1B9A">
        <w:t>oversee</w:t>
      </w:r>
      <w:r w:rsidR="00B70C6D">
        <w:t>:</w:t>
      </w:r>
    </w:p>
    <w:p w14:paraId="1BAE50B2" w14:textId="77777777" w:rsidR="00D52EA1" w:rsidRDefault="00B70C6D" w:rsidP="00B70C6D">
      <w:pPr>
        <w:pStyle w:val="ListParagraph"/>
        <w:numPr>
          <w:ilvl w:val="0"/>
          <w:numId w:val="23"/>
        </w:numPr>
      </w:pPr>
      <w:r>
        <w:t>Data management and integration</w:t>
      </w:r>
      <w:r w:rsidR="00CD1B9A">
        <w:t xml:space="preserve"> (includes the statistical office)</w:t>
      </w:r>
    </w:p>
    <w:p w14:paraId="095A9083" w14:textId="77777777" w:rsidR="00B70C6D" w:rsidRDefault="00B70C6D" w:rsidP="00B70C6D">
      <w:pPr>
        <w:pStyle w:val="ListParagraph"/>
        <w:numPr>
          <w:ilvl w:val="0"/>
          <w:numId w:val="23"/>
        </w:numPr>
      </w:pPr>
      <w:r>
        <w:t>Digital lead and digital agenda</w:t>
      </w:r>
    </w:p>
    <w:p w14:paraId="7266AEE1" w14:textId="77777777" w:rsidR="00B70C6D" w:rsidRPr="00B70C6D" w:rsidRDefault="00B70C6D" w:rsidP="00B70C6D">
      <w:pPr>
        <w:pStyle w:val="ListParagraph"/>
        <w:numPr>
          <w:ilvl w:val="0"/>
          <w:numId w:val="23"/>
        </w:numPr>
      </w:pPr>
      <w:r>
        <w:t>Information security and technological innovation</w:t>
      </w:r>
    </w:p>
    <w:p w14:paraId="684FDDE7" w14:textId="0BC5C83E" w:rsidR="001B50CE" w:rsidRPr="00B70C6D" w:rsidRDefault="00B70C6D" w:rsidP="001B50CE">
      <w:pPr>
        <w:pStyle w:val="Heading2"/>
        <w:tabs>
          <w:tab w:val="clear" w:pos="1080"/>
          <w:tab w:val="num" w:pos="482"/>
        </w:tabs>
        <w:ind w:left="482" w:hanging="482"/>
      </w:pPr>
      <w:r>
        <w:t>Enterprise Architecture</w:t>
      </w:r>
    </w:p>
    <w:p w14:paraId="5B00E3F9" w14:textId="546B7672" w:rsidR="00D52EA1" w:rsidRDefault="00465229" w:rsidP="00D52EA1">
      <w:r>
        <w:t xml:space="preserve">In the new EA, </w:t>
      </w:r>
      <w:r w:rsidR="00A05995">
        <w:t>responsibilities</w:t>
      </w:r>
      <w:r w:rsidR="001D23D9">
        <w:t xml:space="preserve"> </w:t>
      </w:r>
      <w:r>
        <w:t xml:space="preserve">have been </w:t>
      </w:r>
      <w:r w:rsidR="00123B2B">
        <w:t xml:space="preserve">distinctly </w:t>
      </w:r>
      <w:r>
        <w:t xml:space="preserve">divided between the IT directorate and the rest of the municipal divisions. The IT sector oversees the technological and application </w:t>
      </w:r>
      <w:r w:rsidR="00BB232B">
        <w:t xml:space="preserve">aspects </w:t>
      </w:r>
      <w:r>
        <w:t xml:space="preserve">of the IT systems, while the functional and business </w:t>
      </w:r>
      <w:r w:rsidR="00BB232B">
        <w:t xml:space="preserve">aspects </w:t>
      </w:r>
      <w:r>
        <w:t xml:space="preserve">fall under the </w:t>
      </w:r>
      <w:r w:rsidR="001D23D9">
        <w:t xml:space="preserve">responsibility of the </w:t>
      </w:r>
      <w:r w:rsidR="00A05995">
        <w:t>other</w:t>
      </w:r>
      <w:r>
        <w:t xml:space="preserve"> divisions.</w:t>
      </w:r>
    </w:p>
    <w:p w14:paraId="4C36A75D" w14:textId="77777777" w:rsidR="00465229" w:rsidRDefault="00D54EBB" w:rsidP="00465229">
      <w:pPr>
        <w:pStyle w:val="Heading2"/>
        <w:tabs>
          <w:tab w:val="clear" w:pos="1080"/>
          <w:tab w:val="num" w:pos="482"/>
        </w:tabs>
        <w:ind w:left="482" w:hanging="482"/>
      </w:pPr>
      <w:r>
        <w:lastRenderedPageBreak/>
        <w:t>Tackling legacy systems</w:t>
      </w:r>
    </w:p>
    <w:p w14:paraId="67BF87CE" w14:textId="200F3D55" w:rsidR="00465229" w:rsidRDefault="00233770" w:rsidP="00465229">
      <w:r>
        <w:t xml:space="preserve">To </w:t>
      </w:r>
      <w:r w:rsidR="00D54EBB">
        <w:t xml:space="preserve">implement </w:t>
      </w:r>
      <w:r>
        <w:t>all this</w:t>
      </w:r>
      <w:r w:rsidR="00D54EBB">
        <w:t>, the city management</w:t>
      </w:r>
      <w:r>
        <w:t xml:space="preserve"> support systems</w:t>
      </w:r>
      <w:r w:rsidR="00D54EBB">
        <w:t xml:space="preserve"> must comply </w:t>
      </w:r>
      <w:r>
        <w:t xml:space="preserve">with </w:t>
      </w:r>
      <w:r w:rsidR="00D54EBB">
        <w:t xml:space="preserve">the EA and the interoperability principles. </w:t>
      </w:r>
      <w:r>
        <w:t>This</w:t>
      </w:r>
      <w:r w:rsidR="00D54EBB">
        <w:t xml:space="preserve"> </w:t>
      </w:r>
      <w:r w:rsidR="00123B2B">
        <w:t>is</w:t>
      </w:r>
      <w:r w:rsidR="00D54EBB">
        <w:t xml:space="preserve"> </w:t>
      </w:r>
      <w:r w:rsidR="00BB232B">
        <w:t xml:space="preserve">being </w:t>
      </w:r>
      <w:r w:rsidR="00D54EBB">
        <w:t xml:space="preserve">achieved through </w:t>
      </w:r>
      <w:r>
        <w:t>an ongoing</w:t>
      </w:r>
      <w:r w:rsidR="00D54EBB">
        <w:t xml:space="preserve"> change process</w:t>
      </w:r>
      <w:r>
        <w:t xml:space="preserve"> </w:t>
      </w:r>
      <w:r w:rsidR="00BB232B">
        <w:t>in which</w:t>
      </w:r>
      <w:r w:rsidR="00D54EBB">
        <w:t xml:space="preserve"> the systems </w:t>
      </w:r>
      <w:r w:rsidR="00BB232B">
        <w:t xml:space="preserve">are classified </w:t>
      </w:r>
      <w:r w:rsidR="00D54EBB">
        <w:t>in</w:t>
      </w:r>
      <w:r w:rsidR="00123B2B">
        <w:t>to</w:t>
      </w:r>
      <w:r w:rsidR="00D54EBB">
        <w:t xml:space="preserve"> macro-categories representing </w:t>
      </w:r>
      <w:r>
        <w:t>the different</w:t>
      </w:r>
      <w:r w:rsidR="00423C50">
        <w:t xml:space="preserve"> aspect</w:t>
      </w:r>
      <w:r>
        <w:t>s</w:t>
      </w:r>
      <w:r w:rsidR="00423C50">
        <w:t xml:space="preserve"> of city management</w:t>
      </w:r>
      <w:r w:rsidR="00123B2B">
        <w:t>,</w:t>
      </w:r>
      <w:r>
        <w:t xml:space="preserve"> and </w:t>
      </w:r>
      <w:r w:rsidR="00423C50">
        <w:t>their data assets and interoperability</w:t>
      </w:r>
      <w:r w:rsidR="00BB232B">
        <w:t xml:space="preserve"> are assessed</w:t>
      </w:r>
      <w:r>
        <w:t>.</w:t>
      </w:r>
      <w:r w:rsidR="00423C50">
        <w:t xml:space="preserve"> </w:t>
      </w:r>
      <w:r>
        <w:t>The resulting</w:t>
      </w:r>
      <w:r w:rsidR="00423C50">
        <w:t xml:space="preserve"> change process</w:t>
      </w:r>
      <w:r>
        <w:t xml:space="preserve"> for each system</w:t>
      </w:r>
      <w:r w:rsidR="00423C50">
        <w:t xml:space="preserve"> </w:t>
      </w:r>
      <w:r>
        <w:t>is then ranked by priority.</w:t>
      </w:r>
    </w:p>
    <w:p w14:paraId="39C9CEB1" w14:textId="77777777" w:rsidR="00423C50" w:rsidRDefault="00423C50" w:rsidP="00423C50">
      <w:pPr>
        <w:pStyle w:val="Heading2"/>
        <w:tabs>
          <w:tab w:val="clear" w:pos="1080"/>
          <w:tab w:val="num" w:pos="482"/>
        </w:tabs>
        <w:ind w:left="482" w:hanging="482"/>
      </w:pPr>
      <w:r>
        <w:t>Innovation projects</w:t>
      </w:r>
    </w:p>
    <w:p w14:paraId="0E0B2283" w14:textId="14A6B104" w:rsidR="00423C50" w:rsidRPr="00423C50" w:rsidRDefault="00233770" w:rsidP="00423C50">
      <w:r>
        <w:t>The</w:t>
      </w:r>
      <w:r w:rsidR="00423C50">
        <w:t xml:space="preserve"> </w:t>
      </w:r>
      <w:r>
        <w:t xml:space="preserve">envisaged </w:t>
      </w:r>
      <w:r w:rsidR="00423C50">
        <w:t>innovation projects</w:t>
      </w:r>
      <w:r>
        <w:t xml:space="preserve"> include</w:t>
      </w:r>
      <w:r w:rsidR="00423C50">
        <w:t xml:space="preserve"> a system interoperability platform; use of artificial intelligence to improve user experience and system efficiency; an open data platform and integrated statistical system; a data lake with master data management;</w:t>
      </w:r>
      <w:r>
        <w:t xml:space="preserve"> and</w:t>
      </w:r>
      <w:r w:rsidR="00423C50">
        <w:t xml:space="preserve"> a comprehensive </w:t>
      </w:r>
      <w:r>
        <w:t>geo</w:t>
      </w:r>
      <w:r w:rsidR="00423C50">
        <w:t>-intelligence portal, to be used for both data dissemination and operational purposes.</w:t>
      </w:r>
    </w:p>
    <w:p w14:paraId="5C37B6A2" w14:textId="77777777" w:rsidR="00BC6AFE" w:rsidRDefault="00BC6AFE" w:rsidP="00BC6AFE">
      <w:pPr>
        <w:pStyle w:val="Heading1"/>
      </w:pPr>
      <w:r>
        <w:t>Results</w:t>
      </w:r>
    </w:p>
    <w:p w14:paraId="606643C9" w14:textId="167016E6" w:rsidR="007736CC" w:rsidRDefault="0045717A" w:rsidP="007736CC">
      <w:r>
        <w:t xml:space="preserve">The “new </w:t>
      </w:r>
      <w:r w:rsidR="00233770">
        <w:t xml:space="preserve">IT </w:t>
      </w:r>
      <w:r>
        <w:t xml:space="preserve">deal” at </w:t>
      </w:r>
      <w:r w:rsidR="00A05995">
        <w:t>Municipality of</w:t>
      </w:r>
      <w:r>
        <w:t xml:space="preserve"> Milan started in </w:t>
      </w:r>
      <w:r w:rsidR="00233770">
        <w:t>late</w:t>
      </w:r>
      <w:r>
        <w:t xml:space="preserve"> 2017. The main results achieved </w:t>
      </w:r>
      <w:r w:rsidR="00233770">
        <w:t>to date</w:t>
      </w:r>
      <w:r>
        <w:t xml:space="preserve"> in the interoperability, data management and integration areas</w:t>
      </w:r>
      <w:r w:rsidR="00BB232B">
        <w:t xml:space="preserve"> are as follows</w:t>
      </w:r>
      <w:r>
        <w:t>:</w:t>
      </w:r>
    </w:p>
    <w:p w14:paraId="4E43552E" w14:textId="652B2655" w:rsidR="00AF4405" w:rsidRDefault="00AF4405" w:rsidP="0045717A">
      <w:pPr>
        <w:pStyle w:val="ListParagraph"/>
        <w:numPr>
          <w:ilvl w:val="0"/>
          <w:numId w:val="26"/>
        </w:numPr>
      </w:pPr>
      <w:r>
        <w:t xml:space="preserve">The open data portal is in place, </w:t>
      </w:r>
      <w:r w:rsidR="00233770">
        <w:t xml:space="preserve">and </w:t>
      </w:r>
      <w:r>
        <w:t>currently contains more than 430 datasets</w:t>
      </w:r>
      <w:r w:rsidR="002F1907">
        <w:t xml:space="preserve"> and a special section publishing </w:t>
      </w:r>
      <w:r w:rsidR="004E69FB">
        <w:t>graphical representations of the municipal budget</w:t>
      </w:r>
      <w:r w:rsidR="00233770">
        <w:t>;</w:t>
      </w:r>
      <w:r w:rsidR="004E69FB">
        <w:t xml:space="preserve"> </w:t>
      </w:r>
    </w:p>
    <w:p w14:paraId="0827936A" w14:textId="77777777" w:rsidR="00AF4405" w:rsidRDefault="00AF4405" w:rsidP="0045717A">
      <w:pPr>
        <w:pStyle w:val="ListParagraph"/>
        <w:numPr>
          <w:ilvl w:val="0"/>
          <w:numId w:val="26"/>
        </w:numPr>
      </w:pPr>
      <w:r>
        <w:t xml:space="preserve">The </w:t>
      </w:r>
      <w:r w:rsidR="00233770">
        <w:t xml:space="preserve">geoportal has </w:t>
      </w:r>
      <w:r>
        <w:t>implemented about 20 new applications</w:t>
      </w:r>
      <w:r w:rsidR="00233770">
        <w:t>;</w:t>
      </w:r>
    </w:p>
    <w:p w14:paraId="714F0AD8" w14:textId="77777777" w:rsidR="0045717A" w:rsidRDefault="0045717A" w:rsidP="0045717A">
      <w:pPr>
        <w:pStyle w:val="ListParagraph"/>
        <w:numPr>
          <w:ilvl w:val="0"/>
          <w:numId w:val="26"/>
        </w:numPr>
      </w:pPr>
      <w:r>
        <w:t>The interoperability platform is in place</w:t>
      </w:r>
      <w:r w:rsidR="00AF4405">
        <w:t xml:space="preserve">, </w:t>
      </w:r>
      <w:r w:rsidR="00233770">
        <w:t xml:space="preserve">and </w:t>
      </w:r>
      <w:r w:rsidR="00AF4405">
        <w:t>its API store contains 20 interfaces to operational systems and experimental platforms</w:t>
      </w:r>
      <w:r w:rsidR="00233770">
        <w:t>;</w:t>
      </w:r>
    </w:p>
    <w:p w14:paraId="005FE94C" w14:textId="42F00175" w:rsidR="0045717A" w:rsidRDefault="0045717A" w:rsidP="0045717A">
      <w:pPr>
        <w:pStyle w:val="ListParagraph"/>
        <w:numPr>
          <w:ilvl w:val="0"/>
          <w:numId w:val="26"/>
        </w:numPr>
      </w:pPr>
      <w:r>
        <w:t xml:space="preserve">The data lake is in place, </w:t>
      </w:r>
      <w:r w:rsidR="00233770">
        <w:t xml:space="preserve">and </w:t>
      </w:r>
      <w:r>
        <w:t xml:space="preserve">data ingestion </w:t>
      </w:r>
      <w:r w:rsidR="00233770">
        <w:t xml:space="preserve">has been </w:t>
      </w:r>
      <w:r>
        <w:t xml:space="preserve">completed for </w:t>
      </w:r>
      <w:r w:rsidR="00233770">
        <w:t>several</w:t>
      </w:r>
      <w:r>
        <w:t xml:space="preserve"> systems and </w:t>
      </w:r>
      <w:r w:rsidR="00233770">
        <w:t xml:space="preserve">is </w:t>
      </w:r>
      <w:r>
        <w:t xml:space="preserve">ongoing for </w:t>
      </w:r>
      <w:r w:rsidR="00233770">
        <w:t>several</w:t>
      </w:r>
      <w:r>
        <w:t xml:space="preserve"> more</w:t>
      </w:r>
      <w:r w:rsidR="00233770">
        <w:t>;</w:t>
      </w:r>
    </w:p>
    <w:p w14:paraId="7A85C094" w14:textId="63334A6F" w:rsidR="0045717A" w:rsidRDefault="0045717A" w:rsidP="0045717A">
      <w:pPr>
        <w:pStyle w:val="ListParagraph"/>
        <w:numPr>
          <w:ilvl w:val="0"/>
          <w:numId w:val="26"/>
        </w:numPr>
      </w:pPr>
      <w:r>
        <w:t xml:space="preserve">A set of indicators on the international economic placement of Milan </w:t>
      </w:r>
      <w:r w:rsidR="00233770">
        <w:t xml:space="preserve">has </w:t>
      </w:r>
      <w:r>
        <w:t>been published in the Osservatorio Milano website (</w:t>
      </w:r>
      <w:hyperlink r:id="rId11" w:history="1">
        <w:r w:rsidRPr="00EA0E21">
          <w:rPr>
            <w:rStyle w:val="Hyperlink"/>
          </w:rPr>
          <w:t>https://www.osservatoriomilanoscoreboard.it/</w:t>
        </w:r>
      </w:hyperlink>
      <w:r>
        <w:t>, in Italian)</w:t>
      </w:r>
      <w:r w:rsidR="00BB232B">
        <w:t>;</w:t>
      </w:r>
    </w:p>
    <w:p w14:paraId="7839E1E7" w14:textId="1AA6D998" w:rsidR="0045717A" w:rsidRDefault="00233770" w:rsidP="0045717A">
      <w:pPr>
        <w:pStyle w:val="ListParagraph"/>
        <w:numPr>
          <w:ilvl w:val="0"/>
          <w:numId w:val="26"/>
        </w:numPr>
      </w:pPr>
      <w:r>
        <w:t>Some</w:t>
      </w:r>
      <w:r w:rsidR="005318CF">
        <w:t xml:space="preserve"> operational dashboards have been developed to help improve internal processes in the customer relations and human resource projects</w:t>
      </w:r>
      <w:r>
        <w:t>;</w:t>
      </w:r>
    </w:p>
    <w:p w14:paraId="5F9C57F9" w14:textId="0DF65F82" w:rsidR="004E69FB" w:rsidRPr="007736CC" w:rsidRDefault="004E69FB" w:rsidP="0045717A">
      <w:pPr>
        <w:pStyle w:val="ListParagraph"/>
        <w:numPr>
          <w:ilvl w:val="0"/>
          <w:numId w:val="26"/>
        </w:numPr>
      </w:pPr>
      <w:r>
        <w:t xml:space="preserve">A </w:t>
      </w:r>
      <w:r w:rsidR="00BB232B">
        <w:t>“</w:t>
      </w:r>
      <w:r>
        <w:t>big data</w:t>
      </w:r>
      <w:r w:rsidR="00BB232B">
        <w:t>”</w:t>
      </w:r>
      <w:r>
        <w:t xml:space="preserve"> project </w:t>
      </w:r>
      <w:r w:rsidR="00233770">
        <w:t xml:space="preserve">has </w:t>
      </w:r>
      <w:r>
        <w:t xml:space="preserve">helped to </w:t>
      </w:r>
      <w:r w:rsidR="00233770">
        <w:t xml:space="preserve">identify </w:t>
      </w:r>
      <w:r>
        <w:t xml:space="preserve">weak points in the fine </w:t>
      </w:r>
      <w:r w:rsidR="00A9587D">
        <w:t>levying process</w:t>
      </w:r>
      <w:r w:rsidR="00233770">
        <w:t>.</w:t>
      </w:r>
    </w:p>
    <w:p w14:paraId="0BE7CB72" w14:textId="77777777" w:rsidR="00BC6AFE" w:rsidRDefault="00BC6AFE" w:rsidP="00BC6AFE">
      <w:pPr>
        <w:pStyle w:val="Heading1"/>
      </w:pPr>
      <w:r>
        <w:t>Conclusions</w:t>
      </w:r>
    </w:p>
    <w:p w14:paraId="56747BAD" w14:textId="77777777" w:rsidR="00A9587D" w:rsidRDefault="00C43156" w:rsidP="00C43156">
      <w:pPr>
        <w:rPr>
          <w:noProof/>
        </w:rPr>
      </w:pPr>
      <w:r w:rsidRPr="00C43156">
        <w:rPr>
          <w:noProof/>
        </w:rPr>
        <w:t xml:space="preserve">The </w:t>
      </w:r>
      <w:r w:rsidRPr="00C43156">
        <w:t>following</w:t>
      </w:r>
      <w:r w:rsidRPr="00C43156">
        <w:rPr>
          <w:noProof/>
        </w:rPr>
        <w:t xml:space="preserve"> </w:t>
      </w:r>
      <w:r>
        <w:rPr>
          <w:noProof/>
        </w:rPr>
        <w:t>figure depicts the data governance architecture.</w:t>
      </w:r>
    </w:p>
    <w:p w14:paraId="4DB97C94" w14:textId="77777777" w:rsidR="008C3455" w:rsidRPr="008847C3" w:rsidRDefault="00C43156" w:rsidP="00A9587D">
      <w:pPr>
        <w:pStyle w:val="Text1"/>
        <w:rPr>
          <w:highlight w:val="green"/>
        </w:rPr>
      </w:pPr>
      <w:r w:rsidRPr="00C43156">
        <w:rPr>
          <w:noProof/>
          <w:lang w:val="fr-BE" w:eastAsia="fr-BE"/>
        </w:rPr>
        <w:lastRenderedPageBreak/>
        <w:drawing>
          <wp:inline distT="0" distB="0" distL="0" distR="0" wp14:anchorId="36DB3456" wp14:editId="127394A5">
            <wp:extent cx="5026563" cy="2967256"/>
            <wp:effectExtent l="19050" t="19050" r="22225" b="2413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59155" cy="2986495"/>
                    </a:xfrm>
                    <a:prstGeom prst="rect">
                      <a:avLst/>
                    </a:prstGeom>
                    <a:noFill/>
                    <a:ln>
                      <a:solidFill>
                        <a:schemeClr val="accent1"/>
                      </a:solidFill>
                    </a:ln>
                  </pic:spPr>
                </pic:pic>
              </a:graphicData>
            </a:graphic>
          </wp:inline>
        </w:drawing>
      </w:r>
    </w:p>
    <w:p w14:paraId="5FED26B6" w14:textId="77777777" w:rsidR="00A9587D" w:rsidRDefault="00A9587D" w:rsidP="00A9587D">
      <w:pPr>
        <w:pStyle w:val="Caption"/>
      </w:pPr>
      <w:r w:rsidRPr="00C43156">
        <w:t xml:space="preserve">Figure </w:t>
      </w:r>
      <w:r w:rsidRPr="00C43156">
        <w:fldChar w:fldCharType="begin"/>
      </w:r>
      <w:r w:rsidRPr="00C43156">
        <w:instrText xml:space="preserve"> SEQ Figure \* ARABIC </w:instrText>
      </w:r>
      <w:r w:rsidRPr="00C43156">
        <w:fldChar w:fldCharType="separate"/>
      </w:r>
      <w:r w:rsidRPr="00C43156">
        <w:rPr>
          <w:noProof/>
        </w:rPr>
        <w:t>1</w:t>
      </w:r>
      <w:r w:rsidRPr="00C43156">
        <w:fldChar w:fldCharType="end"/>
      </w:r>
      <w:r w:rsidRPr="00C43156">
        <w:t xml:space="preserve">. </w:t>
      </w:r>
      <w:r w:rsidR="00C43156" w:rsidRPr="00C43156">
        <w:t>Data governance</w:t>
      </w:r>
    </w:p>
    <w:p w14:paraId="27F2F201" w14:textId="77777777" w:rsidR="00A9587D" w:rsidRDefault="00A9587D" w:rsidP="00A9587D"/>
    <w:p w14:paraId="2E3ADAB2" w14:textId="49DBF4DC" w:rsidR="00A9587D" w:rsidRDefault="00C43156" w:rsidP="00BC6AFE">
      <w:r>
        <w:t>Data from the various source</w:t>
      </w:r>
      <w:r w:rsidR="00172D1D">
        <w:t>s</w:t>
      </w:r>
      <w:r>
        <w:t xml:space="preserve"> flow towards the data lake through the APIs. The data lake is divided into a “deep lake”, where data </w:t>
      </w:r>
      <w:r w:rsidR="00BB232B">
        <w:t>arrive</w:t>
      </w:r>
      <w:r>
        <w:t xml:space="preserve"> and are enriched by operational metadata in </w:t>
      </w:r>
      <w:r w:rsidR="00AE2743">
        <w:t xml:space="preserve">a </w:t>
      </w:r>
      <w:r>
        <w:t>semi-automatic way</w:t>
      </w:r>
      <w:r w:rsidR="00B875D6">
        <w:t xml:space="preserve">, and a “smart lake”, where </w:t>
      </w:r>
      <w:r w:rsidR="00AE2743">
        <w:t xml:space="preserve">they </w:t>
      </w:r>
      <w:r w:rsidR="00B875D6">
        <w:t xml:space="preserve">will be integrated according to a model which is </w:t>
      </w:r>
      <w:r w:rsidR="00AE2743">
        <w:t xml:space="preserve">currently </w:t>
      </w:r>
      <w:r w:rsidR="00B875D6">
        <w:t xml:space="preserve">being defined. </w:t>
      </w:r>
    </w:p>
    <w:p w14:paraId="22E49956" w14:textId="3DF47BFC" w:rsidR="00B875D6" w:rsidRPr="00C43156" w:rsidRDefault="00AE2743" w:rsidP="00BC6AFE">
      <w:r>
        <w:t xml:space="preserve">The </w:t>
      </w:r>
      <w:r w:rsidR="00B875D6">
        <w:t>data-centred projects</w:t>
      </w:r>
      <w:r>
        <w:t xml:space="preserve"> currently</w:t>
      </w:r>
      <w:r w:rsidR="00B875D6">
        <w:t xml:space="preserve"> </w:t>
      </w:r>
      <w:r>
        <w:t xml:space="preserve">either </w:t>
      </w:r>
      <w:r w:rsidR="00B875D6">
        <w:t xml:space="preserve">use </w:t>
      </w:r>
      <w:r>
        <w:t>a single</w:t>
      </w:r>
      <w:r w:rsidR="00B875D6">
        <w:t xml:space="preserve"> data source or integrate data sources on a case by case basis.</w:t>
      </w:r>
    </w:p>
    <w:sectPr w:rsidR="00B875D6" w:rsidRPr="00C43156" w:rsidSect="00BC6AFE">
      <w:footerReference w:type="default" r:id="rId13"/>
      <w:headerReference w:type="first" r:id="rId14"/>
      <w:footerReference w:type="first" r:id="rId15"/>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12AC6" w14:textId="77777777" w:rsidR="00412D3F" w:rsidRDefault="00412D3F" w:rsidP="00BC6AFE">
      <w:pPr>
        <w:spacing w:after="0"/>
      </w:pPr>
      <w:r>
        <w:separator/>
      </w:r>
    </w:p>
  </w:endnote>
  <w:endnote w:type="continuationSeparator" w:id="0">
    <w:p w14:paraId="021E388B" w14:textId="77777777" w:rsidR="00412D3F" w:rsidRDefault="00412D3F"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8DD4B" w14:textId="1C01F63E" w:rsidR="00D24082" w:rsidRDefault="00D24082">
    <w:pPr>
      <w:pStyle w:val="Footer"/>
      <w:jc w:val="center"/>
    </w:pPr>
    <w:r>
      <w:fldChar w:fldCharType="begin"/>
    </w:r>
    <w:r>
      <w:instrText>PAGE</w:instrText>
    </w:r>
    <w:r>
      <w:fldChar w:fldCharType="separate"/>
    </w:r>
    <w:r w:rsidR="00262D22">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5C2FA" w14:textId="77777777" w:rsidR="00D24082" w:rsidRDefault="00D24082">
    <w:pPr>
      <w:pStyle w:val="Footer"/>
      <w:rPr>
        <w:sz w:val="24"/>
        <w:szCs w:val="24"/>
      </w:rPr>
    </w:pPr>
  </w:p>
  <w:p w14:paraId="0D95A696" w14:textId="77777777" w:rsidR="00D24082" w:rsidRDefault="00D24082">
    <w:pPr>
      <w:pStyle w:val="Footer"/>
    </w:pPr>
    <w:r w:rsidRPr="00BC6AFE">
      <w:rPr>
        <w:lang w:val="fr-FR"/>
      </w:rPr>
      <w:t xml:space="preserve">Commission européenne, 2920 Luxembourg, LUXEMBOURG - Tel. </w:t>
    </w:r>
    <w:r>
      <w:t>+352 43011</w:t>
    </w:r>
    <w:r>
      <w:rPr>
        <w:noProof/>
      </w:rPr>
      <w:br/>
      <w:t>Office: BECH A2/160 - Tel. direct line +352 4301-+352-4301-35934 - Fax +352 4301-+352-4301-33899</w:t>
    </w:r>
  </w:p>
  <w:p w14:paraId="41247556" w14:textId="77777777" w:rsidR="00D24082" w:rsidRDefault="00D24082">
    <w:pPr>
      <w:pStyle w:val="Footer"/>
    </w:pPr>
  </w:p>
  <w:p w14:paraId="2EB64636" w14:textId="77777777" w:rsidR="00D24082" w:rsidRDefault="00D24082">
    <w:pPr>
      <w:pStyle w:val="Footer"/>
    </w:pPr>
    <w:r>
      <w:t>http://epp.eurostat.ec.europa.eu</w:t>
    </w:r>
  </w:p>
  <w:p w14:paraId="21B05F3C" w14:textId="77777777" w:rsidR="00D24082" w:rsidRDefault="00D24082">
    <w:pPr>
      <w:pStyle w:val="Footer"/>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954B0" w14:textId="77777777" w:rsidR="00412D3F" w:rsidRDefault="00412D3F" w:rsidP="00BC6AFE">
      <w:pPr>
        <w:spacing w:after="0"/>
      </w:pPr>
      <w:r>
        <w:separator/>
      </w:r>
    </w:p>
  </w:footnote>
  <w:footnote w:type="continuationSeparator" w:id="0">
    <w:p w14:paraId="03111D27" w14:textId="77777777" w:rsidR="00412D3F" w:rsidRDefault="00412D3F" w:rsidP="00BC6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D4C99" w14:textId="77777777" w:rsidR="00D24082" w:rsidRDefault="00D2408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 w15:restartNumberingAfterBreak="0">
    <w:nsid w:val="35B34EC2"/>
    <w:multiLevelType w:val="hybridMultilevel"/>
    <w:tmpl w:val="51B26B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0"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6" w15:restartNumberingAfterBreak="0">
    <w:nsid w:val="61484DBB"/>
    <w:multiLevelType w:val="hybridMultilevel"/>
    <w:tmpl w:val="996AEA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1" w15:restartNumberingAfterBreak="0">
    <w:nsid w:val="6E61479A"/>
    <w:multiLevelType w:val="hybridMultilevel"/>
    <w:tmpl w:val="33C2F686"/>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22" w15:restartNumberingAfterBreak="0">
    <w:nsid w:val="78C73624"/>
    <w:multiLevelType w:val="hybridMultilevel"/>
    <w:tmpl w:val="9FC847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4"/>
  </w:num>
  <w:num w:numId="4">
    <w:abstractNumId w:val="15"/>
  </w:num>
  <w:num w:numId="5">
    <w:abstractNumId w:val="9"/>
  </w:num>
  <w:num w:numId="6">
    <w:abstractNumId w:val="7"/>
  </w:num>
  <w:num w:numId="7">
    <w:abstractNumId w:val="5"/>
  </w:num>
  <w:num w:numId="8">
    <w:abstractNumId w:val="4"/>
  </w:num>
  <w:num w:numId="9">
    <w:abstractNumId w:val="17"/>
  </w:num>
  <w:num w:numId="10">
    <w:abstractNumId w:val="19"/>
  </w:num>
  <w:num w:numId="11">
    <w:abstractNumId w:val="18"/>
  </w:num>
  <w:num w:numId="12">
    <w:abstractNumId w:val="20"/>
  </w:num>
  <w:num w:numId="13">
    <w:abstractNumId w:val="6"/>
  </w:num>
  <w:num w:numId="14">
    <w:abstractNumId w:val="10"/>
  </w:num>
  <w:num w:numId="15">
    <w:abstractNumId w:val="12"/>
  </w:num>
  <w:num w:numId="16">
    <w:abstractNumId w:val="11"/>
  </w:num>
  <w:num w:numId="17">
    <w:abstractNumId w:val="2"/>
  </w:num>
  <w:num w:numId="18">
    <w:abstractNumId w:val="13"/>
  </w:num>
  <w:num w:numId="19">
    <w:abstractNumId w:val="14"/>
  </w:num>
  <w:num w:numId="20">
    <w:abstractNumId w:val="3"/>
  </w:num>
  <w:num w:numId="21">
    <w:abstractNumId w:val="22"/>
  </w:num>
  <w:num w:numId="22">
    <w:abstractNumId w:val="16"/>
  </w:num>
  <w:num w:numId="23">
    <w:abstractNumId w:val="21"/>
  </w:num>
  <w:num w:numId="24">
    <w:abstractNumId w:val="14"/>
  </w:num>
  <w:num w:numId="25">
    <w:abstractNumId w:val="14"/>
  </w:num>
  <w:num w:numId="26">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106285"/>
    <w:rsid w:val="000642A1"/>
    <w:rsid w:val="000827EA"/>
    <w:rsid w:val="000A6CCC"/>
    <w:rsid w:val="000F7438"/>
    <w:rsid w:val="00106285"/>
    <w:rsid w:val="00123B2B"/>
    <w:rsid w:val="00127067"/>
    <w:rsid w:val="00172D1D"/>
    <w:rsid w:val="001857CF"/>
    <w:rsid w:val="001B50CE"/>
    <w:rsid w:val="001D23D9"/>
    <w:rsid w:val="002012A8"/>
    <w:rsid w:val="00217CEF"/>
    <w:rsid w:val="00233770"/>
    <w:rsid w:val="00243A2C"/>
    <w:rsid w:val="00262D22"/>
    <w:rsid w:val="002F1907"/>
    <w:rsid w:val="002F7684"/>
    <w:rsid w:val="00332D6F"/>
    <w:rsid w:val="003C26DA"/>
    <w:rsid w:val="003D30B8"/>
    <w:rsid w:val="004054F0"/>
    <w:rsid w:val="00412D3F"/>
    <w:rsid w:val="00423C50"/>
    <w:rsid w:val="0045717A"/>
    <w:rsid w:val="00465229"/>
    <w:rsid w:val="004E69FB"/>
    <w:rsid w:val="005019A0"/>
    <w:rsid w:val="005318CF"/>
    <w:rsid w:val="00573E28"/>
    <w:rsid w:val="00577FFA"/>
    <w:rsid w:val="0058662A"/>
    <w:rsid w:val="005B4EA5"/>
    <w:rsid w:val="006312AF"/>
    <w:rsid w:val="0068720B"/>
    <w:rsid w:val="006875D6"/>
    <w:rsid w:val="007736CC"/>
    <w:rsid w:val="007D5D0D"/>
    <w:rsid w:val="00820BDC"/>
    <w:rsid w:val="008847C3"/>
    <w:rsid w:val="008A75D0"/>
    <w:rsid w:val="008C3455"/>
    <w:rsid w:val="008E29ED"/>
    <w:rsid w:val="00923850"/>
    <w:rsid w:val="00967E89"/>
    <w:rsid w:val="009A41E5"/>
    <w:rsid w:val="009B4EE0"/>
    <w:rsid w:val="00A05995"/>
    <w:rsid w:val="00A17E8C"/>
    <w:rsid w:val="00A5522A"/>
    <w:rsid w:val="00A946D2"/>
    <w:rsid w:val="00A9587D"/>
    <w:rsid w:val="00AB4423"/>
    <w:rsid w:val="00AE2743"/>
    <w:rsid w:val="00AF4405"/>
    <w:rsid w:val="00B70C6D"/>
    <w:rsid w:val="00B875D6"/>
    <w:rsid w:val="00B9492F"/>
    <w:rsid w:val="00BB232B"/>
    <w:rsid w:val="00BC17F5"/>
    <w:rsid w:val="00BC6AFE"/>
    <w:rsid w:val="00C43156"/>
    <w:rsid w:val="00C5092C"/>
    <w:rsid w:val="00C545E5"/>
    <w:rsid w:val="00C70122"/>
    <w:rsid w:val="00CD1B9A"/>
    <w:rsid w:val="00D24082"/>
    <w:rsid w:val="00D52EA1"/>
    <w:rsid w:val="00D54EBB"/>
    <w:rsid w:val="00DB601E"/>
    <w:rsid w:val="00E67AAB"/>
    <w:rsid w:val="00ED08BE"/>
    <w:rsid w:val="00F80E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11779A"/>
  <w15:chartTrackingRefBased/>
  <w15:docId w15:val="{1CCEEA0F-A18F-4323-9DB1-8CCD204F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EA1"/>
    <w:pPr>
      <w:spacing w:after="240"/>
      <w:jc w:val="both"/>
    </w:pPr>
    <w:rPr>
      <w:sz w:val="24"/>
      <w:lang w:val="en-GB"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BC6AFE"/>
    <w:rPr>
      <w:rFonts w:ascii="Arial" w:hAnsi="Arial"/>
      <w:sz w:val="16"/>
      <w:lang w:eastAsia="en-US"/>
    </w:rPr>
  </w:style>
  <w:style w:type="character" w:customStyle="1" w:styleId="DateChar">
    <w:name w:val="Date Char"/>
    <w:link w:val="Date"/>
    <w:uiPriority w:val="99"/>
    <w:rsid w:val="00BC6AFE"/>
    <w:rPr>
      <w:sz w:val="24"/>
      <w:lang w:eastAsia="en-US"/>
    </w:rPr>
  </w:style>
  <w:style w:type="character" w:customStyle="1" w:styleId="SignatureChar">
    <w:name w:val="Signature Char"/>
    <w:link w:val="Signature"/>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BC6AFE"/>
    <w:rPr>
      <w:sz w:val="24"/>
      <w:lang w:eastAsia="en-US"/>
    </w:rPr>
  </w:style>
  <w:style w:type="character" w:customStyle="1" w:styleId="Heading2Char">
    <w:name w:val="Heading 2 Char"/>
    <w:link w:val="Heading2"/>
    <w:rsid w:val="00BC6AFE"/>
    <w:rPr>
      <w:b/>
      <w:sz w:val="24"/>
      <w:lang w:eastAsia="en-US"/>
    </w:rPr>
  </w:style>
  <w:style w:type="character" w:customStyle="1" w:styleId="Heading1Char">
    <w:name w:val="Heading 1 Char"/>
    <w:link w:val="Heading1"/>
    <w:rsid w:val="00BC6AFE"/>
    <w:rPr>
      <w:b/>
      <w:smallCaps/>
      <w:sz w:val="24"/>
      <w:lang w:eastAsia="en-US"/>
    </w:rPr>
  </w:style>
  <w:style w:type="table" w:styleId="TableGrid">
    <w:name w:val="Table Grid"/>
    <w:basedOn w:val="Table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7EA"/>
    <w:pPr>
      <w:ind w:left="720"/>
      <w:contextualSpacing/>
    </w:pPr>
  </w:style>
  <w:style w:type="character" w:styleId="Hyperlink">
    <w:name w:val="Hyperlink"/>
    <w:basedOn w:val="DefaultParagraphFont"/>
    <w:uiPriority w:val="99"/>
    <w:unhideWhenUsed/>
    <w:rsid w:val="0045717A"/>
    <w:rPr>
      <w:color w:val="0563C1" w:themeColor="hyperlink"/>
      <w:u w:val="single"/>
    </w:rPr>
  </w:style>
  <w:style w:type="character" w:customStyle="1" w:styleId="UnresolvedMention">
    <w:name w:val="Unresolved Mention"/>
    <w:basedOn w:val="DefaultParagraphFont"/>
    <w:uiPriority w:val="99"/>
    <w:semiHidden/>
    <w:unhideWhenUsed/>
    <w:rsid w:val="0045717A"/>
    <w:rPr>
      <w:color w:val="808080"/>
      <w:shd w:val="clear" w:color="auto" w:fill="E6E6E6"/>
    </w:rPr>
  </w:style>
  <w:style w:type="paragraph" w:styleId="BalloonText">
    <w:name w:val="Balloon Text"/>
    <w:basedOn w:val="Normal"/>
    <w:link w:val="BalloonTextChar"/>
    <w:uiPriority w:val="99"/>
    <w:semiHidden/>
    <w:unhideWhenUsed/>
    <w:rsid w:val="002F768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684"/>
    <w:rPr>
      <w:rFonts w:ascii="Segoe UI" w:hAnsi="Segoe UI" w:cs="Segoe UI"/>
      <w:sz w:val="18"/>
      <w:szCs w:val="18"/>
      <w:lang w:val="en-GB" w:eastAsia="en-US"/>
    </w:rPr>
  </w:style>
  <w:style w:type="character" w:styleId="CommentReference">
    <w:name w:val="annotation reference"/>
    <w:basedOn w:val="DefaultParagraphFont"/>
    <w:uiPriority w:val="99"/>
    <w:semiHidden/>
    <w:unhideWhenUsed/>
    <w:rsid w:val="002F7684"/>
    <w:rPr>
      <w:sz w:val="16"/>
      <w:szCs w:val="16"/>
    </w:rPr>
  </w:style>
  <w:style w:type="paragraph" w:styleId="CommentSubject">
    <w:name w:val="annotation subject"/>
    <w:basedOn w:val="CommentText"/>
    <w:next w:val="CommentText"/>
    <w:link w:val="CommentSubjectChar"/>
    <w:uiPriority w:val="99"/>
    <w:semiHidden/>
    <w:unhideWhenUsed/>
    <w:rsid w:val="002F7684"/>
    <w:rPr>
      <w:b/>
      <w:bCs/>
    </w:rPr>
  </w:style>
  <w:style w:type="character" w:customStyle="1" w:styleId="CommentTextChar">
    <w:name w:val="Comment Text Char"/>
    <w:basedOn w:val="DefaultParagraphFont"/>
    <w:link w:val="CommentText"/>
    <w:semiHidden/>
    <w:rsid w:val="002F7684"/>
    <w:rPr>
      <w:lang w:val="en-GB" w:eastAsia="en-US"/>
    </w:rPr>
  </w:style>
  <w:style w:type="character" w:customStyle="1" w:styleId="CommentSubjectChar">
    <w:name w:val="Comment Subject Char"/>
    <w:basedOn w:val="CommentTextChar"/>
    <w:link w:val="CommentSubject"/>
    <w:uiPriority w:val="99"/>
    <w:semiHidden/>
    <w:rsid w:val="002F7684"/>
    <w:rPr>
      <w:b/>
      <w:bCs/>
      <w:lang w:val="en-GB" w:eastAsia="en-US"/>
    </w:rPr>
  </w:style>
  <w:style w:type="paragraph" w:styleId="Revision">
    <w:name w:val="Revision"/>
    <w:hidden/>
    <w:uiPriority w:val="99"/>
    <w:semiHidden/>
    <w:rsid w:val="00C5092C"/>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sservatoriomilanoscoreboard.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3.xml><?xml version="1.0" encoding="utf-8"?>
<EurolookProperties>
  <Created>
    <Version>4.5</Version>
    <Date>2018-05-29T11:59:20</Date>
    <Language>EN</Language>
  </Created>
  <Edited>
    <Version>10.0.37441.0</Version>
    <Date>2018-05-29T12:12:44</Date>
  </Edited>
  <DocumentModel>
    <Id>0b054141-88b1-4efb-8c91-2905cb0bed6c</Id>
    <Name>Note</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162AC-773B-4BAB-A035-07FB7E4FB26B}">
  <ds:schemaRefs/>
</ds:datastoreItem>
</file>

<file path=customXml/itemProps2.xml><?xml version="1.0" encoding="utf-8"?>
<ds:datastoreItem xmlns:ds="http://schemas.openxmlformats.org/officeDocument/2006/customXml" ds:itemID="{B406C654-FE0D-4FA5-9C33-13E2F461D7CA}">
  <ds:schemaRefs/>
</ds:datastoreItem>
</file>

<file path=customXml/itemProps3.xml><?xml version="1.0" encoding="utf-8"?>
<ds:datastoreItem xmlns:ds="http://schemas.openxmlformats.org/officeDocument/2006/customXml" ds:itemID="{DEF58AF3-9929-4DC0-A819-0ADC671B5D1C}">
  <ds:schemaRefs/>
</ds:datastoreItem>
</file>

<file path=customXml/itemProps4.xml><?xml version="1.0" encoding="utf-8"?>
<ds:datastoreItem xmlns:ds="http://schemas.openxmlformats.org/officeDocument/2006/customXml" ds:itemID="{8A8A8BAE-40E1-46B3-BEFB-790797170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3</Pages>
  <Words>592</Words>
  <Characters>3578</Characters>
  <Application>Microsoft Office Word</Application>
  <DocSecurity>4</DocSecurity>
  <PresentationFormat>Microsoft Word 14.0</PresentationFormat>
  <Lines>143</Lines>
  <Paragraphs>99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European Commission</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Sindoni</dc:creator>
  <cp:keywords>EL4</cp:keywords>
  <cp:lastModifiedBy>BUONO Dario (ESTAT)</cp:lastModifiedBy>
  <cp:revision>2</cp:revision>
  <cp:lastPrinted>2018-05-29T10:06:00Z</cp:lastPrinted>
  <dcterms:created xsi:type="dcterms:W3CDTF">2018-11-13T11:44:00Z</dcterms:created>
  <dcterms:modified xsi:type="dcterms:W3CDTF">2018-11-13T11:44:00Z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