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AFE" w:rsidRDefault="00F91574" w:rsidP="00BC6AFE">
      <w:pPr>
        <w:pStyle w:val="Titel"/>
      </w:pPr>
      <w:r>
        <w:t>MARS: A method for linking barcodes and stratifying products for price index calculation</w:t>
      </w:r>
    </w:p>
    <w:p w:rsidR="00243371" w:rsidRDefault="00243371" w:rsidP="00243A2C">
      <w:pPr>
        <w:rPr>
          <w:b/>
          <w:u w:val="single"/>
        </w:rPr>
      </w:pPr>
    </w:p>
    <w:p w:rsidR="00243A2C" w:rsidRDefault="00243A2C" w:rsidP="00243A2C">
      <w:r w:rsidRPr="00243A2C">
        <w:rPr>
          <w:b/>
          <w:u w:val="single"/>
        </w:rPr>
        <w:t>Keywords</w:t>
      </w:r>
      <w:r w:rsidRPr="00243A2C">
        <w:rPr>
          <w:b/>
        </w:rPr>
        <w:t>:</w:t>
      </w:r>
      <w:r>
        <w:t xml:space="preserve"> </w:t>
      </w:r>
      <w:r w:rsidR="00B72A85" w:rsidRPr="00B72A85">
        <w:t>Transaction data, CPI, product homogeneity, GTIN, chur</w:t>
      </w:r>
      <w:r w:rsidR="00B72A85">
        <w:t>n rate</w:t>
      </w:r>
      <w:r w:rsidR="001B50CE" w:rsidRPr="00243371">
        <w:t>.</w:t>
      </w:r>
      <w:bookmarkStart w:id="0" w:name="_GoBack"/>
      <w:bookmarkEnd w:id="0"/>
    </w:p>
    <w:p w:rsidR="00BC6AFE" w:rsidRPr="001B50CE" w:rsidRDefault="00BC6AFE" w:rsidP="00BC6AFE">
      <w:pPr>
        <w:rPr>
          <w:color w:val="FF0000"/>
        </w:rPr>
      </w:pPr>
    </w:p>
    <w:p w:rsidR="002012A8" w:rsidRDefault="002012A8" w:rsidP="002012A8">
      <w:pPr>
        <w:pStyle w:val="Kop1"/>
      </w:pPr>
      <w:r>
        <w:t>Introduction</w:t>
      </w:r>
    </w:p>
    <w:p w:rsidR="003F2E49" w:rsidRDefault="003F2E49" w:rsidP="003F2E49">
      <w:r>
        <w:t xml:space="preserve">The increased availability of electronic </w:t>
      </w:r>
      <w:r w:rsidR="00302D8B">
        <w:t>transaction data for</w:t>
      </w:r>
      <w:r>
        <w:t xml:space="preserve"> the consumer price index (CPI) offers possibilities to national statistical institutes (NSIs) to enhance the quality of index numbers. More refined methods can be applied that </w:t>
      </w:r>
      <w:r w:rsidR="003403C2">
        <w:t>deal with</w:t>
      </w:r>
      <w:r>
        <w:t xml:space="preserve"> the dynamics of consumption patterns in </w:t>
      </w:r>
      <w:r w:rsidR="003403C2">
        <w:t>a more appropriate way than traditional fixed-basket methods.</w:t>
      </w:r>
      <w:r>
        <w:t xml:space="preserve"> </w:t>
      </w:r>
      <w:r w:rsidR="003403C2">
        <w:t xml:space="preserve">For instance, </w:t>
      </w:r>
      <w:r>
        <w:t>multilateral methods</w:t>
      </w:r>
      <w:r w:rsidR="003403C2">
        <w:t xml:space="preserve"> can be used to specify</w:t>
      </w:r>
      <w:r>
        <w:t xml:space="preserve"> sales based weights at </w:t>
      </w:r>
      <w:r w:rsidR="003403C2">
        <w:t>the most detailed product level and</w:t>
      </w:r>
      <w:r>
        <w:t xml:space="preserve"> new products can be </w:t>
      </w:r>
      <w:r w:rsidR="003403C2">
        <w:t>directly included in index calculations.</w:t>
      </w:r>
    </w:p>
    <w:p w:rsidR="0040049C" w:rsidRDefault="00975292" w:rsidP="003F2E49">
      <w:r>
        <w:t>Electronic transaction o</w:t>
      </w:r>
      <w:r w:rsidR="009F60D6">
        <w:t xml:space="preserve">r scanner data sets contain expenditures and quantities sold of items </w:t>
      </w:r>
      <w:r w:rsidR="004831FB">
        <w:t>purchased by consumers</w:t>
      </w:r>
      <w:r w:rsidR="009F60D6">
        <w:t xml:space="preserve"> at </w:t>
      </w:r>
      <w:r w:rsidR="004831FB">
        <w:t>physical or online sales points</w:t>
      </w:r>
      <w:r w:rsidR="009F60D6">
        <w:t xml:space="preserve"> of a retail chain.</w:t>
      </w:r>
      <w:r w:rsidR="003507C2">
        <w:t xml:space="preserve"> The sales data are often aggregated by retailers to a weekly level and are specified by the barcode or Global Trade Item Number</w:t>
      </w:r>
      <w:r>
        <w:t xml:space="preserve"> </w:t>
      </w:r>
      <w:r w:rsidR="003507C2">
        <w:t>(</w:t>
      </w:r>
      <w:r w:rsidR="003361CC">
        <w:t>GTIN</w:t>
      </w:r>
      <w:r w:rsidR="003507C2">
        <w:t>) of each individual item.</w:t>
      </w:r>
      <w:r w:rsidR="0040049C">
        <w:t xml:space="preserve"> Transaction data sets also contain characteristics, such as brand and package volume, of the items sold. While traditional price collection methods typically record prices of several tens of products in shops, electronic transaction data sets may contain several tens of thousands of items at the GTIN</w:t>
      </w:r>
      <w:r w:rsidR="007A2A85">
        <w:t xml:space="preserve"> level for a single retail chain.</w:t>
      </w:r>
    </w:p>
    <w:p w:rsidR="00987E0F" w:rsidRDefault="003E6D6D" w:rsidP="003F2E49">
      <w:r>
        <w:t>GTINs</w:t>
      </w:r>
      <w:r w:rsidR="0040049C">
        <w:t xml:space="preserve"> </w:t>
      </w:r>
      <w:r w:rsidR="003F2E49">
        <w:t xml:space="preserve">represent the most detailed product level in </w:t>
      </w:r>
      <w:r>
        <w:t>electronic transaction</w:t>
      </w:r>
      <w:r w:rsidR="003F2E49">
        <w:t xml:space="preserve"> data</w:t>
      </w:r>
      <w:r>
        <w:t xml:space="preserve"> sets</w:t>
      </w:r>
      <w:r w:rsidR="003F2E49">
        <w:t>.</w:t>
      </w:r>
      <w:r>
        <w:t xml:space="preserve"> Each item has a unique barcode. In principle, this means that NSIs are given a set of tightly defined products. The ratio of monthly expenditure and quantity sold yields a transaction price, which can be followed for each product/GTIN from month to month.</w:t>
      </w:r>
      <w:r w:rsidR="00987E0F">
        <w:t xml:space="preserve"> </w:t>
      </w:r>
      <w:r w:rsidR="00A715C0">
        <w:t>However, items may be removed from the market and reintroduced with a modified packaging, for instance, in order to fit within a retailer’s new product line. Quality characteristics of such “relaunch” items may remain the same, but the barcodes may change after reintroduction and also the price</w:t>
      </w:r>
      <w:r w:rsidR="00332350">
        <w:t>s</w:t>
      </w:r>
      <w:r w:rsidR="00A715C0">
        <w:t xml:space="preserve"> compared with the prices under the previous GTINs. The barcodes of the old and new, reintroduced items have to be linked in order to capture price changes under such relaunches.</w:t>
      </w:r>
    </w:p>
    <w:p w:rsidR="000F4EEB" w:rsidRDefault="009D70E2" w:rsidP="003F2E49">
      <w:r>
        <w:t xml:space="preserve">Typical market segments that are characterised by relaunches are pharmacy products, clothing and electronics. Rates of item </w:t>
      </w:r>
      <w:r w:rsidR="00344D70">
        <w:t xml:space="preserve">churn may reach </w:t>
      </w:r>
      <w:r w:rsidR="00F474FA">
        <w:t xml:space="preserve">such high </w:t>
      </w:r>
      <w:r w:rsidR="00344D70">
        <w:t>levels that each year new</w:t>
      </w:r>
      <w:r w:rsidR="00F474FA">
        <w:t xml:space="preserve"> product lines are introduced that</w:t>
      </w:r>
      <w:r w:rsidR="00344D70">
        <w:t xml:space="preserve"> replace the former ones. The GTIN level is not appropriate as product level in such situations. GTINs of relaunch items have to be linked, which means that broader product concepts are needed.</w:t>
      </w:r>
    </w:p>
    <w:p w:rsidR="006E30D7" w:rsidRDefault="006E30D7" w:rsidP="003F2E49">
      <w:r>
        <w:t>The problem of identifying “suitable” levels of product stratification has to be resolved before applying index methods to calculate price movements from period to period.</w:t>
      </w:r>
      <w:r w:rsidR="00C11260">
        <w:t xml:space="preserve"> </w:t>
      </w:r>
      <w:r w:rsidR="00FF1219">
        <w:t xml:space="preserve">The key question is what is found to be a suitable level of product stratification and how this notion could be </w:t>
      </w:r>
      <w:r w:rsidR="00F474FA">
        <w:t xml:space="preserve">formalised and </w:t>
      </w:r>
      <w:r w:rsidR="00FF1219">
        <w:t>operationalised. In addition, the size of electronic data sets call</w:t>
      </w:r>
      <w:r w:rsidR="00F474FA">
        <w:t>s</w:t>
      </w:r>
      <w:r w:rsidR="00FF1219">
        <w:t xml:space="preserve"> for a method that enable</w:t>
      </w:r>
      <w:r w:rsidR="00F474FA">
        <w:t>s</w:t>
      </w:r>
      <w:r w:rsidR="00FF1219">
        <w:t xml:space="preserve"> statistical agencies</w:t>
      </w:r>
      <w:r w:rsidR="00207D96">
        <w:t xml:space="preserve"> to automate the stratification process </w:t>
      </w:r>
      <w:r w:rsidR="00FF1219">
        <w:t>to a high degree.</w:t>
      </w:r>
    </w:p>
    <w:p w:rsidR="00D52EA1" w:rsidRPr="005D2015" w:rsidRDefault="00207D96" w:rsidP="003F2E49">
      <w:r>
        <w:lastRenderedPageBreak/>
        <w:t>Section 2 contains a summary of a method that has recently been developed at Statistics Netherlands. Section 3 shows some results for product categories with high rates of churn. Section 4 summarises the findings and identifies directions for further research.</w:t>
      </w:r>
    </w:p>
    <w:p w:rsidR="00BC6AFE" w:rsidRDefault="00BC6AFE" w:rsidP="00BC6AFE">
      <w:pPr>
        <w:pStyle w:val="Kop1"/>
      </w:pPr>
      <w:r>
        <w:t>Methods</w:t>
      </w:r>
    </w:p>
    <w:p w:rsidR="00BC6AFE" w:rsidRPr="00207D96" w:rsidRDefault="00207D96" w:rsidP="001B50CE">
      <w:pPr>
        <w:pStyle w:val="Kop2"/>
        <w:tabs>
          <w:tab w:val="clear" w:pos="1080"/>
          <w:tab w:val="num" w:pos="482"/>
        </w:tabs>
        <w:ind w:left="482" w:hanging="482"/>
      </w:pPr>
      <w:r w:rsidRPr="00207D96">
        <w:t xml:space="preserve">Sketch of the </w:t>
      </w:r>
      <w:r w:rsidR="0016403D">
        <w:t>approach</w:t>
      </w:r>
    </w:p>
    <w:p w:rsidR="000C56CD" w:rsidRDefault="000C56CD" w:rsidP="00D52EA1">
      <w:r>
        <w:t xml:space="preserve">As was stated in the introduction, the GTIN level is the most detailed and </w:t>
      </w:r>
      <w:r w:rsidR="00F97531">
        <w:t xml:space="preserve">the </w:t>
      </w:r>
      <w:r>
        <w:t>most homogeneous product unit in terms of quality characteristics. On the other hand, this level may be too detailed in the sense that price changes associated with item relaunches will be missed. The method proposed in this paper finds a product level by balancing homogeneity and the degree by which products can be followed over time, which is referred to as “degree of product match” in this paper.</w:t>
      </w:r>
      <w:r w:rsidR="00E871EE">
        <w:t xml:space="preserve"> The latter can be considered as a complementary measure of the rate of churn (the higher/lower the churn rate, the lower/higher the degree of product match).</w:t>
      </w:r>
    </w:p>
    <w:p w:rsidR="00D52EA1" w:rsidRDefault="000C56CD" w:rsidP="00D52EA1">
      <w:r>
        <w:t xml:space="preserve">The method described in Section 2.2 </w:t>
      </w:r>
      <w:r w:rsidR="00E871EE">
        <w:t>proposes measures for product homogeneity and for the degree of product match. The two measures are</w:t>
      </w:r>
      <w:r w:rsidR="00826973">
        <w:t xml:space="preserve"> then combined into one measure, which yields a score </w:t>
      </w:r>
      <w:r w:rsidR="00216CDF">
        <w:t>for each partitioning of GTINs into items groups (</w:t>
      </w:r>
      <w:r w:rsidR="00F97531">
        <w:t xml:space="preserve">called </w:t>
      </w:r>
      <w:r w:rsidR="00216CDF">
        <w:t xml:space="preserve">“products”). GTINs can be grouped according to a set of common characteristics. </w:t>
      </w:r>
      <w:r w:rsidR="00BC2413">
        <w:t>Transaction data sets may contain different attributes (or variables) and the question is which ones to select in order to form items groups. Different selections of attributes may lead to different items groups, that is, to different ways in which items can be partitioned.</w:t>
      </w:r>
      <w:r w:rsidR="00A82628">
        <w:t xml:space="preserve"> The method in Section 2.2 computes a score for each partition. The partition with the highest score is eventually selected.</w:t>
      </w:r>
    </w:p>
    <w:p w:rsidR="00F97531" w:rsidRPr="00D52EA1" w:rsidRDefault="00F97531" w:rsidP="00D52EA1">
      <w:pPr>
        <w:rPr>
          <w:highlight w:val="green"/>
        </w:rPr>
      </w:pPr>
      <w:r>
        <w:t xml:space="preserve">Some examples are given in order to illustrate the idea behind the method. According to the method described in Section 2.2, the partition with each GTIN </w:t>
      </w:r>
      <w:r w:rsidR="00C5141B">
        <w:t xml:space="preserve">denoting a unique product will maximise the homogeneity measure. </w:t>
      </w:r>
      <w:r w:rsidR="00443B25">
        <w:t>T</w:t>
      </w:r>
      <w:r w:rsidR="00C5141B">
        <w:t xml:space="preserve">he GTIN level </w:t>
      </w:r>
      <w:r w:rsidR="00D43403">
        <w:t>will be the ideal partition</w:t>
      </w:r>
      <w:r w:rsidR="00443B25">
        <w:t xml:space="preserve"> when there are no new items</w:t>
      </w:r>
      <w:r w:rsidR="00D43403">
        <w:t xml:space="preserve">. </w:t>
      </w:r>
      <w:r w:rsidR="00443B25">
        <w:t>When new items do enter an assortment in the course of a year</w:t>
      </w:r>
      <w:r w:rsidR="00D43403">
        <w:t xml:space="preserve">, the method </w:t>
      </w:r>
      <w:r w:rsidR="000A0E57">
        <w:t xml:space="preserve">searches an item grouping that does not make substantial concessions </w:t>
      </w:r>
      <w:r w:rsidR="0058198F">
        <w:t>to</w:t>
      </w:r>
      <w:r w:rsidR="000A0E57">
        <w:t xml:space="preserve"> </w:t>
      </w:r>
      <w:r w:rsidR="00BF644E">
        <w:t xml:space="preserve">homogeneity </w:t>
      </w:r>
      <w:r w:rsidR="0058198F">
        <w:t>while boosting</w:t>
      </w:r>
      <w:r w:rsidR="00BF644E">
        <w:t xml:space="preserve"> the de</w:t>
      </w:r>
      <w:r w:rsidR="000A0E57">
        <w:t>gree of product match.</w:t>
      </w:r>
    </w:p>
    <w:p w:rsidR="001B50CE" w:rsidRPr="00207D96" w:rsidRDefault="0016403D" w:rsidP="001B50CE">
      <w:pPr>
        <w:pStyle w:val="Kop2"/>
        <w:tabs>
          <w:tab w:val="clear" w:pos="1080"/>
          <w:tab w:val="num" w:pos="482"/>
        </w:tabs>
        <w:ind w:left="482" w:hanging="482"/>
      </w:pPr>
      <w:r>
        <w:t xml:space="preserve">The method </w:t>
      </w:r>
      <w:r w:rsidR="00207D96">
        <w:t>M</w:t>
      </w:r>
      <w:r>
        <w:t>ARS</w:t>
      </w:r>
    </w:p>
    <w:p w:rsidR="00BF644E" w:rsidRDefault="00BF644E" w:rsidP="00D52EA1">
      <w:r>
        <w:t>The stratification method operates on a time window, with a length that has to be set by the user</w:t>
      </w:r>
      <w:r w:rsidR="004B172E">
        <w:t xml:space="preserve"> (say 13 months, a calendar year plus December of the previous year</w:t>
      </w:r>
      <w:r w:rsidR="000A0E57">
        <w:t xml:space="preserve">, a </w:t>
      </w:r>
      <w:r w:rsidR="00B22C3F">
        <w:t>common choice in the CPI</w:t>
      </w:r>
      <w:r w:rsidR="004B172E">
        <w:t>).</w:t>
      </w:r>
      <w:r>
        <w:t xml:space="preserve"> </w:t>
      </w:r>
      <w:r w:rsidR="004B172E">
        <w:t>For each GTIN partition, t</w:t>
      </w:r>
      <w:r>
        <w:t xml:space="preserve">he method </w:t>
      </w:r>
      <w:r w:rsidR="004B172E">
        <w:t>calculates</w:t>
      </w:r>
      <w:r>
        <w:t xml:space="preserve"> the following </w:t>
      </w:r>
      <w:r w:rsidR="004B172E">
        <w:t>measures</w:t>
      </w:r>
      <w:r>
        <w:t xml:space="preserve"> for homogenei</w:t>
      </w:r>
      <w:r w:rsidR="004B172E">
        <w:t>ty and degree of product match in every month of the time window:</w:t>
      </w:r>
    </w:p>
    <w:p w:rsidR="00BF644E" w:rsidRDefault="00E871EE" w:rsidP="00BF644E">
      <w:pPr>
        <w:pStyle w:val="Lijstalinea"/>
        <w:numPr>
          <w:ilvl w:val="0"/>
          <w:numId w:val="21"/>
        </w:numPr>
      </w:pPr>
      <w:r w:rsidRPr="00207D96">
        <w:t>R squared</w:t>
      </w:r>
      <w:r w:rsidR="00BF644E">
        <w:t xml:space="preserve"> of monthly product prices</w:t>
      </w:r>
      <w:r w:rsidRPr="00207D96">
        <w:t xml:space="preserve"> </w:t>
      </w:r>
      <w:r w:rsidR="00BF644E">
        <w:t>as a measure for product homogeneity;</w:t>
      </w:r>
    </w:p>
    <w:p w:rsidR="00D52EA1" w:rsidRDefault="00BF644E" w:rsidP="00BF644E">
      <w:pPr>
        <w:pStyle w:val="Lijstalinea"/>
        <w:numPr>
          <w:ilvl w:val="0"/>
          <w:numId w:val="21"/>
        </w:numPr>
      </w:pPr>
      <w:r>
        <w:t>T</w:t>
      </w:r>
      <w:r w:rsidR="00E871EE" w:rsidRPr="00207D96">
        <w:t>he</w:t>
      </w:r>
      <w:r w:rsidR="004B172E">
        <w:t xml:space="preserve"> </w:t>
      </w:r>
      <w:r w:rsidR="00D417D8">
        <w:t>share of</w:t>
      </w:r>
      <w:r w:rsidR="004B172E">
        <w:t xml:space="preserve"> </w:t>
      </w:r>
      <w:r w:rsidR="00D417D8">
        <w:t xml:space="preserve">the </w:t>
      </w:r>
      <w:r w:rsidR="004B172E">
        <w:t>products from the first month of the window</w:t>
      </w:r>
      <w:r w:rsidR="00D417D8">
        <w:t xml:space="preserve"> in the total sales</w:t>
      </w:r>
      <w:r w:rsidR="004B172E">
        <w:t xml:space="preserve"> </w:t>
      </w:r>
      <w:r w:rsidR="00D417D8">
        <w:t>of</w:t>
      </w:r>
      <w:r w:rsidR="004B172E">
        <w:t xml:space="preserve"> subsequent months</w:t>
      </w:r>
      <w:r w:rsidR="00E871EE" w:rsidRPr="00207D96">
        <w:t xml:space="preserve"> (degree of product match</w:t>
      </w:r>
      <w:r w:rsidR="004B172E">
        <w:t>).</w:t>
      </w:r>
    </w:p>
    <w:p w:rsidR="00FB1544" w:rsidRDefault="008F6DE0" w:rsidP="008F6DE0">
      <w:r>
        <w:t xml:space="preserve">The degree of product match operates as an adjustment factor on R </w:t>
      </w:r>
      <w:r w:rsidR="0027046A">
        <w:t>squared, which explains the abbreviation MARS chosen for the method (Match Adjusted R Squared).</w:t>
      </w:r>
      <w:r w:rsidR="00B22C3F">
        <w:t xml:space="preserve"> </w:t>
      </w:r>
      <w:r w:rsidR="009E7A56">
        <w:t>Different choices can be made for the homogeneity and degree of product match measures, but this paper focuses on one set of choices for MARS. Suggestions and comparisons for other choices can be found in a more extended paper [1].</w:t>
      </w:r>
    </w:p>
    <w:p w:rsidR="0052682E" w:rsidRDefault="00116063" w:rsidP="008F6DE0">
      <w:r>
        <w:t xml:space="preserve">The version of MARS considered in this paper can be formalised as follows. </w:t>
      </w:r>
      <w:r w:rsidR="00426738">
        <w:t xml:space="preserve">Let </w:t>
      </w:r>
      <m:oMath>
        <m:r>
          <w:rPr>
            <w:rFonts w:ascii="Cambria Math" w:hAnsi="Cambria Math"/>
          </w:rPr>
          <m:t>K</m:t>
        </m:r>
      </m:oMath>
      <w:r w:rsidR="00426738">
        <w:t xml:space="preserve"> denote a specific partition of items/GTINs and let </w:t>
      </w:r>
      <m:oMath>
        <m:r>
          <w:rPr>
            <w:rFonts w:ascii="Cambria Math" w:hAnsi="Cambria Math"/>
          </w:rPr>
          <m:t>k</m:t>
        </m:r>
      </m:oMath>
      <w:r w:rsidR="00426738">
        <w:t xml:space="preserve"> denote an element of </w:t>
      </w:r>
      <m:oMath>
        <m:r>
          <w:rPr>
            <w:rFonts w:ascii="Cambria Math" w:hAnsi="Cambria Math"/>
          </w:rPr>
          <m:t>K</m:t>
        </m:r>
      </m:oMath>
      <w:r w:rsidR="00426738">
        <w:t xml:space="preserve">, that is, a group of </w:t>
      </w:r>
      <w:r w:rsidR="00426738">
        <w:lastRenderedPageBreak/>
        <w:t xml:space="preserve">items with common characteristics, which will be referred to as a “product”. Let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p</m:t>
                </m:r>
              </m:e>
            </m:acc>
          </m:e>
          <m:sub>
            <m:r>
              <w:rPr>
                <w:rFonts w:ascii="Cambria Math" w:hAnsi="Cambria Math"/>
              </w:rPr>
              <m:t>t</m:t>
            </m:r>
          </m:sub>
          <m:sup>
            <m:r>
              <w:rPr>
                <w:rFonts w:ascii="Cambria Math" w:hAnsi="Cambria Math"/>
              </w:rPr>
              <m:t>k</m:t>
            </m:r>
          </m:sup>
        </m:sSubSup>
      </m:oMath>
      <w:r w:rsidR="007B3519">
        <w:t xml:space="preserve"> denote the price of product </w:t>
      </w:r>
      <m:oMath>
        <m:r>
          <w:rPr>
            <w:rFonts w:ascii="Cambria Math" w:hAnsi="Cambria Math"/>
          </w:rPr>
          <m:t>k∈K</m:t>
        </m:r>
      </m:oMath>
      <w:r w:rsidR="00892322">
        <w:t xml:space="preserve"> in month </w:t>
      </w:r>
      <m:oMath>
        <m:r>
          <w:rPr>
            <w:rFonts w:ascii="Cambria Math" w:hAnsi="Cambria Math"/>
          </w:rPr>
          <m:t>t</m:t>
        </m:r>
      </m:oMath>
      <w:r w:rsidR="00892322">
        <w:t xml:space="preserve"> and let the quantities sold be denoted by </w:t>
      </w:r>
      <m:oMath>
        <m:sSubSup>
          <m:sSubSupPr>
            <m:ctrlPr>
              <w:rPr>
                <w:rFonts w:ascii="Cambria Math" w:hAnsi="Cambria Math"/>
                <w:i/>
              </w:rPr>
            </m:ctrlPr>
          </m:sSubSupPr>
          <m:e>
            <m:r>
              <w:rPr>
                <w:rFonts w:ascii="Cambria Math" w:hAnsi="Cambria Math"/>
              </w:rPr>
              <m:t>q</m:t>
            </m:r>
          </m:e>
          <m:sub>
            <m:r>
              <w:rPr>
                <w:rFonts w:ascii="Cambria Math" w:hAnsi="Cambria Math"/>
              </w:rPr>
              <m:t>t</m:t>
            </m:r>
          </m:sub>
          <m:sup>
            <m:r>
              <w:rPr>
                <w:rFonts w:ascii="Cambria Math" w:hAnsi="Cambria Math"/>
              </w:rPr>
              <m:t>k</m:t>
            </m:r>
          </m:sup>
        </m:sSubSup>
      </m:oMath>
      <w:r w:rsidR="00892322">
        <w:t xml:space="preserve">. </w:t>
      </w:r>
      <w:r w:rsidR="005A24E5">
        <w:t xml:space="preserve">The product price is obtained by dividing the expenditures by quantities, both summed over the items belonging to </w:t>
      </w:r>
      <m:oMath>
        <m:r>
          <w:rPr>
            <w:rFonts w:ascii="Cambria Math" w:hAnsi="Cambria Math"/>
          </w:rPr>
          <m:t>k</m:t>
        </m:r>
      </m:oMath>
      <w:r w:rsidR="005A24E5">
        <w:t xml:space="preserve">. Item prices and quantities are denoted as </w:t>
      </w:r>
      <m:oMath>
        <m:sSub>
          <m:sSubPr>
            <m:ctrlPr>
              <w:rPr>
                <w:rFonts w:ascii="Cambria Math" w:hAnsi="Cambria Math"/>
                <w:i/>
              </w:rPr>
            </m:ctrlPr>
          </m:sSubPr>
          <m:e>
            <m:r>
              <w:rPr>
                <w:rFonts w:ascii="Cambria Math" w:hAnsi="Cambria Math"/>
              </w:rPr>
              <m:t>p</m:t>
            </m:r>
          </m:e>
          <m:sub>
            <m:r>
              <w:rPr>
                <w:rFonts w:ascii="Cambria Math" w:hAnsi="Cambria Math"/>
              </w:rPr>
              <m:t>i,t</m:t>
            </m:r>
          </m:sub>
        </m:sSub>
      </m:oMath>
      <w:r w:rsidR="005A24E5">
        <w:t xml:space="preserve"> and </w:t>
      </w:r>
      <m:oMath>
        <m:sSub>
          <m:sSubPr>
            <m:ctrlPr>
              <w:rPr>
                <w:rFonts w:ascii="Cambria Math" w:hAnsi="Cambria Math"/>
                <w:i/>
              </w:rPr>
            </m:ctrlPr>
          </m:sSubPr>
          <m:e>
            <m:r>
              <w:rPr>
                <w:rFonts w:ascii="Cambria Math" w:hAnsi="Cambria Math"/>
              </w:rPr>
              <m:t>q</m:t>
            </m:r>
          </m:e>
          <m:sub>
            <m:r>
              <w:rPr>
                <w:rFonts w:ascii="Cambria Math" w:hAnsi="Cambria Math"/>
              </w:rPr>
              <m:t>i,t</m:t>
            </m:r>
          </m:sub>
        </m:sSub>
      </m:oMath>
      <w:r w:rsidR="003C540F">
        <w:t xml:space="preserve"> and the set of items sold in month </w:t>
      </w:r>
      <m:oMath>
        <m:r>
          <w:rPr>
            <w:rFonts w:ascii="Cambria Math" w:hAnsi="Cambria Math"/>
          </w:rPr>
          <m:t>t</m:t>
        </m:r>
      </m:oMath>
      <w:r w:rsidR="003C540F">
        <w:t xml:space="preserve"> by </w:t>
      </w:r>
      <m:oMath>
        <m:sSub>
          <m:sSubPr>
            <m:ctrlPr>
              <w:rPr>
                <w:rFonts w:ascii="Cambria Math" w:hAnsi="Cambria Math"/>
                <w:i/>
              </w:rPr>
            </m:ctrlPr>
          </m:sSubPr>
          <m:e>
            <m:r>
              <w:rPr>
                <w:rFonts w:ascii="Cambria Math" w:hAnsi="Cambria Math"/>
              </w:rPr>
              <m:t>G</m:t>
            </m:r>
          </m:e>
          <m:sub>
            <m:r>
              <w:rPr>
                <w:rFonts w:ascii="Cambria Math" w:hAnsi="Cambria Math"/>
              </w:rPr>
              <m:t>t</m:t>
            </m:r>
          </m:sub>
        </m:sSub>
      </m:oMath>
      <w:r w:rsidR="003C540F">
        <w:t xml:space="preserve">. </w:t>
      </w:r>
      <w:r w:rsidR="00CD4958">
        <w:t xml:space="preserve">The weighted average price over all items in the set </w:t>
      </w:r>
      <m:oMath>
        <m:sSub>
          <m:sSubPr>
            <m:ctrlPr>
              <w:rPr>
                <w:rFonts w:ascii="Cambria Math" w:hAnsi="Cambria Math"/>
                <w:i/>
              </w:rPr>
            </m:ctrlPr>
          </m:sSubPr>
          <m:e>
            <m:r>
              <w:rPr>
                <w:rFonts w:ascii="Cambria Math" w:hAnsi="Cambria Math"/>
              </w:rPr>
              <m:t>G</m:t>
            </m:r>
          </m:e>
          <m:sub>
            <m:r>
              <w:rPr>
                <w:rFonts w:ascii="Cambria Math" w:hAnsi="Cambria Math"/>
              </w:rPr>
              <m:t>t</m:t>
            </m:r>
          </m:sub>
        </m:sSub>
      </m:oMath>
      <w:r w:rsidR="00CD4958">
        <w:t xml:space="preserve"> is denoted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t</m:t>
            </m:r>
          </m:sub>
        </m:sSub>
      </m:oMath>
      <w:r w:rsidR="00CD4958">
        <w:t xml:space="preserve">. </w:t>
      </w:r>
      <w:r w:rsidR="006D2916">
        <w:t>R squared values</w:t>
      </w:r>
      <w:r w:rsidR="002D65C9">
        <w:t xml:space="preserve"> </w:t>
      </w:r>
      <m:oMath>
        <m:sSubSup>
          <m:sSubSupPr>
            <m:ctrlPr>
              <w:rPr>
                <w:rFonts w:ascii="Cambria Math" w:hAnsi="Cambria Math"/>
                <w:i/>
              </w:rPr>
            </m:ctrlPr>
          </m:sSubSupPr>
          <m:e>
            <m:r>
              <w:rPr>
                <w:rFonts w:ascii="Cambria Math" w:hAnsi="Cambria Math"/>
              </w:rPr>
              <m:t>R</m:t>
            </m:r>
          </m:e>
          <m:sub>
            <m:r>
              <w:rPr>
                <w:rFonts w:ascii="Cambria Math" w:hAnsi="Cambria Math"/>
              </w:rPr>
              <m:t>t</m:t>
            </m:r>
          </m:sub>
          <m:sup>
            <m:r>
              <w:rPr>
                <w:rFonts w:ascii="Cambria Math" w:hAnsi="Cambria Math"/>
              </w:rPr>
              <m:t>K</m:t>
            </m:r>
          </m:sup>
        </m:sSubSup>
      </m:oMath>
      <w:r w:rsidR="006D2916">
        <w:t xml:space="preserve"> are computed each month </w:t>
      </w:r>
      <m:oMath>
        <m:r>
          <w:rPr>
            <w:rFonts w:ascii="Cambria Math" w:hAnsi="Cambria Math"/>
          </w:rPr>
          <m:t>t</m:t>
        </m:r>
      </m:oMath>
      <w:r w:rsidR="006D2916">
        <w:t xml:space="preserve"> for every partition </w:t>
      </w:r>
      <m:oMath>
        <m:r>
          <w:rPr>
            <w:rFonts w:ascii="Cambria Math" w:hAnsi="Cambria Math"/>
          </w:rPr>
          <m:t>K</m:t>
        </m:r>
      </m:oMath>
      <w:r w:rsidR="006D2916">
        <w:t xml:space="preserve"> as follows:</w:t>
      </w:r>
    </w:p>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0"/>
        <w:gridCol w:w="549"/>
      </w:tblGrid>
      <w:tr w:rsidR="007A43FC" w:rsidRPr="007A43FC" w:rsidTr="009B5EDB">
        <w:tc>
          <w:tcPr>
            <w:tcW w:w="8222" w:type="dxa"/>
          </w:tcPr>
          <w:p w:rsidR="007A43FC" w:rsidRPr="007A43FC" w:rsidRDefault="00B72A85" w:rsidP="007A43FC">
            <w:pPr>
              <w:pStyle w:val="01Standaard"/>
              <w:tabs>
                <w:tab w:val="left" w:pos="567"/>
              </w:tabs>
              <w:spacing w:before="0" w:after="240"/>
              <w:jc w:val="both"/>
              <w:rPr>
                <w:i w:val="0"/>
                <w:sz w:val="24"/>
                <w:szCs w:val="22"/>
              </w:rPr>
            </w:pPr>
            <m:oMathPara>
              <m:oMathParaPr>
                <m:jc m:val="center"/>
              </m:oMathParaPr>
              <m:oMath>
                <m:sSubSup>
                  <m:sSubSupPr>
                    <m:ctrlPr>
                      <w:rPr>
                        <w:sz w:val="24"/>
                        <w:szCs w:val="22"/>
                      </w:rPr>
                    </m:ctrlPr>
                  </m:sSubSupPr>
                  <m:e>
                    <m:r>
                      <w:rPr>
                        <w:sz w:val="24"/>
                        <w:szCs w:val="22"/>
                      </w:rPr>
                      <m:t>R</m:t>
                    </m:r>
                  </m:e>
                  <m:sub>
                    <m:r>
                      <w:rPr>
                        <w:sz w:val="24"/>
                        <w:szCs w:val="22"/>
                      </w:rPr>
                      <m:t>t</m:t>
                    </m:r>
                  </m:sub>
                  <m:sup>
                    <m:r>
                      <w:rPr>
                        <w:sz w:val="24"/>
                        <w:szCs w:val="22"/>
                      </w:rPr>
                      <m:t>K</m:t>
                    </m:r>
                  </m:sup>
                </m:sSubSup>
                <m:r>
                  <w:rPr>
                    <w:sz w:val="24"/>
                    <w:szCs w:val="22"/>
                  </w:rPr>
                  <m:t>=</m:t>
                </m:r>
                <m:f>
                  <m:fPr>
                    <m:ctrlPr>
                      <w:rPr>
                        <w:sz w:val="24"/>
                        <w:szCs w:val="22"/>
                      </w:rPr>
                    </m:ctrlPr>
                  </m:fPr>
                  <m:num>
                    <m:nary>
                      <m:naryPr>
                        <m:chr m:val="∑"/>
                        <m:limLoc m:val="subSup"/>
                        <m:supHide m:val="1"/>
                        <m:ctrlPr>
                          <w:rPr>
                            <w:sz w:val="24"/>
                            <w:szCs w:val="22"/>
                          </w:rPr>
                        </m:ctrlPr>
                      </m:naryPr>
                      <m:sub>
                        <m:r>
                          <w:rPr>
                            <w:sz w:val="24"/>
                            <w:szCs w:val="22"/>
                          </w:rPr>
                          <m:t>k∈K</m:t>
                        </m:r>
                      </m:sub>
                      <m:sup/>
                      <m:e>
                        <m:sSubSup>
                          <m:sSubSupPr>
                            <m:ctrlPr>
                              <w:rPr>
                                <w:sz w:val="24"/>
                                <w:szCs w:val="22"/>
                              </w:rPr>
                            </m:ctrlPr>
                          </m:sSubSupPr>
                          <m:e>
                            <m:r>
                              <w:rPr>
                                <w:sz w:val="24"/>
                                <w:szCs w:val="22"/>
                              </w:rPr>
                              <m:t>q</m:t>
                            </m:r>
                          </m:e>
                          <m:sub>
                            <m:r>
                              <w:rPr>
                                <w:sz w:val="24"/>
                                <w:szCs w:val="22"/>
                              </w:rPr>
                              <m:t>t</m:t>
                            </m:r>
                          </m:sub>
                          <m:sup>
                            <m:r>
                              <w:rPr>
                                <w:sz w:val="24"/>
                                <w:szCs w:val="22"/>
                              </w:rPr>
                              <m:t>k</m:t>
                            </m:r>
                          </m:sup>
                        </m:sSubSup>
                        <m:sSup>
                          <m:sSupPr>
                            <m:ctrlPr>
                              <w:rPr>
                                <w:sz w:val="24"/>
                                <w:szCs w:val="22"/>
                              </w:rPr>
                            </m:ctrlPr>
                          </m:sSupPr>
                          <m:e>
                            <m:d>
                              <m:dPr>
                                <m:ctrlPr>
                                  <w:rPr>
                                    <w:sz w:val="24"/>
                                    <w:szCs w:val="22"/>
                                  </w:rPr>
                                </m:ctrlPr>
                              </m:dPr>
                              <m:e>
                                <m:sSubSup>
                                  <m:sSubSupPr>
                                    <m:ctrlPr>
                                      <w:rPr>
                                        <w:sz w:val="24"/>
                                        <w:szCs w:val="22"/>
                                      </w:rPr>
                                    </m:ctrlPr>
                                  </m:sSubSupPr>
                                  <m:e>
                                    <m:acc>
                                      <m:accPr>
                                        <m:chr m:val="̅"/>
                                        <m:ctrlPr>
                                          <w:rPr>
                                            <w:sz w:val="24"/>
                                            <w:szCs w:val="22"/>
                                          </w:rPr>
                                        </m:ctrlPr>
                                      </m:accPr>
                                      <m:e>
                                        <m:r>
                                          <w:rPr>
                                            <w:sz w:val="24"/>
                                            <w:szCs w:val="22"/>
                                          </w:rPr>
                                          <m:t>p</m:t>
                                        </m:r>
                                      </m:e>
                                    </m:acc>
                                  </m:e>
                                  <m:sub>
                                    <m:r>
                                      <w:rPr>
                                        <w:sz w:val="24"/>
                                        <w:szCs w:val="22"/>
                                      </w:rPr>
                                      <m:t>t</m:t>
                                    </m:r>
                                  </m:sub>
                                  <m:sup>
                                    <m:r>
                                      <w:rPr>
                                        <w:sz w:val="24"/>
                                        <w:szCs w:val="22"/>
                                      </w:rPr>
                                      <m:t>k</m:t>
                                    </m:r>
                                  </m:sup>
                                </m:sSubSup>
                                <m:r>
                                  <w:rPr>
                                    <w:sz w:val="24"/>
                                    <w:szCs w:val="22"/>
                                  </w:rPr>
                                  <m:t>-</m:t>
                                </m:r>
                                <m:sSub>
                                  <m:sSubPr>
                                    <m:ctrlPr>
                                      <w:rPr>
                                        <w:sz w:val="24"/>
                                        <w:szCs w:val="22"/>
                                      </w:rPr>
                                    </m:ctrlPr>
                                  </m:sSubPr>
                                  <m:e>
                                    <m:acc>
                                      <m:accPr>
                                        <m:chr m:val="̅"/>
                                        <m:ctrlPr>
                                          <w:rPr>
                                            <w:sz w:val="24"/>
                                            <w:szCs w:val="22"/>
                                          </w:rPr>
                                        </m:ctrlPr>
                                      </m:accPr>
                                      <m:e>
                                        <m:r>
                                          <w:rPr>
                                            <w:sz w:val="24"/>
                                            <w:szCs w:val="22"/>
                                          </w:rPr>
                                          <m:t>p</m:t>
                                        </m:r>
                                      </m:e>
                                    </m:acc>
                                  </m:e>
                                  <m:sub>
                                    <m:r>
                                      <w:rPr>
                                        <w:sz w:val="24"/>
                                        <w:szCs w:val="22"/>
                                      </w:rPr>
                                      <m:t>t</m:t>
                                    </m:r>
                                  </m:sub>
                                </m:sSub>
                              </m:e>
                            </m:d>
                          </m:e>
                          <m:sup>
                            <m:r>
                              <w:rPr>
                                <w:sz w:val="24"/>
                                <w:szCs w:val="22"/>
                              </w:rPr>
                              <m:t>2</m:t>
                            </m:r>
                          </m:sup>
                        </m:sSup>
                      </m:e>
                    </m:nary>
                  </m:num>
                  <m:den>
                    <m:nary>
                      <m:naryPr>
                        <m:chr m:val="∑"/>
                        <m:limLoc m:val="subSup"/>
                        <m:supHide m:val="1"/>
                        <m:ctrlPr>
                          <w:rPr>
                            <w:sz w:val="24"/>
                            <w:szCs w:val="22"/>
                          </w:rPr>
                        </m:ctrlPr>
                      </m:naryPr>
                      <m:sub>
                        <m:r>
                          <w:rPr>
                            <w:sz w:val="24"/>
                            <w:szCs w:val="22"/>
                          </w:rPr>
                          <m:t>i∈</m:t>
                        </m:r>
                        <m:sSub>
                          <m:sSubPr>
                            <m:ctrlPr>
                              <w:rPr>
                                <w:sz w:val="24"/>
                                <w:szCs w:val="22"/>
                              </w:rPr>
                            </m:ctrlPr>
                          </m:sSubPr>
                          <m:e>
                            <m:r>
                              <w:rPr>
                                <w:sz w:val="24"/>
                                <w:szCs w:val="22"/>
                              </w:rPr>
                              <m:t>G</m:t>
                            </m:r>
                          </m:e>
                          <m:sub>
                            <m:r>
                              <w:rPr>
                                <w:sz w:val="24"/>
                                <w:szCs w:val="22"/>
                              </w:rPr>
                              <m:t>t</m:t>
                            </m:r>
                          </m:sub>
                        </m:sSub>
                      </m:sub>
                      <m:sup/>
                      <m:e>
                        <m:sSub>
                          <m:sSubPr>
                            <m:ctrlPr>
                              <w:rPr>
                                <w:sz w:val="24"/>
                                <w:szCs w:val="22"/>
                              </w:rPr>
                            </m:ctrlPr>
                          </m:sSubPr>
                          <m:e>
                            <m:r>
                              <w:rPr>
                                <w:sz w:val="24"/>
                                <w:szCs w:val="22"/>
                              </w:rPr>
                              <m:t>q</m:t>
                            </m:r>
                          </m:e>
                          <m:sub>
                            <m:r>
                              <w:rPr>
                                <w:sz w:val="24"/>
                                <w:szCs w:val="22"/>
                              </w:rPr>
                              <m:t>i,t</m:t>
                            </m:r>
                          </m:sub>
                        </m:sSub>
                      </m:e>
                    </m:nary>
                    <m:sSup>
                      <m:sSupPr>
                        <m:ctrlPr>
                          <w:rPr>
                            <w:sz w:val="24"/>
                            <w:szCs w:val="22"/>
                          </w:rPr>
                        </m:ctrlPr>
                      </m:sSupPr>
                      <m:e>
                        <m:d>
                          <m:dPr>
                            <m:ctrlPr>
                              <w:rPr>
                                <w:sz w:val="24"/>
                                <w:szCs w:val="22"/>
                              </w:rPr>
                            </m:ctrlPr>
                          </m:dPr>
                          <m:e>
                            <m:sSub>
                              <m:sSubPr>
                                <m:ctrlPr>
                                  <w:rPr>
                                    <w:sz w:val="24"/>
                                    <w:szCs w:val="22"/>
                                  </w:rPr>
                                </m:ctrlPr>
                              </m:sSubPr>
                              <m:e>
                                <m:r>
                                  <w:rPr>
                                    <w:sz w:val="24"/>
                                    <w:szCs w:val="22"/>
                                  </w:rPr>
                                  <m:t>p</m:t>
                                </m:r>
                              </m:e>
                              <m:sub>
                                <m:r>
                                  <w:rPr>
                                    <w:sz w:val="24"/>
                                    <w:szCs w:val="22"/>
                                  </w:rPr>
                                  <m:t>i,t</m:t>
                                </m:r>
                              </m:sub>
                            </m:sSub>
                            <m:r>
                              <w:rPr>
                                <w:sz w:val="24"/>
                                <w:szCs w:val="22"/>
                              </w:rPr>
                              <m:t>-</m:t>
                            </m:r>
                            <m:sSub>
                              <m:sSubPr>
                                <m:ctrlPr>
                                  <w:rPr>
                                    <w:sz w:val="24"/>
                                    <w:szCs w:val="22"/>
                                  </w:rPr>
                                </m:ctrlPr>
                              </m:sSubPr>
                              <m:e>
                                <m:acc>
                                  <m:accPr>
                                    <m:chr m:val="̅"/>
                                    <m:ctrlPr>
                                      <w:rPr>
                                        <w:sz w:val="24"/>
                                        <w:szCs w:val="22"/>
                                      </w:rPr>
                                    </m:ctrlPr>
                                  </m:accPr>
                                  <m:e>
                                    <m:r>
                                      <w:rPr>
                                        <w:sz w:val="24"/>
                                        <w:szCs w:val="22"/>
                                      </w:rPr>
                                      <m:t>p</m:t>
                                    </m:r>
                                  </m:e>
                                </m:acc>
                              </m:e>
                              <m:sub>
                                <m:r>
                                  <w:rPr>
                                    <w:sz w:val="24"/>
                                    <w:szCs w:val="22"/>
                                  </w:rPr>
                                  <m:t>t</m:t>
                                </m:r>
                              </m:sub>
                            </m:sSub>
                          </m:e>
                        </m:d>
                      </m:e>
                      <m:sup>
                        <m:r>
                          <w:rPr>
                            <w:sz w:val="24"/>
                            <w:szCs w:val="22"/>
                          </w:rPr>
                          <m:t>2</m:t>
                        </m:r>
                      </m:sup>
                    </m:sSup>
                  </m:den>
                </m:f>
                <m:r>
                  <w:rPr>
                    <w:sz w:val="24"/>
                    <w:szCs w:val="22"/>
                  </w:rPr>
                  <m:t>.</m:t>
                </m:r>
              </m:oMath>
            </m:oMathPara>
          </w:p>
        </w:tc>
        <w:tc>
          <w:tcPr>
            <w:tcW w:w="521" w:type="dxa"/>
            <w:vAlign w:val="center"/>
          </w:tcPr>
          <w:p w:rsidR="007A43FC" w:rsidRPr="007A43FC" w:rsidRDefault="00D71DCE" w:rsidP="00D71DCE">
            <w:pPr>
              <w:pStyle w:val="01Standaard"/>
              <w:tabs>
                <w:tab w:val="left" w:pos="567"/>
              </w:tabs>
              <w:spacing w:before="0" w:after="240"/>
              <w:jc w:val="both"/>
              <w:rPr>
                <w:i w:val="0"/>
                <w:sz w:val="24"/>
                <w:szCs w:val="22"/>
              </w:rPr>
            </w:pPr>
            <w:r>
              <w:rPr>
                <w:i w:val="0"/>
                <w:sz w:val="24"/>
                <w:szCs w:val="22"/>
              </w:rPr>
              <w:t>(1</w:t>
            </w:r>
            <w:r w:rsidR="007A43FC" w:rsidRPr="007A43FC">
              <w:rPr>
                <w:i w:val="0"/>
                <w:sz w:val="24"/>
                <w:szCs w:val="22"/>
              </w:rPr>
              <w:t>)</w:t>
            </w:r>
          </w:p>
        </w:tc>
      </w:tr>
    </w:tbl>
    <w:p w:rsidR="006D2916" w:rsidRDefault="00D71DCE" w:rsidP="008F6DE0">
      <w:r>
        <w:t xml:space="preserve">Let </w:t>
      </w:r>
      <m:oMath>
        <m:sSub>
          <m:sSubPr>
            <m:ctrlPr>
              <w:rPr>
                <w:rFonts w:ascii="Cambria Math" w:hAnsi="Cambria Math"/>
                <w:i/>
              </w:rPr>
            </m:ctrlPr>
          </m:sSubPr>
          <m:e>
            <m:r>
              <w:rPr>
                <w:rFonts w:ascii="Cambria Math" w:hAnsi="Cambria Math"/>
              </w:rPr>
              <m:t>K</m:t>
            </m:r>
          </m:e>
          <m:sub>
            <m:r>
              <w:rPr>
                <w:rFonts w:ascii="Cambria Math" w:hAnsi="Cambria Math"/>
              </w:rPr>
              <m:t>0,t</m:t>
            </m:r>
          </m:sub>
        </m:sSub>
      </m:oMath>
      <w:r>
        <w:t xml:space="preserve"> denote the set of products in partition </w:t>
      </w:r>
      <m:oMath>
        <m:r>
          <w:rPr>
            <w:rFonts w:ascii="Cambria Math" w:hAnsi="Cambria Math"/>
          </w:rPr>
          <m:t>K</m:t>
        </m:r>
      </m:oMath>
      <w:r>
        <w:t xml:space="preserve"> that are sold both in month </w:t>
      </w:r>
      <m:oMath>
        <m:r>
          <w:rPr>
            <w:rFonts w:ascii="Cambria Math" w:hAnsi="Cambria Math"/>
          </w:rPr>
          <m:t>t</m:t>
        </m:r>
      </m:oMath>
      <w:r>
        <w:t xml:space="preserve"> and the base month 0 (i.e., the first month of the time window). </w:t>
      </w:r>
      <w:r w:rsidR="006C5B86">
        <w:t xml:space="preserve">The degree of product match </w:t>
      </w:r>
      <m:oMath>
        <m:sSubSup>
          <m:sSubSupPr>
            <m:ctrlPr>
              <w:rPr>
                <w:rFonts w:ascii="Cambria Math" w:hAnsi="Cambria Math"/>
                <w:i/>
              </w:rPr>
            </m:ctrlPr>
          </m:sSubSupPr>
          <m:e>
            <m:r>
              <w:rPr>
                <w:rFonts w:ascii="Cambria Math" w:hAnsi="Cambria Math"/>
              </w:rPr>
              <m:t>μ</m:t>
            </m:r>
          </m:e>
          <m:sub>
            <m:r>
              <w:rPr>
                <w:rFonts w:ascii="Cambria Math" w:hAnsi="Cambria Math"/>
              </w:rPr>
              <m:t>t</m:t>
            </m:r>
          </m:sub>
          <m:sup>
            <m:r>
              <w:rPr>
                <w:rFonts w:ascii="Cambria Math" w:hAnsi="Cambria Math"/>
              </w:rPr>
              <m:t>K</m:t>
            </m:r>
          </m:sup>
        </m:sSubSup>
      </m:oMath>
      <w:r w:rsidR="006C5B86">
        <w:t xml:space="preserve"> of partition </w:t>
      </w:r>
      <m:oMath>
        <m:r>
          <w:rPr>
            <w:rFonts w:ascii="Cambria Math" w:hAnsi="Cambria Math"/>
          </w:rPr>
          <m:t>K</m:t>
        </m:r>
      </m:oMath>
      <w:r w:rsidR="006C5B86">
        <w:t xml:space="preserve"> in month </w:t>
      </w:r>
      <m:oMath>
        <m:r>
          <w:rPr>
            <w:rFonts w:ascii="Cambria Math" w:hAnsi="Cambria Math"/>
          </w:rPr>
          <m:t>t</m:t>
        </m:r>
      </m:oMath>
      <w:r w:rsidR="006C5B86">
        <w:t xml:space="preserve"> is defined as the share of the quantities of base month products in the total quantities sold in month </w:t>
      </w:r>
      <m:oMath>
        <m:r>
          <w:rPr>
            <w:rFonts w:ascii="Cambria Math" w:hAnsi="Cambria Math"/>
          </w:rPr>
          <m:t>t</m:t>
        </m:r>
      </m:oMath>
      <w:r w:rsidR="006C5B86">
        <w:t>:</w:t>
      </w:r>
    </w:p>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0"/>
        <w:gridCol w:w="549"/>
      </w:tblGrid>
      <w:tr w:rsidR="0016403D" w:rsidRPr="007F16D1" w:rsidTr="009B5EDB">
        <w:tc>
          <w:tcPr>
            <w:tcW w:w="8222" w:type="dxa"/>
          </w:tcPr>
          <w:p w:rsidR="0016403D" w:rsidRPr="0016403D" w:rsidRDefault="00B72A85" w:rsidP="0016403D">
            <w:pPr>
              <w:pStyle w:val="01Standaard"/>
              <w:tabs>
                <w:tab w:val="left" w:pos="567"/>
              </w:tabs>
              <w:spacing w:before="0" w:after="240"/>
              <w:jc w:val="both"/>
              <w:rPr>
                <w:i w:val="0"/>
                <w:sz w:val="24"/>
                <w:szCs w:val="22"/>
              </w:rPr>
            </w:pPr>
            <m:oMathPara>
              <m:oMathParaPr>
                <m:jc m:val="center"/>
              </m:oMathParaPr>
              <m:oMath>
                <m:sSubSup>
                  <m:sSubSupPr>
                    <m:ctrlPr>
                      <w:rPr>
                        <w:sz w:val="24"/>
                        <w:szCs w:val="22"/>
                      </w:rPr>
                    </m:ctrlPr>
                  </m:sSubSupPr>
                  <m:e>
                    <m:r>
                      <w:rPr>
                        <w:sz w:val="24"/>
                        <w:szCs w:val="22"/>
                      </w:rPr>
                      <m:t>μ</m:t>
                    </m:r>
                  </m:e>
                  <m:sub>
                    <m:r>
                      <w:rPr>
                        <w:sz w:val="24"/>
                        <w:szCs w:val="22"/>
                      </w:rPr>
                      <m:t>t</m:t>
                    </m:r>
                  </m:sub>
                  <m:sup>
                    <m:r>
                      <w:rPr>
                        <w:sz w:val="24"/>
                        <w:szCs w:val="22"/>
                      </w:rPr>
                      <m:t>K</m:t>
                    </m:r>
                  </m:sup>
                </m:sSubSup>
                <m:r>
                  <w:rPr>
                    <w:sz w:val="24"/>
                    <w:szCs w:val="22"/>
                  </w:rPr>
                  <m:t>=</m:t>
                </m:r>
                <m:f>
                  <m:fPr>
                    <m:ctrlPr>
                      <w:rPr>
                        <w:sz w:val="24"/>
                        <w:szCs w:val="22"/>
                      </w:rPr>
                    </m:ctrlPr>
                  </m:fPr>
                  <m:num>
                    <m:nary>
                      <m:naryPr>
                        <m:chr m:val="∑"/>
                        <m:limLoc m:val="subSup"/>
                        <m:supHide m:val="1"/>
                        <m:ctrlPr>
                          <w:rPr>
                            <w:sz w:val="24"/>
                            <w:szCs w:val="22"/>
                          </w:rPr>
                        </m:ctrlPr>
                      </m:naryPr>
                      <m:sub>
                        <m:r>
                          <w:rPr>
                            <w:sz w:val="24"/>
                            <w:szCs w:val="22"/>
                          </w:rPr>
                          <m:t>k∈</m:t>
                        </m:r>
                        <m:sSub>
                          <m:sSubPr>
                            <m:ctrlPr>
                              <w:rPr>
                                <w:sz w:val="24"/>
                                <w:szCs w:val="22"/>
                              </w:rPr>
                            </m:ctrlPr>
                          </m:sSubPr>
                          <m:e>
                            <m:r>
                              <w:rPr>
                                <w:sz w:val="24"/>
                                <w:szCs w:val="22"/>
                              </w:rPr>
                              <m:t>K</m:t>
                            </m:r>
                          </m:e>
                          <m:sub>
                            <m:r>
                              <w:rPr>
                                <w:sz w:val="24"/>
                                <w:szCs w:val="22"/>
                              </w:rPr>
                              <m:t>0,t</m:t>
                            </m:r>
                          </m:sub>
                        </m:sSub>
                      </m:sub>
                      <m:sup/>
                      <m:e>
                        <m:sSubSup>
                          <m:sSubSupPr>
                            <m:ctrlPr>
                              <w:rPr>
                                <w:sz w:val="24"/>
                                <w:szCs w:val="22"/>
                              </w:rPr>
                            </m:ctrlPr>
                          </m:sSubSupPr>
                          <m:e>
                            <m:r>
                              <w:rPr>
                                <w:sz w:val="24"/>
                                <w:szCs w:val="22"/>
                              </w:rPr>
                              <m:t>q</m:t>
                            </m:r>
                          </m:e>
                          <m:sub>
                            <m:r>
                              <w:rPr>
                                <w:sz w:val="24"/>
                                <w:szCs w:val="22"/>
                              </w:rPr>
                              <m:t>t</m:t>
                            </m:r>
                          </m:sub>
                          <m:sup>
                            <m:r>
                              <w:rPr>
                                <w:sz w:val="24"/>
                                <w:szCs w:val="22"/>
                              </w:rPr>
                              <m:t>k</m:t>
                            </m:r>
                          </m:sup>
                        </m:sSubSup>
                      </m:e>
                    </m:nary>
                  </m:num>
                  <m:den>
                    <m:nary>
                      <m:naryPr>
                        <m:chr m:val="∑"/>
                        <m:limLoc m:val="subSup"/>
                        <m:supHide m:val="1"/>
                        <m:ctrlPr>
                          <w:rPr>
                            <w:sz w:val="24"/>
                            <w:szCs w:val="22"/>
                          </w:rPr>
                        </m:ctrlPr>
                      </m:naryPr>
                      <m:sub>
                        <m:r>
                          <w:rPr>
                            <w:sz w:val="24"/>
                            <w:szCs w:val="22"/>
                          </w:rPr>
                          <m:t>i∈</m:t>
                        </m:r>
                        <m:sSub>
                          <m:sSubPr>
                            <m:ctrlPr>
                              <w:rPr>
                                <w:sz w:val="24"/>
                                <w:szCs w:val="22"/>
                              </w:rPr>
                            </m:ctrlPr>
                          </m:sSubPr>
                          <m:e>
                            <m:r>
                              <w:rPr>
                                <w:sz w:val="24"/>
                                <w:szCs w:val="22"/>
                              </w:rPr>
                              <m:t>G</m:t>
                            </m:r>
                          </m:e>
                          <m:sub>
                            <m:r>
                              <w:rPr>
                                <w:sz w:val="24"/>
                                <w:szCs w:val="22"/>
                              </w:rPr>
                              <m:t>t</m:t>
                            </m:r>
                          </m:sub>
                        </m:sSub>
                      </m:sub>
                      <m:sup/>
                      <m:e>
                        <m:sSub>
                          <m:sSubPr>
                            <m:ctrlPr>
                              <w:rPr>
                                <w:sz w:val="24"/>
                                <w:szCs w:val="22"/>
                              </w:rPr>
                            </m:ctrlPr>
                          </m:sSubPr>
                          <m:e>
                            <m:r>
                              <w:rPr>
                                <w:sz w:val="24"/>
                                <w:szCs w:val="22"/>
                              </w:rPr>
                              <m:t>q</m:t>
                            </m:r>
                          </m:e>
                          <m:sub>
                            <m:r>
                              <w:rPr>
                                <w:sz w:val="24"/>
                                <w:szCs w:val="22"/>
                              </w:rPr>
                              <m:t>i,t</m:t>
                            </m:r>
                          </m:sub>
                        </m:sSub>
                      </m:e>
                    </m:nary>
                  </m:den>
                </m:f>
                <m:r>
                  <w:rPr>
                    <w:sz w:val="24"/>
                    <w:szCs w:val="22"/>
                  </w:rPr>
                  <m:t>.</m:t>
                </m:r>
              </m:oMath>
            </m:oMathPara>
          </w:p>
        </w:tc>
        <w:tc>
          <w:tcPr>
            <w:tcW w:w="521" w:type="dxa"/>
            <w:vAlign w:val="center"/>
          </w:tcPr>
          <w:p w:rsidR="0016403D" w:rsidRPr="0016403D" w:rsidRDefault="0016403D" w:rsidP="0016403D">
            <w:pPr>
              <w:pStyle w:val="01Standaard"/>
              <w:tabs>
                <w:tab w:val="left" w:pos="567"/>
              </w:tabs>
              <w:spacing w:before="0" w:after="240"/>
              <w:jc w:val="both"/>
              <w:rPr>
                <w:i w:val="0"/>
                <w:sz w:val="24"/>
                <w:szCs w:val="22"/>
              </w:rPr>
            </w:pPr>
            <w:r w:rsidRPr="0016403D">
              <w:rPr>
                <w:i w:val="0"/>
                <w:sz w:val="24"/>
                <w:szCs w:val="22"/>
              </w:rPr>
              <w:t>(</w:t>
            </w:r>
            <w:r>
              <w:rPr>
                <w:i w:val="0"/>
                <w:sz w:val="24"/>
                <w:szCs w:val="22"/>
              </w:rPr>
              <w:t>2</w:t>
            </w:r>
            <w:r w:rsidRPr="0016403D">
              <w:rPr>
                <w:i w:val="0"/>
                <w:sz w:val="24"/>
                <w:szCs w:val="22"/>
              </w:rPr>
              <w:t>)</w:t>
            </w:r>
          </w:p>
        </w:tc>
      </w:tr>
    </w:tbl>
    <w:p w:rsidR="006C5B86" w:rsidRDefault="0016403D" w:rsidP="008F6DE0">
      <w:r>
        <w:t>MARS combines the two measures by taking the product</w:t>
      </w:r>
      <w:r w:rsidR="00FA6E3B">
        <w:t xml:space="preserve"> of (1) and (2)</w:t>
      </w:r>
      <w:r>
        <w:t>:</w:t>
      </w:r>
    </w:p>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0"/>
        <w:gridCol w:w="549"/>
      </w:tblGrid>
      <w:tr w:rsidR="0016403D" w:rsidRPr="0016403D" w:rsidTr="009B5EDB">
        <w:tc>
          <w:tcPr>
            <w:tcW w:w="8222" w:type="dxa"/>
          </w:tcPr>
          <w:p w:rsidR="0016403D" w:rsidRPr="0016403D" w:rsidRDefault="00B72A85" w:rsidP="0016403D">
            <w:pPr>
              <w:pStyle w:val="01Standaard"/>
              <w:tabs>
                <w:tab w:val="left" w:pos="567"/>
              </w:tabs>
              <w:spacing w:before="0" w:after="240"/>
              <w:jc w:val="both"/>
              <w:rPr>
                <w:i w:val="0"/>
                <w:sz w:val="24"/>
                <w:szCs w:val="22"/>
              </w:rPr>
            </w:pPr>
            <m:oMathPara>
              <m:oMathParaPr>
                <m:jc m:val="center"/>
              </m:oMathParaPr>
              <m:oMath>
                <m:sSubSup>
                  <m:sSubSupPr>
                    <m:ctrlPr>
                      <w:rPr>
                        <w:sz w:val="24"/>
                        <w:szCs w:val="22"/>
                      </w:rPr>
                    </m:ctrlPr>
                  </m:sSubSupPr>
                  <m:e>
                    <m:r>
                      <w:rPr>
                        <w:sz w:val="24"/>
                        <w:szCs w:val="22"/>
                      </w:rPr>
                      <m:t>M</m:t>
                    </m:r>
                  </m:e>
                  <m:sub>
                    <m:r>
                      <w:rPr>
                        <w:sz w:val="24"/>
                        <w:szCs w:val="22"/>
                      </w:rPr>
                      <m:t>t</m:t>
                    </m:r>
                  </m:sub>
                  <m:sup>
                    <m:r>
                      <w:rPr>
                        <w:sz w:val="24"/>
                        <w:szCs w:val="22"/>
                      </w:rPr>
                      <m:t>K</m:t>
                    </m:r>
                  </m:sup>
                </m:sSubSup>
                <m:r>
                  <w:rPr>
                    <w:sz w:val="24"/>
                    <w:szCs w:val="22"/>
                  </w:rPr>
                  <m:t>=</m:t>
                </m:r>
                <m:sSubSup>
                  <m:sSubSupPr>
                    <m:ctrlPr>
                      <w:rPr>
                        <w:sz w:val="24"/>
                        <w:szCs w:val="22"/>
                      </w:rPr>
                    </m:ctrlPr>
                  </m:sSubSupPr>
                  <m:e>
                    <m:r>
                      <w:rPr>
                        <w:sz w:val="24"/>
                        <w:szCs w:val="22"/>
                      </w:rPr>
                      <m:t>R</m:t>
                    </m:r>
                  </m:e>
                  <m:sub>
                    <m:r>
                      <w:rPr>
                        <w:sz w:val="24"/>
                        <w:szCs w:val="22"/>
                      </w:rPr>
                      <m:t>t</m:t>
                    </m:r>
                  </m:sub>
                  <m:sup>
                    <m:r>
                      <w:rPr>
                        <w:sz w:val="24"/>
                        <w:szCs w:val="22"/>
                      </w:rPr>
                      <m:t>K</m:t>
                    </m:r>
                  </m:sup>
                </m:sSubSup>
                <m:sSubSup>
                  <m:sSubSupPr>
                    <m:ctrlPr>
                      <w:rPr>
                        <w:sz w:val="24"/>
                        <w:szCs w:val="22"/>
                      </w:rPr>
                    </m:ctrlPr>
                  </m:sSubSupPr>
                  <m:e>
                    <m:r>
                      <w:rPr>
                        <w:sz w:val="24"/>
                        <w:szCs w:val="22"/>
                      </w:rPr>
                      <m:t>μ</m:t>
                    </m:r>
                  </m:e>
                  <m:sub>
                    <m:r>
                      <w:rPr>
                        <w:sz w:val="24"/>
                        <w:szCs w:val="22"/>
                      </w:rPr>
                      <m:t>t</m:t>
                    </m:r>
                  </m:sub>
                  <m:sup>
                    <m:r>
                      <w:rPr>
                        <w:sz w:val="24"/>
                        <w:szCs w:val="22"/>
                      </w:rPr>
                      <m:t>K</m:t>
                    </m:r>
                  </m:sup>
                </m:sSubSup>
                <m:r>
                  <w:rPr>
                    <w:sz w:val="24"/>
                    <w:szCs w:val="22"/>
                  </w:rPr>
                  <m:t>.</m:t>
                </m:r>
              </m:oMath>
            </m:oMathPara>
          </w:p>
        </w:tc>
        <w:tc>
          <w:tcPr>
            <w:tcW w:w="521" w:type="dxa"/>
            <w:vAlign w:val="center"/>
          </w:tcPr>
          <w:p w:rsidR="0016403D" w:rsidRPr="0016403D" w:rsidRDefault="0016403D" w:rsidP="009B5EDB">
            <w:pPr>
              <w:pStyle w:val="01Standaard"/>
              <w:tabs>
                <w:tab w:val="left" w:pos="567"/>
              </w:tabs>
              <w:spacing w:before="0" w:after="240"/>
              <w:jc w:val="both"/>
              <w:rPr>
                <w:i w:val="0"/>
                <w:sz w:val="24"/>
                <w:szCs w:val="22"/>
              </w:rPr>
            </w:pPr>
            <w:r w:rsidRPr="0016403D">
              <w:rPr>
                <w:i w:val="0"/>
                <w:sz w:val="24"/>
                <w:szCs w:val="22"/>
              </w:rPr>
              <w:t>(</w:t>
            </w:r>
            <w:r>
              <w:rPr>
                <w:i w:val="0"/>
                <w:sz w:val="24"/>
                <w:szCs w:val="22"/>
              </w:rPr>
              <w:t>3</w:t>
            </w:r>
            <w:r w:rsidRPr="0016403D">
              <w:rPr>
                <w:i w:val="0"/>
                <w:sz w:val="24"/>
                <w:szCs w:val="22"/>
              </w:rPr>
              <w:t>)</w:t>
            </w:r>
          </w:p>
        </w:tc>
      </w:tr>
    </w:tbl>
    <w:p w:rsidR="0052682E" w:rsidRPr="00BF644E" w:rsidRDefault="00661E81" w:rsidP="008F6DE0">
      <w:r>
        <w:t>This measure is evaluated for every item partition that one wants to consider.</w:t>
      </w:r>
      <w:r w:rsidR="002F618C">
        <w:t xml:space="preserve"> </w:t>
      </w:r>
      <w:r w:rsidR="00035A4A">
        <w:t>The</w:t>
      </w:r>
      <w:r w:rsidR="002F618C">
        <w:t xml:space="preserve"> three measures (1)-(3) take values between 0 and 1. </w:t>
      </w:r>
      <w:r w:rsidR="00F068AA">
        <w:t xml:space="preserve">Taking GTINs as products implies that </w:t>
      </w:r>
      <m:oMath>
        <m:sSubSup>
          <m:sSubSupPr>
            <m:ctrlPr>
              <w:rPr>
                <w:rFonts w:ascii="Cambria Math" w:hAnsi="Cambria Math"/>
                <w:i/>
              </w:rPr>
            </m:ctrlPr>
          </m:sSubSupPr>
          <m:e>
            <m:r>
              <w:rPr>
                <w:rFonts w:ascii="Cambria Math" w:hAnsi="Cambria Math"/>
              </w:rPr>
              <m:t>R</m:t>
            </m:r>
          </m:e>
          <m:sub>
            <m:r>
              <w:rPr>
                <w:rFonts w:ascii="Cambria Math" w:hAnsi="Cambria Math"/>
              </w:rPr>
              <m:t>t</m:t>
            </m:r>
          </m:sub>
          <m:sup>
            <m:r>
              <w:rPr>
                <w:rFonts w:ascii="Cambria Math" w:hAnsi="Cambria Math"/>
              </w:rPr>
              <m:t>K</m:t>
            </m:r>
          </m:sup>
        </m:sSubSup>
        <m:r>
          <w:rPr>
            <w:rFonts w:ascii="Cambria Math" w:hAnsi="Cambria Math"/>
          </w:rPr>
          <m:t>=1</m:t>
        </m:r>
      </m:oMath>
      <w:r w:rsidR="00F068AA">
        <w:t xml:space="preserve"> in every month </w:t>
      </w:r>
      <m:oMath>
        <m:r>
          <w:rPr>
            <w:rFonts w:ascii="Cambria Math" w:hAnsi="Cambria Math"/>
          </w:rPr>
          <m:t>t</m:t>
        </m:r>
      </m:oMath>
      <w:r w:rsidR="00F068AA">
        <w:t xml:space="preserve">. If there are no new items in month </w:t>
      </w:r>
      <m:oMath>
        <m:r>
          <w:rPr>
            <w:rFonts w:ascii="Cambria Math" w:hAnsi="Cambria Math"/>
          </w:rPr>
          <m:t>t</m:t>
        </m:r>
      </m:oMath>
      <w:r w:rsidR="00F068AA">
        <w:t>, that is</w:t>
      </w:r>
      <w:r w:rsidR="00522D66">
        <w:t>,</w:t>
      </w:r>
      <w:r w:rsidR="00F068AA">
        <w:t xml:space="preserve"> items that were not </w:t>
      </w:r>
      <w:r w:rsidR="00522D66">
        <w:t xml:space="preserve">sold in month 0, then </w:t>
      </w:r>
      <m:oMath>
        <m:sSubSup>
          <m:sSubSupPr>
            <m:ctrlPr>
              <w:rPr>
                <w:rFonts w:ascii="Cambria Math" w:hAnsi="Cambria Math"/>
                <w:i/>
              </w:rPr>
            </m:ctrlPr>
          </m:sSubSupPr>
          <m:e>
            <m:r>
              <w:rPr>
                <w:rFonts w:ascii="Cambria Math" w:hAnsi="Cambria Math"/>
              </w:rPr>
              <m:t>μ</m:t>
            </m:r>
          </m:e>
          <m:sub>
            <m:r>
              <w:rPr>
                <w:rFonts w:ascii="Cambria Math" w:hAnsi="Cambria Math"/>
              </w:rPr>
              <m:t>t</m:t>
            </m:r>
          </m:sub>
          <m:sup>
            <m:r>
              <w:rPr>
                <w:rFonts w:ascii="Cambria Math" w:hAnsi="Cambria Math"/>
              </w:rPr>
              <m:t>K</m:t>
            </m:r>
          </m:sup>
        </m:sSubSup>
        <m:r>
          <w:rPr>
            <w:rFonts w:ascii="Cambria Math" w:hAnsi="Cambria Math"/>
          </w:rPr>
          <m:t>=1</m:t>
        </m:r>
      </m:oMath>
      <w:r w:rsidR="00522D66">
        <w:t>. The entrance of new items will decrease the degree of product match if new items end up forming new products under an item partition.</w:t>
      </w:r>
    </w:p>
    <w:p w:rsidR="00BC6AFE" w:rsidRDefault="00BC6AFE" w:rsidP="00BC6AFE">
      <w:pPr>
        <w:pStyle w:val="Kop1"/>
      </w:pPr>
      <w:r>
        <w:t>Results</w:t>
      </w:r>
    </w:p>
    <w:p w:rsidR="008847C3" w:rsidRDefault="00160E3D" w:rsidP="00160E3D">
      <w:pPr>
        <w:pStyle w:val="Text1"/>
        <w:ind w:left="0"/>
      </w:pPr>
      <w:r w:rsidRPr="00160E3D">
        <w:t xml:space="preserve">The method </w:t>
      </w:r>
      <w:r>
        <w:t xml:space="preserve">MARS has been applied to different types of products, ranging from grocery to pharmacy products, electronics and clothing. Grocery items are quite stable, so that their prices can be followed over a fairly long period of time. MARS shows that the GTIN level is the most suitable level of product stratification in most of these cases. It is interesting to look at the results of MARS for product types </w:t>
      </w:r>
      <w:r w:rsidR="000F4931">
        <w:t>with high rates of churn</w:t>
      </w:r>
      <w:r>
        <w:t xml:space="preserve"> and relaunches. Figure 1 shows some results for televisions and hair care products.</w:t>
      </w:r>
    </w:p>
    <w:p w:rsidR="00160E3D" w:rsidRPr="00160E3D" w:rsidRDefault="00160E3D" w:rsidP="00160E3D">
      <w:pPr>
        <w:pStyle w:val="Text1"/>
        <w:ind w:left="0"/>
      </w:pPr>
      <w:r w:rsidRPr="00160E3D">
        <w:rPr>
          <w:noProof/>
          <w:lang w:eastAsia="en-GB"/>
        </w:rPr>
        <w:drawing>
          <wp:inline distT="0" distB="0" distL="0" distR="0">
            <wp:extent cx="5471795" cy="1705018"/>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1795" cy="1705018"/>
                    </a:xfrm>
                    <a:prstGeom prst="rect">
                      <a:avLst/>
                    </a:prstGeom>
                    <a:noFill/>
                    <a:ln>
                      <a:noFill/>
                    </a:ln>
                  </pic:spPr>
                </pic:pic>
              </a:graphicData>
            </a:graphic>
          </wp:inline>
        </w:drawing>
      </w:r>
    </w:p>
    <w:p w:rsidR="008847C3" w:rsidRDefault="008847C3" w:rsidP="008847C3">
      <w:pPr>
        <w:pStyle w:val="Bijschrift"/>
      </w:pPr>
      <w:r w:rsidRPr="00160E3D">
        <w:t xml:space="preserve">Figure </w:t>
      </w:r>
      <w:fldSimple w:instr=" SEQ Figure \* ARABIC ">
        <w:r w:rsidR="00302D8B">
          <w:rPr>
            <w:noProof/>
          </w:rPr>
          <w:t>1</w:t>
        </w:r>
      </w:fldSimple>
      <w:r w:rsidRPr="00160E3D">
        <w:t xml:space="preserve">. </w:t>
      </w:r>
      <w:r w:rsidR="007B0E09">
        <w:t>Results of MARS (formula (3)) for three GTIN partitions for televisions and hair care products in three years.</w:t>
      </w:r>
    </w:p>
    <w:p w:rsidR="009A41E5" w:rsidRDefault="0094172B" w:rsidP="009A41E5">
      <w:r w:rsidRPr="0094172B">
        <w:lastRenderedPageBreak/>
        <w:t xml:space="preserve">Figure 1 </w:t>
      </w:r>
      <w:r>
        <w:t>clearly shows that the rate of churn for televisions is extremely high: MARS reaches very low values as a consequence of the same, very low values for degree of product match (R squared is equal to 1 for GTINs as products). The share of new models reaches values between 80 and 90 per cent in the last months of each year.</w:t>
      </w:r>
    </w:p>
    <w:p w:rsidR="0094172B" w:rsidRDefault="0094172B" w:rsidP="009A41E5">
      <w:r>
        <w:t>When applying MARS, the attention should focus on its values in the la</w:t>
      </w:r>
      <w:r w:rsidR="00B27C41">
        <w:t>st months of the time window, when</w:t>
      </w:r>
      <w:r>
        <w:t xml:space="preserve"> the</w:t>
      </w:r>
      <w:r w:rsidR="00B27C41">
        <w:t xml:space="preserve"> high</w:t>
      </w:r>
      <w:r>
        <w:t xml:space="preserve"> rate</w:t>
      </w:r>
      <w:r w:rsidR="00B27C41">
        <w:t>s of churn become</w:t>
      </w:r>
      <w:r>
        <w:t xml:space="preserve"> most apparent. Figure 1 makes clear that the GTIN level is not suitable as product stratification level. GTINs should rather be grouped, and doing this by combining televisions with the same screen size, screen type and whether or not 3D is supported, gives the best result in the above example.</w:t>
      </w:r>
    </w:p>
    <w:p w:rsidR="008847C3" w:rsidRDefault="007302BE" w:rsidP="008847C3">
      <w:r>
        <w:t xml:space="preserve">Similar findings are obtained for hair care. </w:t>
      </w:r>
      <w:r w:rsidR="00664D91">
        <w:t>New items appear on the market at lower rates than for televisions, but their sales shares still reach fairly high levels. Relaunches are a typical feature in this market segment. Figure 1 shows that also in this case the GTIN level is not appropriate. Defining item groups by brand and package volume gives better results according to MARS, which implies that old and new GTINs will be linked and that price changes associated with relaunches will be captured.</w:t>
      </w:r>
      <w:r w:rsidR="00BA5958">
        <w:t xml:space="preserve"> The addition of a third attribute hardly improves the results.</w:t>
      </w:r>
    </w:p>
    <w:p w:rsidR="00BC6AFE" w:rsidRDefault="00BC6AFE" w:rsidP="00BC6AFE">
      <w:pPr>
        <w:pStyle w:val="Kop1"/>
      </w:pPr>
      <w:r>
        <w:t>Conclusions</w:t>
      </w:r>
    </w:p>
    <w:p w:rsidR="00BC6AFE" w:rsidRDefault="006E2051" w:rsidP="00BC6AFE">
      <w:r>
        <w:t>Until recently, decisions about defining products have been made</w:t>
      </w:r>
      <w:r w:rsidR="009C38D6">
        <w:t xml:space="preserve"> by</w:t>
      </w:r>
      <w:r>
        <w:t xml:space="preserve"> following a pragmatic approach. GTINs are found to be suitable products for stable assortments, while dynamic assortments are handled by selecting a set of item attributes, such that items/GTINs with the same characteristics are combined into the same group.</w:t>
      </w:r>
      <w:r w:rsidR="00E36B66">
        <w:t xml:space="preserve"> How to select attributes was still an open question.</w:t>
      </w:r>
    </w:p>
    <w:p w:rsidR="00F924AE" w:rsidRDefault="00F924AE" w:rsidP="00BC6AFE">
      <w:r>
        <w:t xml:space="preserve">MARS offers a method </w:t>
      </w:r>
      <w:r w:rsidR="00AB430E">
        <w:t>for comparing different product stratification choices and ranks different item partitions according to scores that combine measures of homogeneity and degree of product match over time.</w:t>
      </w:r>
      <w:r w:rsidR="00F651CE">
        <w:t xml:space="preserve"> MARS can contribute significantly to automating the product stratification process to a high degree, which is highly desirable when processing large electronic data sets.</w:t>
      </w:r>
      <w:r w:rsidR="00C96C35">
        <w:t xml:space="preserve"> MARS may therefore become a valuable tool for supporting consumer analysts in their decisions about product definition, selection of attributes, etc.</w:t>
      </w:r>
    </w:p>
    <w:p w:rsidR="00C96C35" w:rsidRDefault="00241A1B" w:rsidP="00BC6AFE">
      <w:r>
        <w:t xml:space="preserve">The first results obtained with MARS look promising: GTINs are inappropriate as products in cases with frequent relaunches and high rates of churn, while the GTIN level results as a safe option for stable assortments like grocery items. </w:t>
      </w:r>
      <w:r w:rsidR="001107FB">
        <w:t>MARS also tends to select attributes that are found to be relevant by consumer analysts, such as package volume, and screen size and screen type for televisions.</w:t>
      </w:r>
    </w:p>
    <w:p w:rsidR="001107FB" w:rsidRPr="00BC6AFE" w:rsidRDefault="00CF70C3" w:rsidP="00BC6AFE">
      <w:r>
        <w:t xml:space="preserve">NSIs are often faced with limited metadata in transaction data sets. A major challenge therefore is to find out whether such data could be used for product stratification and index calculation purposes. </w:t>
      </w:r>
      <w:r w:rsidR="00510386">
        <w:t>One route could be to supplement metadata with web scraped data. Alternatively, price segments could be defined and explored as an additional variable. Statistics Netherlands and other NSIs are currently investigating both possibilities.</w:t>
      </w:r>
    </w:p>
    <w:p w:rsidR="00BC6AFE" w:rsidRDefault="00BC6AFE" w:rsidP="009B4EE0">
      <w:pPr>
        <w:pStyle w:val="Kop1"/>
        <w:numPr>
          <w:ilvl w:val="0"/>
          <w:numId w:val="0"/>
        </w:numPr>
        <w:ind w:left="480" w:hanging="480"/>
      </w:pPr>
      <w:r>
        <w:t>References</w:t>
      </w:r>
    </w:p>
    <w:p w:rsidR="00BB45FD" w:rsidRPr="00BB45FD" w:rsidRDefault="006A65DE" w:rsidP="00BB45FD">
      <w:pPr>
        <w:pStyle w:val="Text1"/>
        <w:numPr>
          <w:ilvl w:val="0"/>
          <w:numId w:val="20"/>
        </w:numPr>
        <w:ind w:left="357" w:hanging="357"/>
      </w:pPr>
      <w:r w:rsidRPr="006A65DE">
        <w:t>A.G. Chessa</w:t>
      </w:r>
      <w:r w:rsidR="005B4EA5" w:rsidRPr="006A65DE">
        <w:t xml:space="preserve">, </w:t>
      </w:r>
      <w:r w:rsidRPr="006A65DE">
        <w:t>Product definition and index calculation with MARS-QU: Applications to consumer electronics</w:t>
      </w:r>
      <w:r w:rsidR="009B4EE0" w:rsidRPr="006A65DE">
        <w:t xml:space="preserve">, </w:t>
      </w:r>
      <w:r w:rsidRPr="006A65DE">
        <w:t>Report Statistics Netherlands</w:t>
      </w:r>
      <w:r w:rsidR="009B4EE0" w:rsidRPr="006A65DE">
        <w:t xml:space="preserve"> (</w:t>
      </w:r>
      <w:r w:rsidRPr="006A65DE">
        <w:t>2018</w:t>
      </w:r>
      <w:r w:rsidR="009B4EE0" w:rsidRPr="006A65DE">
        <w:t xml:space="preserve">), </w:t>
      </w:r>
      <w:r w:rsidRPr="006A65DE">
        <w:t>44 pages</w:t>
      </w:r>
      <w:r w:rsidR="009B4EE0" w:rsidRPr="006A65DE">
        <w:t>.</w:t>
      </w:r>
    </w:p>
    <w:sectPr w:rsidR="00BB45FD" w:rsidRPr="00BB45FD" w:rsidSect="00BC6AFE">
      <w:footerReference w:type="default" r:id="rId12"/>
      <w:headerReference w:type="first" r:id="rId13"/>
      <w:footerReference w:type="first" r:id="rId14"/>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D35" w:rsidRDefault="00365D35" w:rsidP="00BC6AFE">
      <w:pPr>
        <w:spacing w:after="0"/>
      </w:pPr>
      <w:r>
        <w:separator/>
      </w:r>
    </w:p>
  </w:endnote>
  <w:endnote w:type="continuationSeparator" w:id="0">
    <w:p w:rsidR="00365D35" w:rsidRDefault="00365D35"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Voettekst"/>
      <w:jc w:val="center"/>
    </w:pPr>
    <w:r>
      <w:fldChar w:fldCharType="begin"/>
    </w:r>
    <w:r>
      <w:instrText>PAGE</w:instrText>
    </w:r>
    <w:r>
      <w:fldChar w:fldCharType="separate"/>
    </w:r>
    <w:r w:rsidR="00B72A85">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Voettekst"/>
      <w:rPr>
        <w:sz w:val="24"/>
        <w:szCs w:val="24"/>
      </w:rPr>
    </w:pPr>
  </w:p>
  <w:p w:rsidR="00D24082" w:rsidRDefault="00D24082">
    <w:pPr>
      <w:pStyle w:val="Voettekst"/>
    </w:pPr>
    <w:r w:rsidRPr="00332350">
      <w:t xml:space="preserve">Commission </w:t>
    </w:r>
    <w:proofErr w:type="spellStart"/>
    <w:r w:rsidRPr="00332350">
      <w:t>européenne</w:t>
    </w:r>
    <w:proofErr w:type="spellEnd"/>
    <w:r w:rsidRPr="00332350">
      <w:t xml:space="preserve">, 2920 Luxembourg, LUXEMBOURG - Tel. </w:t>
    </w:r>
    <w:r>
      <w:t>+352 43011</w:t>
    </w:r>
    <w:r>
      <w:rPr>
        <w:noProof/>
      </w:rPr>
      <w:br/>
      <w:t>Office: BECH A2/160 - Tel. direct line +352 4301-+352-4301-35934 - Fax +352 4301-+352-4301-33899</w:t>
    </w:r>
  </w:p>
  <w:p w:rsidR="00D24082" w:rsidRDefault="00D24082">
    <w:pPr>
      <w:pStyle w:val="Voettekst"/>
    </w:pPr>
  </w:p>
  <w:p w:rsidR="00D24082" w:rsidRDefault="00D24082">
    <w:pPr>
      <w:pStyle w:val="Voettekst"/>
    </w:pPr>
    <w:r>
      <w:t>http://epp.eurostat.ec.europa.eu</w:t>
    </w:r>
  </w:p>
  <w:p w:rsidR="00D24082" w:rsidRDefault="00D24082">
    <w:pPr>
      <w:pStyle w:val="Voettekst"/>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D35" w:rsidRDefault="00365D35" w:rsidP="00BC6AFE">
      <w:pPr>
        <w:spacing w:after="0"/>
      </w:pPr>
      <w:r>
        <w:separator/>
      </w:r>
    </w:p>
  </w:footnote>
  <w:footnote w:type="continuationSeparator" w:id="0">
    <w:p w:rsidR="00365D35" w:rsidRDefault="00365D35"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82" w:rsidRDefault="00D24082">
    <w:pPr>
      <w:pStyle w:val="Koptekst"/>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A432656"/>
    <w:multiLevelType w:val="multilevel"/>
    <w:tmpl w:val="AC885D7A"/>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080"/>
        </w:tabs>
        <w:ind w:left="1080" w:hanging="600"/>
      </w:pPr>
    </w:lvl>
    <w:lvl w:ilvl="2">
      <w:start w:val="1"/>
      <w:numFmt w:val="decimal"/>
      <w:pStyle w:val="Kop3"/>
      <w:lvlText w:val="%1.%2.%3."/>
      <w:lvlJc w:val="left"/>
      <w:pPr>
        <w:tabs>
          <w:tab w:val="num" w:pos="1920"/>
        </w:tabs>
        <w:ind w:left="1920" w:hanging="840"/>
      </w:pPr>
    </w:lvl>
    <w:lvl w:ilvl="3">
      <w:start w:val="1"/>
      <w:numFmt w:val="decimal"/>
      <w:pStyle w:val="Kop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15" w15:restartNumberingAfterBreak="0">
    <w:nsid w:val="5B7428D1"/>
    <w:multiLevelType w:val="hybridMultilevel"/>
    <w:tmpl w:val="2DA45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6"/>
  </w:num>
  <w:num w:numId="10">
    <w:abstractNumId w:val="18"/>
  </w:num>
  <w:num w:numId="11">
    <w:abstractNumId w:val="17"/>
  </w:num>
  <w:num w:numId="12">
    <w:abstractNumId w:val="19"/>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 w:numId="21">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365D35"/>
    <w:rsid w:val="00035A4A"/>
    <w:rsid w:val="000642A1"/>
    <w:rsid w:val="00091EF0"/>
    <w:rsid w:val="00096DB2"/>
    <w:rsid w:val="000A0E57"/>
    <w:rsid w:val="000C56CD"/>
    <w:rsid w:val="000F4931"/>
    <w:rsid w:val="000F4EEB"/>
    <w:rsid w:val="000F7438"/>
    <w:rsid w:val="0010537F"/>
    <w:rsid w:val="001107FB"/>
    <w:rsid w:val="00116063"/>
    <w:rsid w:val="00127067"/>
    <w:rsid w:val="00160E3D"/>
    <w:rsid w:val="0016403D"/>
    <w:rsid w:val="001857CF"/>
    <w:rsid w:val="001B50CE"/>
    <w:rsid w:val="002012A8"/>
    <w:rsid w:val="00207D96"/>
    <w:rsid w:val="00216CDF"/>
    <w:rsid w:val="00241A1B"/>
    <w:rsid w:val="00243371"/>
    <w:rsid w:val="00243A2C"/>
    <w:rsid w:val="0027046A"/>
    <w:rsid w:val="00276593"/>
    <w:rsid w:val="002D47FD"/>
    <w:rsid w:val="002D65C9"/>
    <w:rsid w:val="002F618C"/>
    <w:rsid w:val="00302D8B"/>
    <w:rsid w:val="00332350"/>
    <w:rsid w:val="00332D6F"/>
    <w:rsid w:val="003361CC"/>
    <w:rsid w:val="003403C2"/>
    <w:rsid w:val="00344D70"/>
    <w:rsid w:val="003507C2"/>
    <w:rsid w:val="00365D35"/>
    <w:rsid w:val="003C540F"/>
    <w:rsid w:val="003D30B8"/>
    <w:rsid w:val="003D4EBD"/>
    <w:rsid w:val="003E6D6D"/>
    <w:rsid w:val="003F2E49"/>
    <w:rsid w:val="0040049C"/>
    <w:rsid w:val="004019E4"/>
    <w:rsid w:val="00426738"/>
    <w:rsid w:val="00443B25"/>
    <w:rsid w:val="004831FB"/>
    <w:rsid w:val="004970C4"/>
    <w:rsid w:val="004B172E"/>
    <w:rsid w:val="004D6999"/>
    <w:rsid w:val="004E677F"/>
    <w:rsid w:val="004F655C"/>
    <w:rsid w:val="00510386"/>
    <w:rsid w:val="00516A78"/>
    <w:rsid w:val="00520BC7"/>
    <w:rsid w:val="00522D66"/>
    <w:rsid w:val="0052682E"/>
    <w:rsid w:val="00532C94"/>
    <w:rsid w:val="00573E28"/>
    <w:rsid w:val="0058198F"/>
    <w:rsid w:val="005A24E5"/>
    <w:rsid w:val="005B4EA5"/>
    <w:rsid w:val="005D2015"/>
    <w:rsid w:val="005F3CB7"/>
    <w:rsid w:val="006312AF"/>
    <w:rsid w:val="00661E81"/>
    <w:rsid w:val="00664D91"/>
    <w:rsid w:val="006875D6"/>
    <w:rsid w:val="006A65DE"/>
    <w:rsid w:val="006C5B86"/>
    <w:rsid w:val="006D2916"/>
    <w:rsid w:val="006E2051"/>
    <w:rsid w:val="006E30D7"/>
    <w:rsid w:val="007302BE"/>
    <w:rsid w:val="0076587E"/>
    <w:rsid w:val="007A2A85"/>
    <w:rsid w:val="007A43FC"/>
    <w:rsid w:val="007B0E09"/>
    <w:rsid w:val="007B3519"/>
    <w:rsid w:val="007B5DF6"/>
    <w:rsid w:val="00820BDC"/>
    <w:rsid w:val="00826973"/>
    <w:rsid w:val="00856F8A"/>
    <w:rsid w:val="0086628D"/>
    <w:rsid w:val="008847C3"/>
    <w:rsid w:val="0088528B"/>
    <w:rsid w:val="00892322"/>
    <w:rsid w:val="008A75D0"/>
    <w:rsid w:val="008B45F8"/>
    <w:rsid w:val="008E29ED"/>
    <w:rsid w:val="008F6DE0"/>
    <w:rsid w:val="00923850"/>
    <w:rsid w:val="0094172B"/>
    <w:rsid w:val="00956655"/>
    <w:rsid w:val="00962B20"/>
    <w:rsid w:val="00975292"/>
    <w:rsid w:val="00983751"/>
    <w:rsid w:val="00987E0F"/>
    <w:rsid w:val="009A41E5"/>
    <w:rsid w:val="009B4EE0"/>
    <w:rsid w:val="009C38D6"/>
    <w:rsid w:val="009D70E2"/>
    <w:rsid w:val="009E7A56"/>
    <w:rsid w:val="009F60D6"/>
    <w:rsid w:val="00A17E8C"/>
    <w:rsid w:val="00A505F7"/>
    <w:rsid w:val="00A715C0"/>
    <w:rsid w:val="00A82628"/>
    <w:rsid w:val="00AB430E"/>
    <w:rsid w:val="00AB4423"/>
    <w:rsid w:val="00AB5499"/>
    <w:rsid w:val="00B22C3F"/>
    <w:rsid w:val="00B27C41"/>
    <w:rsid w:val="00B72A85"/>
    <w:rsid w:val="00B9492F"/>
    <w:rsid w:val="00BA5958"/>
    <w:rsid w:val="00BB45FD"/>
    <w:rsid w:val="00BC17F5"/>
    <w:rsid w:val="00BC2413"/>
    <w:rsid w:val="00BC6AFE"/>
    <w:rsid w:val="00BE2FE1"/>
    <w:rsid w:val="00BF644E"/>
    <w:rsid w:val="00C11260"/>
    <w:rsid w:val="00C45B4B"/>
    <w:rsid w:val="00C5141B"/>
    <w:rsid w:val="00C96C35"/>
    <w:rsid w:val="00CD4958"/>
    <w:rsid w:val="00CF70C3"/>
    <w:rsid w:val="00D24082"/>
    <w:rsid w:val="00D417D8"/>
    <w:rsid w:val="00D43403"/>
    <w:rsid w:val="00D52EA1"/>
    <w:rsid w:val="00D71DCE"/>
    <w:rsid w:val="00DB601E"/>
    <w:rsid w:val="00E2043F"/>
    <w:rsid w:val="00E36B66"/>
    <w:rsid w:val="00E871EE"/>
    <w:rsid w:val="00EE72B7"/>
    <w:rsid w:val="00F068AA"/>
    <w:rsid w:val="00F44F58"/>
    <w:rsid w:val="00F474FA"/>
    <w:rsid w:val="00F62301"/>
    <w:rsid w:val="00F651CE"/>
    <w:rsid w:val="00F91574"/>
    <w:rsid w:val="00F924AE"/>
    <w:rsid w:val="00F97531"/>
    <w:rsid w:val="00FA6E3B"/>
    <w:rsid w:val="00FB1544"/>
    <w:rsid w:val="00FE0A08"/>
    <w:rsid w:val="00FF1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968E20"/>
  <w15:chartTrackingRefBased/>
  <w15:docId w15:val="{5EC65A15-F8E3-455F-A5F7-02AFB4285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52EA1"/>
    <w:pPr>
      <w:spacing w:after="240"/>
      <w:jc w:val="both"/>
    </w:pPr>
    <w:rPr>
      <w:sz w:val="24"/>
      <w:lang w:eastAsia="en-US"/>
    </w:rPr>
  </w:style>
  <w:style w:type="paragraph" w:styleId="Kop1">
    <w:name w:val="heading 1"/>
    <w:basedOn w:val="Standaard"/>
    <w:next w:val="Text1"/>
    <w:link w:val="Kop1Char"/>
    <w:qFormat/>
    <w:pPr>
      <w:keepNext/>
      <w:numPr>
        <w:numId w:val="3"/>
      </w:numPr>
      <w:spacing w:before="240"/>
      <w:outlineLvl w:val="0"/>
    </w:pPr>
    <w:rPr>
      <w:b/>
      <w:smallCaps/>
    </w:rPr>
  </w:style>
  <w:style w:type="paragraph" w:styleId="Kop2">
    <w:name w:val="heading 2"/>
    <w:basedOn w:val="Standaard"/>
    <w:next w:val="Text2"/>
    <w:link w:val="Kop2Char"/>
    <w:qFormat/>
    <w:pPr>
      <w:keepNext/>
      <w:numPr>
        <w:ilvl w:val="1"/>
        <w:numId w:val="3"/>
      </w:numPr>
      <w:outlineLvl w:val="1"/>
    </w:pPr>
    <w:rPr>
      <w:b/>
    </w:rPr>
  </w:style>
  <w:style w:type="paragraph" w:styleId="Kop3">
    <w:name w:val="heading 3"/>
    <w:basedOn w:val="Standaard"/>
    <w:next w:val="Text3"/>
    <w:qFormat/>
    <w:pPr>
      <w:keepNext/>
      <w:numPr>
        <w:ilvl w:val="2"/>
        <w:numId w:val="3"/>
      </w:numPr>
      <w:outlineLvl w:val="2"/>
    </w:pPr>
    <w:rPr>
      <w:i/>
    </w:rPr>
  </w:style>
  <w:style w:type="paragraph" w:styleId="Kop4">
    <w:name w:val="heading 4"/>
    <w:basedOn w:val="Standaard"/>
    <w:next w:val="Text4"/>
    <w:qFormat/>
    <w:pPr>
      <w:keepNext/>
      <w:numPr>
        <w:ilvl w:val="3"/>
        <w:numId w:val="3"/>
      </w:numPr>
      <w:outlineLvl w:val="3"/>
    </w:pPr>
  </w:style>
  <w:style w:type="paragraph" w:styleId="Kop5">
    <w:name w:val="heading 5"/>
    <w:basedOn w:val="Standaard"/>
    <w:next w:val="Standaard"/>
    <w:qFormat/>
    <w:pPr>
      <w:spacing w:before="240" w:after="60"/>
      <w:ind w:left="3332" w:hanging="708"/>
      <w:outlineLvl w:val="4"/>
    </w:pPr>
    <w:rPr>
      <w:rFonts w:ascii="Arial" w:hAnsi="Arial"/>
      <w:sz w:val="22"/>
    </w:rPr>
  </w:style>
  <w:style w:type="paragraph" w:styleId="Kop6">
    <w:name w:val="heading 6"/>
    <w:basedOn w:val="Standaard"/>
    <w:next w:val="Standaard"/>
    <w:qFormat/>
    <w:pPr>
      <w:spacing w:before="240" w:after="60"/>
      <w:ind w:left="4040" w:hanging="708"/>
      <w:outlineLvl w:val="5"/>
    </w:pPr>
    <w:rPr>
      <w:rFonts w:ascii="Arial" w:hAnsi="Arial"/>
      <w:i/>
      <w:sz w:val="22"/>
    </w:rPr>
  </w:style>
  <w:style w:type="paragraph" w:styleId="Kop7">
    <w:name w:val="heading 7"/>
    <w:basedOn w:val="Standaard"/>
    <w:next w:val="Standaard"/>
    <w:qFormat/>
    <w:pPr>
      <w:spacing w:before="240" w:after="60"/>
      <w:ind w:left="4748" w:hanging="708"/>
      <w:outlineLvl w:val="6"/>
    </w:pPr>
    <w:rPr>
      <w:rFonts w:ascii="Arial" w:hAnsi="Arial"/>
      <w:sz w:val="20"/>
    </w:rPr>
  </w:style>
  <w:style w:type="paragraph" w:styleId="Kop8">
    <w:name w:val="heading 8"/>
    <w:basedOn w:val="Standaard"/>
    <w:next w:val="Standaard"/>
    <w:qFormat/>
    <w:pPr>
      <w:spacing w:before="240" w:after="60"/>
      <w:ind w:left="5456" w:hanging="708"/>
      <w:outlineLvl w:val="7"/>
    </w:pPr>
    <w:rPr>
      <w:rFonts w:ascii="Arial" w:hAnsi="Arial"/>
      <w:i/>
      <w:sz w:val="20"/>
    </w:rPr>
  </w:style>
  <w:style w:type="paragraph" w:styleId="Kop9">
    <w:name w:val="heading 9"/>
    <w:basedOn w:val="Standaard"/>
    <w:next w:val="Standaard"/>
    <w:qFormat/>
    <w:pPr>
      <w:spacing w:before="240" w:after="60"/>
      <w:ind w:left="6164" w:hanging="708"/>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ind w:left="482"/>
    </w:pPr>
  </w:style>
  <w:style w:type="paragraph" w:customStyle="1" w:styleId="Text2">
    <w:name w:val="Text 2"/>
    <w:basedOn w:val="Standaard"/>
    <w:pPr>
      <w:tabs>
        <w:tab w:val="left" w:pos="2160"/>
      </w:tabs>
      <w:ind w:left="1077"/>
    </w:pPr>
  </w:style>
  <w:style w:type="paragraph" w:customStyle="1" w:styleId="Text3">
    <w:name w:val="Text 3"/>
    <w:basedOn w:val="Standaard"/>
    <w:pPr>
      <w:tabs>
        <w:tab w:val="left" w:pos="2302"/>
      </w:tabs>
      <w:ind w:left="1916"/>
    </w:pPr>
  </w:style>
  <w:style w:type="paragraph" w:customStyle="1" w:styleId="Text4">
    <w:name w:val="Text 4"/>
    <w:basedOn w:val="Standaard"/>
    <w:pPr>
      <w:ind w:left="2880"/>
    </w:pPr>
  </w:style>
  <w:style w:type="paragraph" w:customStyle="1" w:styleId="Address">
    <w:name w:val="Address"/>
    <w:basedOn w:val="Standaard"/>
    <w:pPr>
      <w:spacing w:after="0"/>
      <w:jc w:val="left"/>
    </w:pPr>
  </w:style>
  <w:style w:type="paragraph" w:customStyle="1" w:styleId="AddressTL">
    <w:name w:val="AddressTL"/>
    <w:basedOn w:val="Standaard"/>
    <w:next w:val="Standaard"/>
    <w:pPr>
      <w:spacing w:after="720"/>
      <w:jc w:val="left"/>
    </w:pPr>
  </w:style>
  <w:style w:type="paragraph" w:customStyle="1" w:styleId="AddressTR">
    <w:name w:val="AddressTR"/>
    <w:basedOn w:val="Standaard"/>
    <w:next w:val="Standaard"/>
    <w:pPr>
      <w:spacing w:after="720"/>
      <w:ind w:left="5103"/>
      <w:jc w:val="left"/>
    </w:pPr>
  </w:style>
  <w:style w:type="paragraph" w:styleId="Bloktekst">
    <w:name w:val="Block Text"/>
    <w:basedOn w:val="Standaard"/>
    <w:pPr>
      <w:spacing w:after="120"/>
      <w:ind w:left="1440" w:right="1440"/>
    </w:pPr>
  </w:style>
  <w:style w:type="paragraph" w:styleId="Plattetekst">
    <w:name w:val="Body Text"/>
    <w:basedOn w:val="Standaard"/>
    <w:pPr>
      <w:spacing w:after="120"/>
    </w:pPr>
  </w:style>
  <w:style w:type="paragraph" w:styleId="Plattetekst2">
    <w:name w:val="Body Text 2"/>
    <w:basedOn w:val="Standaard"/>
    <w:pPr>
      <w:spacing w:after="120" w:line="480" w:lineRule="auto"/>
    </w:pPr>
  </w:style>
  <w:style w:type="paragraph" w:styleId="Plattetekst3">
    <w:name w:val="Body Text 3"/>
    <w:basedOn w:val="Standaard"/>
    <w:pPr>
      <w:spacing w:after="120"/>
    </w:pPr>
    <w:rPr>
      <w:sz w:val="16"/>
    </w:r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paragraph" w:styleId="Bijschrift">
    <w:name w:val="caption"/>
    <w:basedOn w:val="Standaard"/>
    <w:next w:val="Standaard"/>
    <w:qFormat/>
    <w:pPr>
      <w:spacing w:before="120" w:after="120"/>
    </w:pPr>
    <w:rPr>
      <w:b/>
    </w:rPr>
  </w:style>
  <w:style w:type="paragraph" w:styleId="Afsluiting">
    <w:name w:val="Closing"/>
    <w:basedOn w:val="Standaard"/>
    <w:next w:val="Handtekening"/>
    <w:pPr>
      <w:tabs>
        <w:tab w:val="left" w:pos="5103"/>
      </w:tabs>
      <w:spacing w:before="240"/>
      <w:ind w:left="5103"/>
      <w:jc w:val="left"/>
    </w:pPr>
  </w:style>
  <w:style w:type="paragraph" w:styleId="Handtekening">
    <w:name w:val="Signature"/>
    <w:basedOn w:val="Standaard"/>
    <w:next w:val="Contact"/>
    <w:link w:val="HandtekeningChar"/>
    <w:uiPriority w:val="99"/>
    <w:pPr>
      <w:tabs>
        <w:tab w:val="left" w:pos="5103"/>
      </w:tabs>
      <w:spacing w:before="1200" w:after="0"/>
      <w:ind w:left="5103"/>
      <w:jc w:val="center"/>
    </w:pPr>
  </w:style>
  <w:style w:type="paragraph" w:customStyle="1" w:styleId="Enclosures">
    <w:name w:val="Enclosures"/>
    <w:basedOn w:val="Standaard"/>
    <w:next w:val="Participants"/>
    <w:pPr>
      <w:keepNext/>
      <w:keepLines/>
      <w:tabs>
        <w:tab w:val="left" w:pos="5670"/>
      </w:tabs>
      <w:spacing w:before="480" w:after="0"/>
      <w:ind w:left="1985" w:hanging="1985"/>
      <w:jc w:val="left"/>
    </w:pPr>
  </w:style>
  <w:style w:type="paragraph" w:customStyle="1" w:styleId="Participants">
    <w:name w:val="Participants"/>
    <w:basedOn w:val="Standaard"/>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Standaard"/>
    <w:next w:val="Standaard"/>
    <w:pPr>
      <w:tabs>
        <w:tab w:val="left" w:pos="2552"/>
        <w:tab w:val="left" w:pos="2835"/>
        <w:tab w:val="left" w:pos="5670"/>
        <w:tab w:val="left" w:pos="6379"/>
        <w:tab w:val="left" w:pos="6804"/>
      </w:tabs>
      <w:spacing w:before="480" w:after="0"/>
      <w:ind w:left="1985" w:hanging="1985"/>
      <w:jc w:val="left"/>
    </w:pPr>
  </w:style>
  <w:style w:type="paragraph" w:styleId="Tekstopmerking">
    <w:name w:val="annotation text"/>
    <w:basedOn w:val="Standaard"/>
    <w:semiHidden/>
    <w:rPr>
      <w:sz w:val="20"/>
    </w:rPr>
  </w:style>
  <w:style w:type="paragraph" w:styleId="Datum">
    <w:name w:val="Date"/>
    <w:basedOn w:val="Standaard"/>
    <w:next w:val="References"/>
    <w:link w:val="DatumChar"/>
    <w:uiPriority w:val="99"/>
    <w:pPr>
      <w:spacing w:after="0"/>
      <w:ind w:left="5103" w:right="-567"/>
      <w:jc w:val="left"/>
    </w:pPr>
  </w:style>
  <w:style w:type="paragraph" w:customStyle="1" w:styleId="References">
    <w:name w:val="References"/>
    <w:basedOn w:val="Standaard"/>
    <w:next w:val="AddressTR"/>
    <w:uiPriority w:val="99"/>
    <w:pPr>
      <w:ind w:left="5103"/>
      <w:jc w:val="left"/>
    </w:pPr>
    <w:rPr>
      <w:sz w:val="20"/>
    </w:rPr>
  </w:style>
  <w:style w:type="paragraph" w:styleId="Documentstructuur">
    <w:name w:val="Document Map"/>
    <w:basedOn w:val="Standaard"/>
    <w:semiHidden/>
    <w:pPr>
      <w:shd w:val="clear" w:color="auto" w:fill="000080"/>
    </w:pPr>
    <w:rPr>
      <w:rFonts w:ascii="Tahoma" w:hAnsi="Tahoma"/>
    </w:rPr>
  </w:style>
  <w:style w:type="paragraph" w:customStyle="1" w:styleId="DoubSign">
    <w:name w:val="DoubSign"/>
    <w:basedOn w:val="Standaard"/>
    <w:next w:val="Contact"/>
    <w:pPr>
      <w:tabs>
        <w:tab w:val="left" w:pos="5103"/>
      </w:tabs>
      <w:spacing w:before="1200" w:after="0"/>
      <w:jc w:val="left"/>
    </w:pPr>
  </w:style>
  <w:style w:type="paragraph" w:styleId="Eindnoottekst">
    <w:name w:val="endnote text"/>
    <w:basedOn w:val="Standaard"/>
    <w:semiHidden/>
    <w:rPr>
      <w:sz w:val="20"/>
    </w:rPr>
  </w:style>
  <w:style w:type="paragraph" w:styleId="Adresenvelop">
    <w:name w:val="envelope address"/>
    <w:basedOn w:val="Standaard"/>
    <w:pPr>
      <w:framePr w:w="7920" w:h="1980" w:hRule="exact" w:hSpace="180" w:wrap="auto" w:hAnchor="page" w:xAlign="center" w:yAlign="bottom"/>
      <w:spacing w:after="0"/>
    </w:pPr>
  </w:style>
  <w:style w:type="paragraph" w:styleId="Afzender">
    <w:name w:val="envelope return"/>
    <w:basedOn w:val="Standaard"/>
    <w:pPr>
      <w:spacing w:after="0"/>
    </w:pPr>
    <w:rPr>
      <w:sz w:val="20"/>
    </w:rPr>
  </w:style>
  <w:style w:type="paragraph" w:styleId="Voettekst">
    <w:name w:val="footer"/>
    <w:basedOn w:val="Standaard"/>
    <w:link w:val="VoettekstChar"/>
    <w:uiPriority w:val="99"/>
    <w:pPr>
      <w:spacing w:after="0"/>
      <w:ind w:right="-567"/>
      <w:jc w:val="left"/>
    </w:pPr>
    <w:rPr>
      <w:rFonts w:ascii="Arial" w:hAnsi="Arial"/>
      <w:sz w:val="16"/>
    </w:rPr>
  </w:style>
  <w:style w:type="paragraph" w:styleId="Voetnoottekst">
    <w:name w:val="footnote text"/>
    <w:basedOn w:val="Standaard"/>
    <w:semiHidden/>
    <w:pPr>
      <w:ind w:left="357" w:hanging="357"/>
    </w:pPr>
    <w:rPr>
      <w:sz w:val="20"/>
    </w:rPr>
  </w:style>
  <w:style w:type="paragraph" w:styleId="Koptekst">
    <w:name w:val="header"/>
    <w:basedOn w:val="Standaard"/>
    <w:link w:val="KoptekstChar"/>
    <w:uiPriority w:val="99"/>
    <w:pPr>
      <w:tabs>
        <w:tab w:val="center" w:pos="4153"/>
        <w:tab w:val="right" w:pos="8306"/>
      </w:tabs>
    </w:pPr>
  </w:style>
  <w:style w:type="paragraph" w:styleId="Index1">
    <w:name w:val="index 1"/>
    <w:basedOn w:val="Standaard"/>
    <w:next w:val="Standaard"/>
    <w:autoRedefine/>
    <w:semiHidden/>
    <w:pPr>
      <w:ind w:left="240" w:hanging="240"/>
    </w:pPr>
  </w:style>
  <w:style w:type="paragraph" w:styleId="Index2">
    <w:name w:val="index 2"/>
    <w:basedOn w:val="Standaard"/>
    <w:next w:val="Standaard"/>
    <w:autoRedefine/>
    <w:semiHidden/>
    <w:pPr>
      <w:ind w:left="480" w:hanging="240"/>
    </w:pPr>
  </w:style>
  <w:style w:type="paragraph" w:styleId="Index3">
    <w:name w:val="index 3"/>
    <w:basedOn w:val="Standaard"/>
    <w:next w:val="Standaard"/>
    <w:autoRedefine/>
    <w:semiHidden/>
    <w:pPr>
      <w:ind w:left="720" w:hanging="240"/>
    </w:pPr>
  </w:style>
  <w:style w:type="paragraph" w:styleId="Index4">
    <w:name w:val="index 4"/>
    <w:basedOn w:val="Standaard"/>
    <w:next w:val="Standaard"/>
    <w:autoRedefine/>
    <w:semiHidden/>
    <w:pPr>
      <w:ind w:left="960" w:hanging="240"/>
    </w:pPr>
  </w:style>
  <w:style w:type="paragraph" w:styleId="Index5">
    <w:name w:val="index 5"/>
    <w:basedOn w:val="Standaard"/>
    <w:next w:val="Standaard"/>
    <w:autoRedefine/>
    <w:semiHidden/>
    <w:pPr>
      <w:ind w:left="1200" w:hanging="240"/>
    </w:pPr>
  </w:style>
  <w:style w:type="paragraph" w:styleId="Index6">
    <w:name w:val="index 6"/>
    <w:basedOn w:val="Standaard"/>
    <w:next w:val="Standaard"/>
    <w:autoRedefine/>
    <w:semiHidden/>
    <w:pPr>
      <w:ind w:left="1440" w:hanging="240"/>
    </w:pPr>
  </w:style>
  <w:style w:type="paragraph" w:styleId="Index7">
    <w:name w:val="index 7"/>
    <w:basedOn w:val="Standaard"/>
    <w:next w:val="Standaard"/>
    <w:autoRedefine/>
    <w:semiHidden/>
    <w:pPr>
      <w:ind w:left="1680" w:hanging="240"/>
    </w:pPr>
  </w:style>
  <w:style w:type="paragraph" w:styleId="Index8">
    <w:name w:val="index 8"/>
    <w:basedOn w:val="Standaard"/>
    <w:next w:val="Standaard"/>
    <w:autoRedefine/>
    <w:semiHidden/>
    <w:pPr>
      <w:ind w:left="1920" w:hanging="240"/>
    </w:pPr>
  </w:style>
  <w:style w:type="paragraph" w:styleId="Index9">
    <w:name w:val="index 9"/>
    <w:basedOn w:val="Standaard"/>
    <w:next w:val="Standaard"/>
    <w:autoRedefine/>
    <w:semiHidden/>
    <w:pPr>
      <w:ind w:left="2160" w:hanging="240"/>
    </w:pPr>
  </w:style>
  <w:style w:type="paragraph" w:styleId="Indexkop">
    <w:name w:val="index heading"/>
    <w:basedOn w:val="Standaard"/>
    <w:next w:val="Index1"/>
    <w:semiHidden/>
    <w:rPr>
      <w:rFonts w:ascii="Arial" w:hAnsi="Arial"/>
      <w:b/>
    </w:rPr>
  </w:style>
  <w:style w:type="paragraph" w:styleId="Lijst">
    <w:name w:val="List"/>
    <w:basedOn w:val="Standaard"/>
    <w:pPr>
      <w:ind w:left="283" w:hanging="283"/>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opsomteken">
    <w:name w:val="List Bullet"/>
    <w:basedOn w:val="Standaard"/>
    <w:pPr>
      <w:numPr>
        <w:numId w:val="4"/>
      </w:numPr>
    </w:pPr>
  </w:style>
  <w:style w:type="paragraph" w:styleId="Lijstopsomteken2">
    <w:name w:val="List Bullet 2"/>
    <w:basedOn w:val="Text2"/>
    <w:pPr>
      <w:numPr>
        <w:numId w:val="6"/>
      </w:numPr>
      <w:tabs>
        <w:tab w:val="clear" w:pos="2160"/>
      </w:tabs>
    </w:pPr>
  </w:style>
  <w:style w:type="paragraph" w:styleId="Lijstopsomteken3">
    <w:name w:val="List Bullet 3"/>
    <w:basedOn w:val="Text3"/>
    <w:pPr>
      <w:numPr>
        <w:numId w:val="7"/>
      </w:numPr>
      <w:tabs>
        <w:tab w:val="clear" w:pos="2302"/>
      </w:tabs>
    </w:pPr>
  </w:style>
  <w:style w:type="paragraph" w:styleId="Lijstopsomteken4">
    <w:name w:val="List Bullet 4"/>
    <w:basedOn w:val="Text4"/>
    <w:pPr>
      <w:numPr>
        <w:numId w:val="8"/>
      </w:numPr>
    </w:pPr>
  </w:style>
  <w:style w:type="paragraph" w:styleId="Lijstopsomteken5">
    <w:name w:val="List Bullet 5"/>
    <w:basedOn w:val="Standaard"/>
    <w:autoRedefine/>
    <w:pPr>
      <w:numPr>
        <w:numId w:val="1"/>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Lijstnummering">
    <w:name w:val="List Number"/>
    <w:basedOn w:val="Standaard"/>
    <w:pPr>
      <w:numPr>
        <w:numId w:val="14"/>
      </w:numPr>
    </w:pPr>
  </w:style>
  <w:style w:type="paragraph" w:styleId="Lijstnummering2">
    <w:name w:val="List Number 2"/>
    <w:basedOn w:val="Text2"/>
    <w:pPr>
      <w:numPr>
        <w:numId w:val="16"/>
      </w:numPr>
      <w:tabs>
        <w:tab w:val="clear" w:pos="2160"/>
      </w:tabs>
    </w:pPr>
  </w:style>
  <w:style w:type="paragraph" w:styleId="Lijstnummering3">
    <w:name w:val="List Number 3"/>
    <w:basedOn w:val="Text3"/>
    <w:pPr>
      <w:numPr>
        <w:numId w:val="17"/>
      </w:numPr>
      <w:tabs>
        <w:tab w:val="clear" w:pos="2302"/>
      </w:tabs>
    </w:pPr>
  </w:style>
  <w:style w:type="paragraph" w:styleId="Lijstnummering4">
    <w:name w:val="List Number 4"/>
    <w:basedOn w:val="Text4"/>
    <w:pPr>
      <w:numPr>
        <w:numId w:val="18"/>
      </w:numPr>
    </w:pPr>
  </w:style>
  <w:style w:type="paragraph" w:styleId="Lijstnummering5">
    <w:name w:val="List Number 5"/>
    <w:basedOn w:val="Standaard"/>
    <w:pPr>
      <w:numPr>
        <w:numId w:val="2"/>
      </w:numPr>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ardinspringing">
    <w:name w:val="Normal Indent"/>
    <w:basedOn w:val="Standaard"/>
    <w:pPr>
      <w:ind w:left="720"/>
    </w:pPr>
  </w:style>
  <w:style w:type="paragraph" w:styleId="Notitiekop">
    <w:name w:val="Note Heading"/>
    <w:basedOn w:val="Standaard"/>
    <w:next w:val="Standaard"/>
  </w:style>
  <w:style w:type="paragraph" w:customStyle="1" w:styleId="NoteHead">
    <w:name w:val="NoteHead"/>
    <w:basedOn w:val="Standaard"/>
    <w:next w:val="Subject"/>
    <w:pPr>
      <w:spacing w:before="720" w:after="720"/>
      <w:jc w:val="center"/>
    </w:pPr>
    <w:rPr>
      <w:b/>
      <w:smallCaps/>
    </w:rPr>
  </w:style>
  <w:style w:type="paragraph" w:customStyle="1" w:styleId="Subject">
    <w:name w:val="Subject"/>
    <w:basedOn w:val="Standaard"/>
    <w:next w:val="Standaard"/>
    <w:pPr>
      <w:spacing w:after="480"/>
      <w:ind w:left="1531" w:hanging="1531"/>
      <w:jc w:val="left"/>
    </w:pPr>
    <w:rPr>
      <w:b/>
    </w:rPr>
  </w:style>
  <w:style w:type="paragraph" w:customStyle="1" w:styleId="NoteList">
    <w:name w:val="NoteList"/>
    <w:basedOn w:val="Standaard"/>
    <w:next w:val="Subject"/>
    <w:pPr>
      <w:tabs>
        <w:tab w:val="left" w:pos="5823"/>
      </w:tabs>
      <w:spacing w:before="720" w:after="720"/>
      <w:ind w:left="5104" w:hanging="3119"/>
      <w:jc w:val="left"/>
    </w:pPr>
    <w:rPr>
      <w:b/>
      <w:smallCaps/>
    </w:rPr>
  </w:style>
  <w:style w:type="paragraph" w:customStyle="1" w:styleId="NumPar1">
    <w:name w:val="NumPar 1"/>
    <w:basedOn w:val="Kop1"/>
    <w:next w:val="Text1"/>
    <w:pPr>
      <w:keepNext w:val="0"/>
      <w:spacing w:before="0"/>
      <w:outlineLvl w:val="9"/>
    </w:pPr>
    <w:rPr>
      <w:b w:val="0"/>
      <w:smallCaps w:val="0"/>
    </w:rPr>
  </w:style>
  <w:style w:type="paragraph" w:customStyle="1" w:styleId="NumPar2">
    <w:name w:val="NumPar 2"/>
    <w:basedOn w:val="Kop2"/>
    <w:next w:val="Text2"/>
    <w:pPr>
      <w:keepNext w:val="0"/>
      <w:outlineLvl w:val="9"/>
    </w:pPr>
    <w:rPr>
      <w:b w:val="0"/>
    </w:rPr>
  </w:style>
  <w:style w:type="paragraph" w:customStyle="1" w:styleId="NumPar3">
    <w:name w:val="NumPar 3"/>
    <w:basedOn w:val="Kop3"/>
    <w:next w:val="Text3"/>
    <w:pPr>
      <w:keepNext w:val="0"/>
      <w:outlineLvl w:val="9"/>
    </w:pPr>
    <w:rPr>
      <w:i w:val="0"/>
    </w:rPr>
  </w:style>
  <w:style w:type="paragraph" w:customStyle="1" w:styleId="NumPar4">
    <w:name w:val="NumPar 4"/>
    <w:basedOn w:val="Kop4"/>
    <w:next w:val="Text4"/>
    <w:pPr>
      <w:keepNext w:val="0"/>
      <w:outlineLvl w:val="9"/>
    </w:pPr>
  </w:style>
  <w:style w:type="paragraph" w:styleId="Tekstzonderopmaak">
    <w:name w:val="Plain Text"/>
    <w:basedOn w:val="Standaard"/>
    <w:rPr>
      <w:rFonts w:ascii="Courier New" w:hAnsi="Courier New"/>
      <w:sz w:val="20"/>
    </w:rPr>
  </w:style>
  <w:style w:type="paragraph" w:styleId="Aanhef">
    <w:name w:val="Salutation"/>
    <w:basedOn w:val="Standaard"/>
    <w:next w:val="Standaard"/>
  </w:style>
  <w:style w:type="paragraph" w:styleId="Ondertitel">
    <w:name w:val="Subtitle"/>
    <w:basedOn w:val="Standaard"/>
    <w:qFormat/>
    <w:pPr>
      <w:spacing w:after="60"/>
      <w:jc w:val="center"/>
      <w:outlineLvl w:val="1"/>
    </w:pPr>
    <w:rPr>
      <w:rFonts w:ascii="Arial" w:hAnsi="Arial"/>
    </w:rPr>
  </w:style>
  <w:style w:type="paragraph" w:styleId="Bronvermelding">
    <w:name w:val="table of authorities"/>
    <w:basedOn w:val="Standaard"/>
    <w:next w:val="Standaard"/>
    <w:semiHidden/>
    <w:pPr>
      <w:ind w:left="240" w:hanging="240"/>
    </w:pPr>
  </w:style>
  <w:style w:type="paragraph" w:styleId="Lijstmetafbeeldingen">
    <w:name w:val="table of figures"/>
    <w:basedOn w:val="Standaard"/>
    <w:next w:val="Standaard"/>
    <w:semiHidden/>
    <w:pPr>
      <w:ind w:left="480" w:hanging="480"/>
    </w:pPr>
  </w:style>
  <w:style w:type="paragraph" w:styleId="Titel">
    <w:name w:val="Title"/>
    <w:basedOn w:val="Standaard"/>
    <w:qFormat/>
    <w:pPr>
      <w:spacing w:before="240" w:after="60"/>
      <w:jc w:val="center"/>
      <w:outlineLvl w:val="0"/>
    </w:pPr>
    <w:rPr>
      <w:rFonts w:ascii="Arial" w:hAnsi="Arial"/>
      <w:b/>
      <w:kern w:val="28"/>
      <w:sz w:val="32"/>
    </w:rPr>
  </w:style>
  <w:style w:type="paragraph" w:styleId="Kopbronvermelding">
    <w:name w:val="toa heading"/>
    <w:basedOn w:val="Standaard"/>
    <w:next w:val="Standaard"/>
    <w:semiHidden/>
    <w:pPr>
      <w:spacing w:before="120"/>
    </w:pPr>
    <w:rPr>
      <w:rFonts w:ascii="Arial" w:hAnsi="Arial"/>
      <w:b/>
    </w:rPr>
  </w:style>
  <w:style w:type="paragraph" w:styleId="Inhopg1">
    <w:name w:val="toc 1"/>
    <w:basedOn w:val="Standaard"/>
    <w:next w:val="Standaard"/>
    <w:semiHidden/>
    <w:pPr>
      <w:tabs>
        <w:tab w:val="right" w:leader="dot" w:pos="8640"/>
      </w:tabs>
      <w:spacing w:before="120" w:after="120"/>
      <w:ind w:left="482" w:right="720" w:hanging="482"/>
    </w:pPr>
    <w:rPr>
      <w:caps/>
    </w:rPr>
  </w:style>
  <w:style w:type="paragraph" w:styleId="Inhopg2">
    <w:name w:val="toc 2"/>
    <w:basedOn w:val="Standaard"/>
    <w:next w:val="Standaard"/>
    <w:semiHidden/>
    <w:pPr>
      <w:tabs>
        <w:tab w:val="right" w:leader="dot" w:pos="8640"/>
      </w:tabs>
      <w:spacing w:before="60" w:after="60"/>
      <w:ind w:left="1077" w:right="720" w:hanging="595"/>
    </w:pPr>
  </w:style>
  <w:style w:type="paragraph" w:styleId="Inhopg3">
    <w:name w:val="toc 3"/>
    <w:basedOn w:val="Standaard"/>
    <w:next w:val="Standaard"/>
    <w:semiHidden/>
    <w:pPr>
      <w:tabs>
        <w:tab w:val="right" w:leader="dot" w:pos="8640"/>
      </w:tabs>
      <w:spacing w:before="60" w:after="60"/>
      <w:ind w:left="1916" w:right="720" w:hanging="839"/>
    </w:pPr>
  </w:style>
  <w:style w:type="paragraph" w:styleId="Inhopg4">
    <w:name w:val="toc 4"/>
    <w:basedOn w:val="Standaard"/>
    <w:next w:val="Standaard"/>
    <w:semiHidden/>
    <w:pPr>
      <w:tabs>
        <w:tab w:val="right" w:leader="dot" w:pos="8641"/>
      </w:tabs>
      <w:spacing w:before="60" w:after="60"/>
      <w:ind w:left="2880" w:right="720" w:hanging="964"/>
    </w:pPr>
  </w:style>
  <w:style w:type="paragraph" w:styleId="Inhopg5">
    <w:name w:val="toc 5"/>
    <w:basedOn w:val="Standaard"/>
    <w:next w:val="Standaard"/>
    <w:semiHidden/>
    <w:pPr>
      <w:tabs>
        <w:tab w:val="right" w:leader="dot" w:pos="8641"/>
      </w:tabs>
      <w:spacing w:before="240" w:after="120"/>
      <w:ind w:right="720"/>
    </w:pPr>
    <w:rPr>
      <w:caps/>
    </w:rPr>
  </w:style>
  <w:style w:type="paragraph" w:styleId="Inhopg6">
    <w:name w:val="toc 6"/>
    <w:basedOn w:val="Standaard"/>
    <w:next w:val="Standaard"/>
    <w:autoRedefine/>
    <w:semiHidden/>
    <w:pPr>
      <w:ind w:left="1200"/>
    </w:pPr>
  </w:style>
  <w:style w:type="paragraph" w:styleId="Inhopg7">
    <w:name w:val="toc 7"/>
    <w:basedOn w:val="Standaard"/>
    <w:next w:val="Standaard"/>
    <w:autoRedefine/>
    <w:semiHidden/>
    <w:pPr>
      <w:ind w:left="1440"/>
    </w:pPr>
  </w:style>
  <w:style w:type="paragraph" w:styleId="Inhopg8">
    <w:name w:val="toc 8"/>
    <w:basedOn w:val="Standaard"/>
    <w:next w:val="Standaard"/>
    <w:autoRedefine/>
    <w:semiHidden/>
    <w:pPr>
      <w:ind w:left="1680"/>
    </w:pPr>
  </w:style>
  <w:style w:type="paragraph" w:styleId="Inhopg9">
    <w:name w:val="toc 9"/>
    <w:basedOn w:val="Standaard"/>
    <w:next w:val="Standaard"/>
    <w:autoRedefine/>
    <w:semiHidden/>
    <w:pPr>
      <w:ind w:left="1920"/>
    </w:pPr>
  </w:style>
  <w:style w:type="paragraph" w:customStyle="1" w:styleId="YReferences">
    <w:name w:val="YReferences"/>
    <w:basedOn w:val="Standaard"/>
    <w:next w:val="Standa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Standaard"/>
    <w:pPr>
      <w:numPr>
        <w:ilvl w:val="1"/>
        <w:numId w:val="14"/>
      </w:numPr>
    </w:pPr>
  </w:style>
  <w:style w:type="paragraph" w:customStyle="1" w:styleId="ListNumberLevel3">
    <w:name w:val="List Number (Level 3)"/>
    <w:basedOn w:val="Standaard"/>
    <w:pPr>
      <w:numPr>
        <w:ilvl w:val="2"/>
        <w:numId w:val="14"/>
      </w:numPr>
    </w:pPr>
  </w:style>
  <w:style w:type="paragraph" w:customStyle="1" w:styleId="ListNumberLevel4">
    <w:name w:val="List Number (Level 4)"/>
    <w:basedOn w:val="Standa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Kopvaninhoudsopgave">
    <w:name w:val="TOC Heading"/>
    <w:basedOn w:val="Standaard"/>
    <w:next w:val="Standaard"/>
    <w:qFormat/>
    <w:pPr>
      <w:keepNext/>
      <w:spacing w:before="240"/>
      <w:jc w:val="center"/>
    </w:pPr>
    <w:rPr>
      <w:b/>
    </w:rPr>
  </w:style>
  <w:style w:type="paragraph" w:customStyle="1" w:styleId="Contact">
    <w:name w:val="Contact"/>
    <w:basedOn w:val="Standaard"/>
    <w:next w:val="Enclosures"/>
    <w:uiPriority w:val="99"/>
    <w:pPr>
      <w:spacing w:before="480" w:after="0"/>
      <w:ind w:left="567" w:hanging="567"/>
      <w:jc w:val="left"/>
    </w:pPr>
  </w:style>
  <w:style w:type="paragraph" w:customStyle="1" w:styleId="DisclaimerNotice">
    <w:name w:val="Disclaimer Notice"/>
    <w:basedOn w:val="Standaard"/>
    <w:next w:val="AddressTR"/>
    <w:pPr>
      <w:ind w:left="5103"/>
      <w:jc w:val="left"/>
    </w:pPr>
    <w:rPr>
      <w:i/>
      <w:sz w:val="20"/>
    </w:rPr>
  </w:style>
  <w:style w:type="paragraph" w:customStyle="1" w:styleId="Disclaimer">
    <w:name w:val="Disclaimer"/>
    <w:basedOn w:val="Standaard"/>
    <w:pPr>
      <w:keepLines/>
      <w:pBdr>
        <w:top w:val="single" w:sz="4" w:space="1" w:color="auto"/>
      </w:pBdr>
      <w:spacing w:before="480" w:after="0"/>
    </w:pPr>
    <w:rPr>
      <w:i/>
    </w:rPr>
  </w:style>
  <w:style w:type="character" w:styleId="GevolgdeHyperlink">
    <w:name w:val="FollowedHyperlink"/>
    <w:rPr>
      <w:color w:val="800080"/>
      <w:u w:val="single"/>
    </w:rPr>
  </w:style>
  <w:style w:type="paragraph" w:customStyle="1" w:styleId="DisclaimerSJ">
    <w:name w:val="Disclaimer_SJ"/>
    <w:basedOn w:val="Standaard"/>
    <w:next w:val="Standaard"/>
    <w:pPr>
      <w:spacing w:after="0"/>
    </w:pPr>
    <w:rPr>
      <w:rFonts w:ascii="Arial" w:hAnsi="Arial"/>
      <w:b/>
      <w:sz w:val="16"/>
    </w:rPr>
  </w:style>
  <w:style w:type="paragraph" w:customStyle="1" w:styleId="Designator">
    <w:name w:val="Designator"/>
    <w:basedOn w:val="Standaard"/>
    <w:pPr>
      <w:spacing w:after="0"/>
      <w:jc w:val="center"/>
    </w:pPr>
    <w:rPr>
      <w:b/>
      <w:caps/>
      <w:sz w:val="32"/>
    </w:rPr>
  </w:style>
  <w:style w:type="paragraph" w:customStyle="1" w:styleId="Releasable">
    <w:name w:val="Releasable"/>
    <w:basedOn w:val="Standaard"/>
    <w:qFormat/>
    <w:pPr>
      <w:spacing w:after="0"/>
      <w:jc w:val="center"/>
    </w:pPr>
    <w:rPr>
      <w:b/>
      <w:caps/>
      <w:sz w:val="32"/>
      <w:lang w:val="de-DE"/>
    </w:rPr>
  </w:style>
  <w:style w:type="paragraph" w:customStyle="1" w:styleId="RUE">
    <w:name w:val="RUE"/>
    <w:basedOn w:val="Standaard"/>
    <w:pPr>
      <w:spacing w:after="0"/>
      <w:jc w:val="center"/>
    </w:pPr>
    <w:rPr>
      <w:b/>
      <w:caps/>
      <w:sz w:val="32"/>
      <w:bdr w:val="single" w:sz="18" w:space="0" w:color="auto"/>
      <w:lang w:val="de-DE"/>
    </w:rPr>
  </w:style>
  <w:style w:type="paragraph" w:customStyle="1" w:styleId="ConfidentialUE">
    <w:name w:val="Confidential UE"/>
    <w:basedOn w:val="Standaard"/>
    <w:pPr>
      <w:spacing w:after="0"/>
      <w:jc w:val="center"/>
    </w:pPr>
    <w:rPr>
      <w:b/>
      <w:caps/>
      <w:sz w:val="32"/>
      <w:bdr w:val="single" w:sz="18" w:space="0" w:color="auto"/>
    </w:rPr>
  </w:style>
  <w:style w:type="paragraph" w:customStyle="1" w:styleId="TrsSecretUE">
    <w:name w:val="Très Secret UE"/>
    <w:basedOn w:val="Standaard"/>
    <w:pPr>
      <w:spacing w:after="0"/>
      <w:jc w:val="center"/>
    </w:pPr>
    <w:rPr>
      <w:b/>
      <w:caps/>
      <w:color w:val="FF0000"/>
      <w:sz w:val="32"/>
      <w:bdr w:val="single" w:sz="18" w:space="0" w:color="FF0000"/>
    </w:rPr>
  </w:style>
  <w:style w:type="paragraph" w:customStyle="1" w:styleId="SecretUE">
    <w:name w:val="Secret UE"/>
    <w:basedOn w:val="Standaard"/>
    <w:pPr>
      <w:spacing w:after="0"/>
      <w:jc w:val="center"/>
    </w:pPr>
    <w:rPr>
      <w:b/>
      <w:caps/>
      <w:color w:val="FF0000"/>
      <w:sz w:val="32"/>
      <w:bdr w:val="single" w:sz="18" w:space="0" w:color="FF0000"/>
    </w:rPr>
  </w:style>
  <w:style w:type="character" w:customStyle="1" w:styleId="VoettekstChar">
    <w:name w:val="Voettekst Char"/>
    <w:link w:val="Voettekst"/>
    <w:uiPriority w:val="99"/>
    <w:rsid w:val="00BC6AFE"/>
    <w:rPr>
      <w:rFonts w:ascii="Arial" w:hAnsi="Arial"/>
      <w:sz w:val="16"/>
      <w:lang w:eastAsia="en-US"/>
    </w:rPr>
  </w:style>
  <w:style w:type="character" w:customStyle="1" w:styleId="DatumChar">
    <w:name w:val="Datum Char"/>
    <w:link w:val="Datum"/>
    <w:uiPriority w:val="99"/>
    <w:rsid w:val="00BC6AFE"/>
    <w:rPr>
      <w:sz w:val="24"/>
      <w:lang w:eastAsia="en-US"/>
    </w:rPr>
  </w:style>
  <w:style w:type="character" w:customStyle="1" w:styleId="HandtekeningChar">
    <w:name w:val="Handtekening Char"/>
    <w:link w:val="Handtekening"/>
    <w:uiPriority w:val="99"/>
    <w:rsid w:val="00BC6AFE"/>
    <w:rPr>
      <w:sz w:val="24"/>
      <w:lang w:eastAsia="en-US"/>
    </w:rPr>
  </w:style>
  <w:style w:type="paragraph" w:customStyle="1" w:styleId="ZCom">
    <w:name w:val="Z_Com"/>
    <w:basedOn w:val="Standaard"/>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ard"/>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KoptekstChar">
    <w:name w:val="Koptekst Char"/>
    <w:link w:val="Koptekst"/>
    <w:uiPriority w:val="99"/>
    <w:rsid w:val="00BC6AFE"/>
    <w:rPr>
      <w:sz w:val="24"/>
      <w:lang w:eastAsia="en-US"/>
    </w:rPr>
  </w:style>
  <w:style w:type="character" w:customStyle="1" w:styleId="Kop2Char">
    <w:name w:val="Kop 2 Char"/>
    <w:link w:val="Kop2"/>
    <w:rsid w:val="00BC6AFE"/>
    <w:rPr>
      <w:b/>
      <w:sz w:val="24"/>
      <w:lang w:eastAsia="en-US"/>
    </w:rPr>
  </w:style>
  <w:style w:type="character" w:customStyle="1" w:styleId="Kop1Char">
    <w:name w:val="Kop 1 Char"/>
    <w:link w:val="Kop1"/>
    <w:rsid w:val="00BC6AFE"/>
    <w:rPr>
      <w:b/>
      <w:smallCaps/>
      <w:sz w:val="24"/>
      <w:lang w:eastAsia="en-US"/>
    </w:rPr>
  </w:style>
  <w:style w:type="table" w:styleId="Tabelraster">
    <w:name w:val="Table Grid"/>
    <w:basedOn w:val="Standaardtabel"/>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F644E"/>
    <w:pPr>
      <w:ind w:left="720"/>
      <w:contextualSpacing/>
    </w:pPr>
  </w:style>
  <w:style w:type="character" w:styleId="Tekstvantijdelijkeaanduiding">
    <w:name w:val="Placeholder Text"/>
    <w:basedOn w:val="Standaardalinea-lettertype"/>
    <w:uiPriority w:val="99"/>
    <w:semiHidden/>
    <w:rsid w:val="00426738"/>
    <w:rPr>
      <w:color w:val="808080"/>
    </w:rPr>
  </w:style>
  <w:style w:type="paragraph" w:customStyle="1" w:styleId="01Standaard">
    <w:name w:val="01 Standaard"/>
    <w:basedOn w:val="Standaard"/>
    <w:link w:val="01StandaardChar"/>
    <w:qFormat/>
    <w:rsid w:val="007A43FC"/>
    <w:pPr>
      <w:autoSpaceDE w:val="0"/>
      <w:autoSpaceDN w:val="0"/>
      <w:adjustRightInd w:val="0"/>
      <w:spacing w:before="200" w:after="120" w:line="280" w:lineRule="atLeast"/>
      <w:jc w:val="left"/>
    </w:pPr>
    <w:rPr>
      <w:rFonts w:ascii="Cambria Math" w:hAnsi="Cambria Math" w:cs="Corbel"/>
      <w:i/>
      <w:sz w:val="22"/>
      <w:lang w:eastAsia="nl-NL"/>
    </w:rPr>
  </w:style>
  <w:style w:type="character" w:customStyle="1" w:styleId="01StandaardChar">
    <w:name w:val="01 Standaard Char"/>
    <w:link w:val="01Standaard"/>
    <w:rsid w:val="007A43FC"/>
    <w:rPr>
      <w:rFonts w:ascii="Cambria Math" w:hAnsi="Cambria Math" w:cs="Corbel"/>
      <w:i/>
      <w:sz w:val="22"/>
      <w:lang w:eastAsia="nl-NL"/>
    </w:rPr>
  </w:style>
  <w:style w:type="paragraph" w:styleId="Ballontekst">
    <w:name w:val="Balloon Text"/>
    <w:basedOn w:val="Standaard"/>
    <w:link w:val="BallontekstChar"/>
    <w:uiPriority w:val="99"/>
    <w:semiHidden/>
    <w:unhideWhenUsed/>
    <w:rsid w:val="00302D8B"/>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02D8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SA\AppData\Local\Microsoft\Windows\INetCache\Content.Outlook\1YBC2E2T\ntts2019abstract.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2.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3.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C654-FE0D-4FA5-9C33-13E2F461D7CA}">
  <ds:schemaRefs/>
</ds:datastoreItem>
</file>

<file path=customXml/itemProps2.xml><?xml version="1.0" encoding="utf-8"?>
<ds:datastoreItem xmlns:ds="http://schemas.openxmlformats.org/officeDocument/2006/customXml" ds:itemID="{DEF58AF3-9929-4DC0-A819-0ADC671B5D1C}">
  <ds:schemaRefs/>
</ds:datastoreItem>
</file>

<file path=customXml/itemProps3.xml><?xml version="1.0" encoding="utf-8"?>
<ds:datastoreItem xmlns:ds="http://schemas.openxmlformats.org/officeDocument/2006/customXml" ds:itemID="{502162AC-773B-4BAB-A035-07FB7E4FB26B}">
  <ds:schemaRefs/>
</ds:datastoreItem>
</file>

<file path=customXml/itemProps4.xml><?xml version="1.0" encoding="utf-8"?>
<ds:datastoreItem xmlns:ds="http://schemas.openxmlformats.org/officeDocument/2006/customXml" ds:itemID="{E7D473F7-9DE9-431D-A1AC-825A1A31D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ntts2019abstract.dot</Template>
  <TotalTime>0</TotalTime>
  <Pages>4</Pages>
  <Words>1925</Words>
  <Characters>10033</Characters>
  <Application>Microsoft Office Word</Application>
  <DocSecurity>0</DocSecurity>
  <PresentationFormat>Microsoft Word 14.0</PresentationFormat>
  <Lines>135</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Chessa, A.G.</dc:creator>
  <cp:keywords>EL4</cp:keywords>
  <cp:lastModifiedBy>Chessa, A.G.</cp:lastModifiedBy>
  <cp:revision>111</cp:revision>
  <cp:lastPrinted>2018-10-16T13:46:00Z</cp:lastPrinted>
  <dcterms:created xsi:type="dcterms:W3CDTF">2018-10-15T13:43:00Z</dcterms:created>
  <dcterms:modified xsi:type="dcterms:W3CDTF">2018-10-16T14:54:00Z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