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E2" w:rsidRDefault="00BC66C5" w:rsidP="006F5170">
      <w:pPr>
        <w:pStyle w:val="Rubrik"/>
        <w:spacing w:after="0"/>
      </w:pPr>
      <w:r>
        <w:t xml:space="preserve">On </w:t>
      </w:r>
      <w:r w:rsidR="00DF2000">
        <w:t xml:space="preserve">the </w:t>
      </w:r>
      <w:r>
        <w:t>Operational</w:t>
      </w:r>
      <w:r w:rsidR="007754EF">
        <w:t xml:space="preserve"> Definition of</w:t>
      </w:r>
      <w:r w:rsidR="006F5170">
        <w:t xml:space="preserve"> </w:t>
      </w:r>
      <w:r w:rsidR="007754EF" w:rsidRPr="002E691E">
        <w:t>H</w:t>
      </w:r>
      <w:r w:rsidR="002E691E" w:rsidRPr="002E691E">
        <w:t>omogeneous</w:t>
      </w:r>
      <w:r w:rsidR="007754EF">
        <w:t xml:space="preserve"> </w:t>
      </w:r>
    </w:p>
    <w:p w:rsidR="00846A4F" w:rsidRDefault="007754EF" w:rsidP="008108E2">
      <w:pPr>
        <w:pStyle w:val="Rubrik"/>
        <w:spacing w:before="0" w:after="0"/>
      </w:pPr>
      <w:r>
        <w:t>P</w:t>
      </w:r>
      <w:r w:rsidR="002E691E" w:rsidRPr="002E691E">
        <w:t xml:space="preserve">roducts </w:t>
      </w:r>
      <w:r w:rsidR="000F139D">
        <w:t>in Transaction Data</w:t>
      </w:r>
    </w:p>
    <w:p w:rsidR="001B50CE" w:rsidRDefault="001B50CE" w:rsidP="00D62985">
      <w:pPr>
        <w:pStyle w:val="Rubrik"/>
        <w:spacing w:after="0"/>
      </w:pPr>
    </w:p>
    <w:p w:rsidR="00243A2C" w:rsidRDefault="00243A2C" w:rsidP="00243A2C">
      <w:r w:rsidRPr="00243A2C">
        <w:rPr>
          <w:b/>
          <w:u w:val="single"/>
        </w:rPr>
        <w:t>Keywords</w:t>
      </w:r>
      <w:r w:rsidRPr="00243A2C">
        <w:rPr>
          <w:b/>
        </w:rPr>
        <w:t>:</w:t>
      </w:r>
      <w:r>
        <w:t xml:space="preserve"> </w:t>
      </w:r>
      <w:r w:rsidR="00440A4D">
        <w:t>C</w:t>
      </w:r>
      <w:r w:rsidR="00022CB7">
        <w:t xml:space="preserve">onsumer </w:t>
      </w:r>
      <w:r w:rsidR="00440A4D">
        <w:t>P</w:t>
      </w:r>
      <w:r w:rsidR="00022CB7">
        <w:t xml:space="preserve">rice </w:t>
      </w:r>
      <w:r w:rsidR="00440A4D">
        <w:t>I</w:t>
      </w:r>
      <w:r w:rsidR="00022CB7">
        <w:t>ndex</w:t>
      </w:r>
      <w:r w:rsidR="00773362">
        <w:t xml:space="preserve">, Scanner data, </w:t>
      </w:r>
      <w:r w:rsidR="00022CB7">
        <w:t xml:space="preserve">Transaction data, </w:t>
      </w:r>
      <w:r w:rsidR="00773362">
        <w:t>Homogeneous products, Unit value bias</w:t>
      </w:r>
      <w:r w:rsidR="001B50CE" w:rsidRPr="00773362">
        <w:t>.</w:t>
      </w:r>
    </w:p>
    <w:p w:rsidR="002012A8" w:rsidRDefault="002012A8" w:rsidP="00A23A8D">
      <w:pPr>
        <w:pStyle w:val="Rubrik1"/>
        <w:spacing w:before="360"/>
        <w:ind w:left="482" w:hanging="482"/>
      </w:pPr>
      <w:r>
        <w:t>Introduction</w:t>
      </w:r>
      <w:bookmarkStart w:id="0" w:name="_GoBack"/>
      <w:bookmarkEnd w:id="0"/>
    </w:p>
    <w:p w:rsidR="00C41D83" w:rsidRDefault="00BF0AF8" w:rsidP="00BC6AFE">
      <w:r>
        <w:t>Statistics Sweden has</w:t>
      </w:r>
      <w:r w:rsidR="00D55A8D">
        <w:t xml:space="preserve"> </w:t>
      </w:r>
      <w:r w:rsidR="00514D46">
        <w:t xml:space="preserve">been </w:t>
      </w:r>
      <w:r w:rsidR="00D55A8D">
        <w:t>us</w:t>
      </w:r>
      <w:r w:rsidR="00514D46">
        <w:t>ing</w:t>
      </w:r>
      <w:r w:rsidR="00D55A8D">
        <w:t xml:space="preserve"> transaction data in its monthly production o</w:t>
      </w:r>
      <w:r>
        <w:t>f the Consumer Price Index</w:t>
      </w:r>
      <w:r w:rsidR="00D55A8D">
        <w:t xml:space="preserve"> since 2012. Although different possibilities for </w:t>
      </w:r>
      <w:r w:rsidR="007754EF">
        <w:t>utilizing</w:t>
      </w:r>
      <w:r w:rsidR="006B2DE0">
        <w:t xml:space="preserve"> </w:t>
      </w:r>
      <w:r w:rsidR="007754EF">
        <w:t>the new</w:t>
      </w:r>
      <w:r w:rsidR="006B2DE0">
        <w:t xml:space="preserve"> data</w:t>
      </w:r>
      <w:r w:rsidR="007754EF">
        <w:t xml:space="preserve"> source</w:t>
      </w:r>
      <w:r w:rsidR="006B2DE0">
        <w:t xml:space="preserve"> were discussed before</w:t>
      </w:r>
      <w:r w:rsidR="00D55A8D">
        <w:t xml:space="preserve"> the introduction (</w:t>
      </w:r>
      <w:r w:rsidR="00514D46">
        <w:t xml:space="preserve">e.g. </w:t>
      </w:r>
      <w:r w:rsidR="00712DEA">
        <w:t>[1,2]</w:t>
      </w:r>
      <w:r w:rsidR="00514D46">
        <w:t>)</w:t>
      </w:r>
      <w:r w:rsidR="00D55A8D">
        <w:t xml:space="preserve">, the decision was </w:t>
      </w:r>
      <w:r>
        <w:t xml:space="preserve">taken </w:t>
      </w:r>
      <w:r w:rsidR="00D55A8D">
        <w:t>to</w:t>
      </w:r>
      <w:r w:rsidR="004C6557">
        <w:t xml:space="preserve"> mimic the previous</w:t>
      </w:r>
      <w:r w:rsidR="00514D46">
        <w:t xml:space="preserve"> setup</w:t>
      </w:r>
      <w:r w:rsidR="00D55A8D">
        <w:t xml:space="preserve"> used </w:t>
      </w:r>
      <w:r w:rsidR="00514D46">
        <w:t>for</w:t>
      </w:r>
      <w:r w:rsidR="00D55A8D">
        <w:t xml:space="preserve"> manual price collect</w:t>
      </w:r>
      <w:r w:rsidR="00514D46">
        <w:t>ion</w:t>
      </w:r>
      <w:r w:rsidR="007754EF">
        <w:t>,</w:t>
      </w:r>
      <w:r w:rsidR="00746E51" w:rsidRPr="00514D46">
        <w:t xml:space="preserve"> </w:t>
      </w:r>
      <w:r w:rsidR="004C6557" w:rsidRPr="00514D46">
        <w:t>however</w:t>
      </w:r>
      <w:r w:rsidR="00D55A8D" w:rsidRPr="00514D46">
        <w:t xml:space="preserve"> with an increased sample size</w:t>
      </w:r>
      <w:r w:rsidR="000B6F7A" w:rsidRPr="00514D46">
        <w:t xml:space="preserve"> and </w:t>
      </w:r>
      <w:r w:rsidR="00514D46">
        <w:t xml:space="preserve">in </w:t>
      </w:r>
      <w:r w:rsidR="00773362">
        <w:t xml:space="preserve">some cases also </w:t>
      </w:r>
      <w:r w:rsidR="000B6F7A" w:rsidRPr="00514D46">
        <w:t>a more detailed product definition</w:t>
      </w:r>
      <w:r w:rsidR="00D55A8D" w:rsidRPr="00514D46">
        <w:t>.</w:t>
      </w:r>
      <w:r w:rsidR="004C6557">
        <w:t xml:space="preserve"> Since then, more transaction </w:t>
      </w:r>
      <w:r w:rsidR="007754EF">
        <w:t>data</w:t>
      </w:r>
      <w:r w:rsidR="001B72AE">
        <w:t xml:space="preserve"> of various forms</w:t>
      </w:r>
      <w:r w:rsidR="007754EF">
        <w:t xml:space="preserve"> </w:t>
      </w:r>
      <w:r w:rsidR="00A2287D">
        <w:t>have</w:t>
      </w:r>
      <w:r w:rsidR="004C6557">
        <w:t xml:space="preserve"> be</w:t>
      </w:r>
      <w:r w:rsidR="001B72AE">
        <w:t>en introduced, and are continuously being introduced, into the Swedish CPI. A</w:t>
      </w:r>
      <w:r w:rsidR="008F2BE1">
        <w:t>s a result</w:t>
      </w:r>
      <w:r w:rsidR="001B72AE">
        <w:t>,</w:t>
      </w:r>
      <w:r w:rsidR="008F2BE1">
        <w:t xml:space="preserve"> </w:t>
      </w:r>
      <w:r w:rsidR="004C6557">
        <w:t>it has become increasingly evident that</w:t>
      </w:r>
      <w:r w:rsidR="00514D46">
        <w:t xml:space="preserve"> </w:t>
      </w:r>
      <w:r w:rsidR="00FB2F51">
        <w:t>methodologies</w:t>
      </w:r>
      <w:r w:rsidR="006C06BF">
        <w:t xml:space="preserve"> </w:t>
      </w:r>
      <w:r w:rsidR="004C6557">
        <w:t xml:space="preserve">need to </w:t>
      </w:r>
      <w:r w:rsidR="00514D46">
        <w:t>evolve</w:t>
      </w:r>
      <w:r w:rsidR="004C6557">
        <w:t xml:space="preserve"> in order to make </w:t>
      </w:r>
      <w:r w:rsidR="00514D46">
        <w:t xml:space="preserve">the </w:t>
      </w:r>
      <w:r w:rsidR="004C6557">
        <w:t>be</w:t>
      </w:r>
      <w:r w:rsidR="00514D46">
        <w:t>s</w:t>
      </w:r>
      <w:r w:rsidR="004C6557">
        <w:t>t use of th</w:t>
      </w:r>
      <w:r w:rsidR="00746E51">
        <w:t xml:space="preserve">is new </w:t>
      </w:r>
      <w:r w:rsidR="00514D46">
        <w:t>type</w:t>
      </w:r>
      <w:r w:rsidR="00A2287D">
        <w:t xml:space="preserve"> of data</w:t>
      </w:r>
      <w:r w:rsidR="00746E51">
        <w:t>.</w:t>
      </w:r>
      <w:r w:rsidR="00231A58">
        <w:t xml:space="preserve"> </w:t>
      </w:r>
      <w:r w:rsidR="00746E51">
        <w:t xml:space="preserve"> </w:t>
      </w:r>
    </w:p>
    <w:p w:rsidR="00BC6AFE" w:rsidRPr="009D548F" w:rsidRDefault="00C15CAC" w:rsidP="00546D49">
      <w:r>
        <w:t>One of the</w:t>
      </w:r>
      <w:r w:rsidR="00231A58">
        <w:t xml:space="preserve"> </w:t>
      </w:r>
      <w:r w:rsidR="008F2BE1">
        <w:t xml:space="preserve">more urgent matters is the need </w:t>
      </w:r>
      <w:r>
        <w:t xml:space="preserve">for a unified treatment of the </w:t>
      </w:r>
      <w:r w:rsidR="008F2BE1">
        <w:t>concept of homogeneous products</w:t>
      </w:r>
      <w:r w:rsidR="00347ACC">
        <w:t xml:space="preserve">. The </w:t>
      </w:r>
      <w:r w:rsidR="00680DEC">
        <w:t xml:space="preserve">impact </w:t>
      </w:r>
      <w:r w:rsidR="007754EF">
        <w:t xml:space="preserve">that </w:t>
      </w:r>
      <w:r w:rsidR="00E7056D">
        <w:t xml:space="preserve">a </w:t>
      </w:r>
      <w:r w:rsidR="007754EF">
        <w:t>particular price change</w:t>
      </w:r>
      <w:r w:rsidR="003101DB">
        <w:t xml:space="preserve"> in transaction</w:t>
      </w:r>
      <w:r w:rsidR="007754EF">
        <w:t xml:space="preserve"> </w:t>
      </w:r>
      <w:r w:rsidR="003101DB">
        <w:t xml:space="preserve">data </w:t>
      </w:r>
      <w:r w:rsidR="007754EF">
        <w:t xml:space="preserve">has on </w:t>
      </w:r>
      <w:r w:rsidR="00773362">
        <w:t>an</w:t>
      </w:r>
      <w:r w:rsidR="00680DEC">
        <w:t xml:space="preserve"> </w:t>
      </w:r>
      <w:r w:rsidR="007754EF">
        <w:t xml:space="preserve">index is </w:t>
      </w:r>
      <w:r w:rsidR="003101DB">
        <w:t xml:space="preserve">often </w:t>
      </w:r>
      <w:r w:rsidR="007754EF">
        <w:t xml:space="preserve">highly dependent on </w:t>
      </w:r>
      <w:r w:rsidR="00F37F74">
        <w:t xml:space="preserve">how the distinction between homogeneous and heterogeneous products </w:t>
      </w:r>
      <w:r w:rsidR="001B20C0">
        <w:t>has</w:t>
      </w:r>
      <w:r w:rsidR="00F37F74">
        <w:t xml:space="preserve"> </w:t>
      </w:r>
      <w:r w:rsidR="001B20C0">
        <w:t xml:space="preserve">been </w:t>
      </w:r>
      <w:r w:rsidR="00F37F74">
        <w:t>made in practice.</w:t>
      </w:r>
      <w:r w:rsidR="001B20C0">
        <w:t xml:space="preserve"> This </w:t>
      </w:r>
      <w:r w:rsidR="006267CC">
        <w:t xml:space="preserve">observation </w:t>
      </w:r>
      <w:r w:rsidR="001B20C0">
        <w:t xml:space="preserve">applies not only to the type of fixed base </w:t>
      </w:r>
      <w:r w:rsidR="006267CC">
        <w:t>indices</w:t>
      </w:r>
      <w:r w:rsidR="001B20C0">
        <w:t xml:space="preserve"> used currently by Statistics Sweden</w:t>
      </w:r>
      <w:r w:rsidR="006267CC">
        <w:t>,</w:t>
      </w:r>
      <w:r w:rsidR="001B20C0">
        <w:t xml:space="preserve"> but also to other types of ind</w:t>
      </w:r>
      <w:r w:rsidR="00A2287D">
        <w:t>ices</w:t>
      </w:r>
      <w:r w:rsidR="006267CC">
        <w:t xml:space="preserve">. </w:t>
      </w:r>
      <w:r w:rsidR="00355A03">
        <w:t xml:space="preserve">The method used for partitioning transaction data into homogeneous products should therefore, in our opinion, be considered one of the most important features when discussing comparability between countries. </w:t>
      </w:r>
      <w:r w:rsidR="00A2287D">
        <w:t xml:space="preserve">In this paper we will report on </w:t>
      </w:r>
      <w:r w:rsidR="003101DB">
        <w:t xml:space="preserve">preliminary results from </w:t>
      </w:r>
      <w:r w:rsidR="00A2287D">
        <w:t>work</w:t>
      </w:r>
      <w:r w:rsidR="003101DB">
        <w:t xml:space="preserve"> </w:t>
      </w:r>
      <w:r w:rsidR="00A2287D">
        <w:t>currently being done at Statistics Sweden</w:t>
      </w:r>
      <w:r w:rsidR="003101DB">
        <w:t xml:space="preserve"> in this area</w:t>
      </w:r>
      <w:r w:rsidR="00AB7DC3">
        <w:t xml:space="preserve">. </w:t>
      </w:r>
      <w:r w:rsidR="00A2287D">
        <w:t xml:space="preserve"> </w:t>
      </w:r>
      <w:r w:rsidR="004E209F">
        <w:t xml:space="preserve"> </w:t>
      </w:r>
    </w:p>
    <w:p w:rsidR="00EF1A87" w:rsidRPr="00EF1A87" w:rsidRDefault="00546D49" w:rsidP="00EF1A87">
      <w:pPr>
        <w:pStyle w:val="Rubrik1"/>
      </w:pPr>
      <w:r>
        <w:t>homogene</w:t>
      </w:r>
      <w:r w:rsidR="00846A4F">
        <w:t>ous and heterogeneous products</w:t>
      </w:r>
    </w:p>
    <w:p w:rsidR="00800557" w:rsidRDefault="006F52FC" w:rsidP="00800557">
      <w:pPr>
        <w:spacing w:after="120"/>
      </w:pPr>
      <w:r>
        <w:t>In theory,</w:t>
      </w:r>
      <w:r w:rsidR="00A31F2A">
        <w:t xml:space="preserve"> the concept</w:t>
      </w:r>
      <w:r w:rsidR="00DF78BC">
        <w:t xml:space="preserve"> of homogeneo</w:t>
      </w:r>
      <w:r w:rsidR="00AF0365">
        <w:t xml:space="preserve">us </w:t>
      </w:r>
      <w:r w:rsidR="00A31F2A">
        <w:t>versus</w:t>
      </w:r>
      <w:r w:rsidR="00AF0365">
        <w:t xml:space="preserve"> heterogeneous products </w:t>
      </w:r>
      <w:r w:rsidR="00A31F2A">
        <w:t xml:space="preserve">is </w:t>
      </w:r>
      <w:r>
        <w:t>simple.</w:t>
      </w:r>
      <w:r w:rsidR="00DF78BC">
        <w:t xml:space="preserve"> </w:t>
      </w:r>
      <w:r w:rsidR="00476342">
        <w:t>Balk (</w:t>
      </w:r>
      <w:r w:rsidR="00712DEA">
        <w:t>[3]</w:t>
      </w:r>
      <w:r w:rsidR="00476342">
        <w:t xml:space="preserve">, p.173) gives </w:t>
      </w:r>
      <w:r w:rsidR="00DF21A3">
        <w:t>a</w:t>
      </w:r>
      <w:r w:rsidR="00476342">
        <w:t xml:space="preserve"> definition in the form of an “operational question”: </w:t>
      </w:r>
    </w:p>
    <w:p w:rsidR="00F37D27" w:rsidRPr="00800557" w:rsidRDefault="00476342" w:rsidP="00800557">
      <w:pPr>
        <w:spacing w:after="120"/>
        <w:rPr>
          <w:i/>
        </w:rPr>
      </w:pPr>
      <w:r w:rsidRPr="00800557">
        <w:rPr>
          <w:i/>
        </w:rPr>
        <w:t xml:space="preserve">“Does it make (economic) sense to add up the quantities […] of the </w:t>
      </w:r>
      <w:r w:rsidR="00F37D27" w:rsidRPr="00800557">
        <w:rPr>
          <w:i/>
        </w:rPr>
        <w:t>elements</w:t>
      </w:r>
      <w:r w:rsidRPr="00800557">
        <w:rPr>
          <w:i/>
        </w:rPr>
        <w:t>? If the answer to this question is ‘yes’, then the elementary aggregate is called homogeneous. The elementary aggregate can then be considered as a single commodi</w:t>
      </w:r>
      <w:r w:rsidR="00DF21A3" w:rsidRPr="00800557">
        <w:rPr>
          <w:i/>
        </w:rPr>
        <w:t>ty.</w:t>
      </w:r>
      <w:r w:rsidRPr="00800557">
        <w:rPr>
          <w:i/>
        </w:rPr>
        <w:t>”</w:t>
      </w:r>
    </w:p>
    <w:p w:rsidR="00CA5EB6" w:rsidRDefault="00356C23" w:rsidP="00800557">
      <w:pPr>
        <w:spacing w:after="120"/>
      </w:pPr>
      <w:r>
        <w:t>I</w:t>
      </w:r>
      <w:r w:rsidR="00476342">
        <w:t xml:space="preserve">f products are homogeneous, a unit value is the proper representation of the associated price. </w:t>
      </w:r>
      <w:r w:rsidR="003121DE">
        <w:t>As is well known, however, a unit value should not be used to compute the average price of heterogeneous products</w:t>
      </w:r>
      <w:r w:rsidR="00C57A92">
        <w:t>, since this would lead to unit value bias in the resulting index</w:t>
      </w:r>
      <w:r w:rsidR="00F373A8">
        <w:t xml:space="preserve">. </w:t>
      </w:r>
      <w:r w:rsidR="00696805">
        <w:t>(</w:t>
      </w:r>
      <w:r w:rsidR="00F373A8">
        <w:t>Von Auer</w:t>
      </w:r>
      <w:r w:rsidR="00696805">
        <w:t xml:space="preserve">, </w:t>
      </w:r>
      <w:r w:rsidR="00712DEA">
        <w:t>[4]</w:t>
      </w:r>
      <w:r w:rsidR="00696805">
        <w:t>, refer to</w:t>
      </w:r>
      <w:r w:rsidR="00F373A8">
        <w:t xml:space="preserve"> this type of bias as </w:t>
      </w:r>
      <w:r w:rsidR="00F373A8" w:rsidRPr="00696805">
        <w:rPr>
          <w:i/>
        </w:rPr>
        <w:t>assignment bias</w:t>
      </w:r>
      <w:r w:rsidR="00F373A8">
        <w:t xml:space="preserve">, highlighting the fact that the bias comes from the inadequate assignment of products to </w:t>
      </w:r>
      <w:r w:rsidR="005D78B0">
        <w:t xml:space="preserve">groups which are not </w:t>
      </w:r>
      <w:r w:rsidR="003B7D75">
        <w:t xml:space="preserve">truly </w:t>
      </w:r>
      <w:r w:rsidR="00F373A8">
        <w:t>homogeneous</w:t>
      </w:r>
      <w:r w:rsidR="003121DE">
        <w:t>.</w:t>
      </w:r>
      <w:r w:rsidR="00696805">
        <w:t>)</w:t>
      </w:r>
      <w:r w:rsidR="003121DE">
        <w:t xml:space="preserve"> </w:t>
      </w:r>
      <w:r w:rsidR="00C57A92">
        <w:t xml:space="preserve">A perhaps less known </w:t>
      </w:r>
      <w:r w:rsidR="003B7D75">
        <w:t>type of bias</w:t>
      </w:r>
      <w:r w:rsidR="00C57A92">
        <w:t xml:space="preserve"> is the opposite one; by treating homogeneous products as if they were heterogeneous</w:t>
      </w:r>
      <w:r w:rsidR="00A31F2A">
        <w:t>,</w:t>
      </w:r>
      <w:r w:rsidR="00C57A92">
        <w:t xml:space="preserve"> a</w:t>
      </w:r>
      <w:r w:rsidR="003B7D75">
        <w:t xml:space="preserve"> type of</w:t>
      </w:r>
      <w:r w:rsidR="00C57A92">
        <w:t xml:space="preserve"> bias</w:t>
      </w:r>
      <w:r w:rsidR="005D78B0">
        <w:t xml:space="preserve"> similar to that </w:t>
      </w:r>
      <w:r w:rsidR="0005461E">
        <w:t xml:space="preserve">referred to by Von Auer </w:t>
      </w:r>
      <w:r w:rsidR="00712DEA">
        <w:t>[4]</w:t>
      </w:r>
      <w:r w:rsidR="0005461E">
        <w:t xml:space="preserve"> as </w:t>
      </w:r>
      <w:r w:rsidR="0005461E" w:rsidRPr="0005461E">
        <w:rPr>
          <w:i/>
        </w:rPr>
        <w:t>assortment bias</w:t>
      </w:r>
      <w:r w:rsidR="00A24A03">
        <w:t xml:space="preserve">, </w:t>
      </w:r>
      <w:r w:rsidR="00C57A92">
        <w:t xml:space="preserve">can occur. </w:t>
      </w:r>
      <w:r w:rsidR="00A24A03">
        <w:t xml:space="preserve">Real price changes will then not be shown properly in the index. </w:t>
      </w:r>
      <w:r w:rsidR="00132AC8" w:rsidRPr="00900B2E">
        <w:t>Silver</w:t>
      </w:r>
      <w:r w:rsidR="00132AC8">
        <w:t xml:space="preserve"> </w:t>
      </w:r>
      <w:r w:rsidR="00712DEA">
        <w:t>[5]</w:t>
      </w:r>
      <w:r w:rsidR="00132AC8">
        <w:t xml:space="preserve"> </w:t>
      </w:r>
      <w:r w:rsidR="00CA5EB6">
        <w:t>provides some</w:t>
      </w:r>
      <w:r w:rsidR="00800557">
        <w:t xml:space="preserve"> </w:t>
      </w:r>
      <w:r w:rsidR="00CA5EB6">
        <w:t xml:space="preserve">intuition </w:t>
      </w:r>
      <w:r w:rsidR="00043CFA">
        <w:t xml:space="preserve">for this type of bias </w:t>
      </w:r>
      <w:r w:rsidR="00A24A03">
        <w:t xml:space="preserve">in terms of the cost of living, </w:t>
      </w:r>
      <w:r w:rsidR="00CA5EB6">
        <w:t xml:space="preserve">by citing the following example: </w:t>
      </w:r>
    </w:p>
    <w:p w:rsidR="00DB7D08" w:rsidRPr="00800557" w:rsidRDefault="00CA5EB6" w:rsidP="00800557">
      <w:pPr>
        <w:tabs>
          <w:tab w:val="left" w:pos="284"/>
        </w:tabs>
        <w:spacing w:after="0"/>
        <w:rPr>
          <w:i/>
        </w:rPr>
      </w:pPr>
      <w:r w:rsidRPr="00800557">
        <w:rPr>
          <w:i/>
        </w:rPr>
        <w:t>“If […] the prices of goods A and B were 10 and 12, respectively, in both the</w:t>
      </w:r>
      <w:r w:rsidR="00800557" w:rsidRPr="00800557">
        <w:rPr>
          <w:i/>
        </w:rPr>
        <w:t xml:space="preserve"> </w:t>
      </w:r>
      <w:r w:rsidRPr="00800557">
        <w:rPr>
          <w:i/>
        </w:rPr>
        <w:t>reference and current periods, but there was a shift in quantities from 6</w:t>
      </w:r>
      <w:r w:rsidR="00800557">
        <w:rPr>
          <w:i/>
        </w:rPr>
        <w:t xml:space="preserve"> </w:t>
      </w:r>
      <w:r w:rsidRPr="00800557">
        <w:rPr>
          <w:i/>
        </w:rPr>
        <w:t>for both</w:t>
      </w:r>
      <w:r w:rsidR="00800557" w:rsidRPr="00800557">
        <w:rPr>
          <w:i/>
        </w:rPr>
        <w:t xml:space="preserve"> </w:t>
      </w:r>
      <w:r w:rsidRPr="00800557">
        <w:rPr>
          <w:i/>
        </w:rPr>
        <w:t xml:space="preserve">A and B in the reference period to 8 for A and 4 for B in the current period, </w:t>
      </w:r>
      <w:r w:rsidR="00F37D27" w:rsidRPr="00800557">
        <w:rPr>
          <w:i/>
        </w:rPr>
        <w:t xml:space="preserve">a </w:t>
      </w:r>
      <w:r w:rsidRPr="00800557">
        <w:rPr>
          <w:i/>
        </w:rPr>
        <w:t xml:space="preserve">[…] price index number formula for heterogeneous goods would give an answer of </w:t>
      </w:r>
      <w:r w:rsidR="00F37D27" w:rsidRPr="00800557">
        <w:rPr>
          <w:i/>
        </w:rPr>
        <w:tab/>
      </w:r>
      <w:r w:rsidRPr="00800557">
        <w:rPr>
          <w:i/>
        </w:rPr>
        <w:t xml:space="preserve">unity […]. However, the </w:t>
      </w:r>
      <w:r w:rsidRPr="00800557">
        <w:rPr>
          <w:i/>
        </w:rPr>
        <w:lastRenderedPageBreak/>
        <w:t>correct answer for homogeneous goods would be a […]</w:t>
      </w:r>
      <w:r w:rsidR="00800557">
        <w:rPr>
          <w:i/>
        </w:rPr>
        <w:t xml:space="preserve"> </w:t>
      </w:r>
      <w:r w:rsidRPr="00800557">
        <w:rPr>
          <w:i/>
        </w:rPr>
        <w:t>fall of 3 per cent. […] The good, and cost of living with regard to this good, is, on average, now cheaper.”</w:t>
      </w:r>
      <w:r w:rsidR="00DB7D08" w:rsidRPr="00800557">
        <w:rPr>
          <w:i/>
        </w:rPr>
        <w:t xml:space="preserve">   </w:t>
      </w:r>
    </w:p>
    <w:p w:rsidR="00DB7D08" w:rsidRPr="00EF1A87" w:rsidRDefault="00A24A03" w:rsidP="00DB7D08">
      <w:pPr>
        <w:pStyle w:val="Rubrik1"/>
      </w:pPr>
      <w:r>
        <w:t xml:space="preserve">Operational definitions of </w:t>
      </w:r>
      <w:r w:rsidR="00DB7D08">
        <w:t>homogene</w:t>
      </w:r>
      <w:r>
        <w:t>ity</w:t>
      </w:r>
      <w:r w:rsidR="00DB7D08">
        <w:t xml:space="preserve"> in transaction data</w:t>
      </w:r>
    </w:p>
    <w:p w:rsidR="009076A7" w:rsidRDefault="005525DD" w:rsidP="005525DD">
      <w:r>
        <w:t>Although the concepts of homogene</w:t>
      </w:r>
      <w:r w:rsidR="001D47E9">
        <w:t>ity</w:t>
      </w:r>
      <w:r>
        <w:t xml:space="preserve"> </w:t>
      </w:r>
      <w:r w:rsidR="00A31F2A">
        <w:t>and</w:t>
      </w:r>
      <w:r>
        <w:t xml:space="preserve"> heterogene</w:t>
      </w:r>
      <w:r w:rsidR="001D47E9">
        <w:t>ity</w:t>
      </w:r>
      <w:r>
        <w:t xml:space="preserve"> seem simple in theory, the practical </w:t>
      </w:r>
      <w:r w:rsidR="00A31F2A">
        <w:t xml:space="preserve">choice of an operational definition is </w:t>
      </w:r>
      <w:r w:rsidR="00A23A8D">
        <w:t>not</w:t>
      </w:r>
      <w:r w:rsidR="00A31F2A">
        <w:t xml:space="preserve"> always</w:t>
      </w:r>
      <w:r>
        <w:t xml:space="preserve"> trivial. </w:t>
      </w:r>
      <w:r w:rsidR="00A31F2A">
        <w:t xml:space="preserve">In many cases, practical matters </w:t>
      </w:r>
      <w:r w:rsidR="009076A7">
        <w:t>such as data availability</w:t>
      </w:r>
      <w:r w:rsidR="008108E2">
        <w:t>,</w:t>
      </w:r>
      <w:r w:rsidR="009076A7">
        <w:t xml:space="preserve"> </w:t>
      </w:r>
      <w:r w:rsidR="00A31F2A">
        <w:t>set boundaries for the level of detail t</w:t>
      </w:r>
      <w:r w:rsidR="009076A7">
        <w:t>hat is possible.</w:t>
      </w:r>
      <w:r w:rsidR="00A31F2A">
        <w:t xml:space="preserve"> </w:t>
      </w:r>
      <w:r>
        <w:t>With the increas</w:t>
      </w:r>
      <w:r w:rsidR="009076A7">
        <w:t>ed</w:t>
      </w:r>
      <w:r>
        <w:t xml:space="preserve"> access to highly detailed transaction data, </w:t>
      </w:r>
      <w:r w:rsidR="009076A7">
        <w:t xml:space="preserve">however, </w:t>
      </w:r>
      <w:r w:rsidR="00904D2B">
        <w:t>possibilities for choosing between different operational definitions of homogeneity have increased</w:t>
      </w:r>
      <w:r w:rsidR="00A23A8D">
        <w:t xml:space="preserve">. </w:t>
      </w:r>
    </w:p>
    <w:p w:rsidR="00FD456A" w:rsidRDefault="00A23A8D" w:rsidP="005410E8">
      <w:r>
        <w:t>When it comes to scanner data for daily necessities, the discussion has mostly been focused on so called “relaunches”</w:t>
      </w:r>
      <w:r w:rsidR="009076A7">
        <w:t>; i.e. products that remain essentially the same but</w:t>
      </w:r>
      <w:r w:rsidR="00C90366">
        <w:t xml:space="preserve"> change for example package size </w:t>
      </w:r>
      <w:r w:rsidR="009076A7">
        <w:t xml:space="preserve">between months. </w:t>
      </w:r>
      <w:r w:rsidR="00C90366">
        <w:t xml:space="preserve">If homogeneity is defined on the most detailed level, i.e. with respect to GTIN </w:t>
      </w:r>
      <w:r w:rsidR="008108E2">
        <w:t xml:space="preserve">or PLU </w:t>
      </w:r>
      <w:r w:rsidR="00C90366">
        <w:t xml:space="preserve">codes, a price change introduced at the </w:t>
      </w:r>
      <w:r w:rsidR="005258D9">
        <w:t>same time as a</w:t>
      </w:r>
      <w:r w:rsidR="00C90366">
        <w:t xml:space="preserve"> relaunch will not show up as a change in the price index</w:t>
      </w:r>
      <w:r w:rsidR="005258D9">
        <w:t>, unless manual adjustments are made</w:t>
      </w:r>
      <w:r w:rsidR="00C90366">
        <w:t>.</w:t>
      </w:r>
      <w:r w:rsidR="005410E8">
        <w:t xml:space="preserve"> Similar problems occur in for example clothing, although in this case the products often differ to a greater extent; </w:t>
      </w:r>
      <w:r w:rsidR="005410E8">
        <w:t>Dalén</w:t>
      </w:r>
      <w:r w:rsidR="005410E8">
        <w:t xml:space="preserve"> [6]</w:t>
      </w:r>
      <w:r w:rsidR="005410E8">
        <w:t xml:space="preserve"> </w:t>
      </w:r>
      <w:r w:rsidR="005410E8">
        <w:t xml:space="preserve">therefore refer to them as </w:t>
      </w:r>
      <w:r w:rsidR="005410E8">
        <w:t>“near relaunches”</w:t>
      </w:r>
      <w:r w:rsidR="005410E8">
        <w:t xml:space="preserve">. </w:t>
      </w:r>
    </w:p>
    <w:p w:rsidR="001D5887" w:rsidRDefault="001D47E9" w:rsidP="005D27A6">
      <w:r>
        <w:t>In</w:t>
      </w:r>
      <w:r w:rsidR="00DF78BC">
        <w:t xml:space="preserve"> practical terms, t</w:t>
      </w:r>
      <w:r w:rsidR="005D27A6">
        <w:t xml:space="preserve">he </w:t>
      </w:r>
      <w:r>
        <w:t xml:space="preserve">selection of an operational definition </w:t>
      </w:r>
      <w:r w:rsidR="008108E2">
        <w:t>for</w:t>
      </w:r>
      <w:r>
        <w:t xml:space="preserve"> what is to be c</w:t>
      </w:r>
      <w:r w:rsidR="001D5887">
        <w:t>onsidered a homogeneous product</w:t>
      </w:r>
      <w:r>
        <w:t xml:space="preserve"> </w:t>
      </w:r>
      <w:r w:rsidR="007B32E8">
        <w:t>within</w:t>
      </w:r>
      <w:r>
        <w:t xml:space="preserve"> a </w:t>
      </w:r>
      <w:r w:rsidR="007B32E8">
        <w:t>particular product group</w:t>
      </w:r>
      <w:r w:rsidR="00FD456A">
        <w:t>,</w:t>
      </w:r>
      <w:r>
        <w:t xml:space="preserve"> </w:t>
      </w:r>
      <w:r w:rsidR="005D27A6">
        <w:t xml:space="preserve">is </w:t>
      </w:r>
      <w:r w:rsidR="005410E8">
        <w:t xml:space="preserve">thus </w:t>
      </w:r>
      <w:r w:rsidR="005D27A6">
        <w:t xml:space="preserve">a question of trading two potential </w:t>
      </w:r>
      <w:r w:rsidR="003121DE">
        <w:t xml:space="preserve">risks of </w:t>
      </w:r>
      <w:r w:rsidR="005D27A6">
        <w:t>bias against each other</w:t>
      </w:r>
      <w:r w:rsidR="0049154F">
        <w:t>,</w:t>
      </w:r>
      <w:r w:rsidR="005D27A6">
        <w:t xml:space="preserve"> </w:t>
      </w:r>
      <w:r w:rsidR="007B32E8">
        <w:t xml:space="preserve">trying to </w:t>
      </w:r>
      <w:r w:rsidR="001D5887">
        <w:t>find</w:t>
      </w:r>
      <w:r w:rsidR="005D27A6">
        <w:t xml:space="preserve"> the right balance. </w:t>
      </w:r>
      <w:r w:rsidR="005410E8">
        <w:t>As a tool to assist this balancing act, Chessa [7</w:t>
      </w:r>
      <w:r w:rsidR="00712DEA">
        <w:t>]</w:t>
      </w:r>
      <w:r w:rsidR="005D27A6">
        <w:t xml:space="preserve"> suggest</w:t>
      </w:r>
      <w:r w:rsidR="001D5887">
        <w:t>s</w:t>
      </w:r>
      <w:r w:rsidR="005D27A6">
        <w:t xml:space="preserve"> a</w:t>
      </w:r>
      <w:r w:rsidR="000C36E9">
        <w:t xml:space="preserve"> </w:t>
      </w:r>
      <w:r w:rsidR="001D5887">
        <w:t xml:space="preserve">score function, </w:t>
      </w:r>
      <w:r w:rsidR="0049154F">
        <w:t xml:space="preserve">referred to as the </w:t>
      </w:r>
      <w:r w:rsidR="001D5887">
        <w:t>MARS</w:t>
      </w:r>
      <w:r w:rsidR="005410E8">
        <w:t xml:space="preserve"> measure</w:t>
      </w:r>
      <w:r w:rsidR="0049154F">
        <w:t xml:space="preserve"> (Match Adjusted R Squared). </w:t>
      </w:r>
      <w:r w:rsidR="005D27A6">
        <w:t xml:space="preserve">The idea behind </w:t>
      </w:r>
      <w:r w:rsidR="001D5887">
        <w:t>MARS</w:t>
      </w:r>
      <w:r w:rsidR="005D27A6">
        <w:t xml:space="preserve"> is to </w:t>
      </w:r>
      <w:r w:rsidR="001D5887">
        <w:t xml:space="preserve">weight two factors against each other; </w:t>
      </w:r>
      <w:r w:rsidR="005D27A6">
        <w:t xml:space="preserve">the degree of homogeneity in prices within </w:t>
      </w:r>
      <w:r w:rsidR="008A02EF">
        <w:t>a</w:t>
      </w:r>
      <w:r w:rsidR="001D5887">
        <w:t xml:space="preserve"> suggested </w:t>
      </w:r>
      <w:r w:rsidR="00533BA4">
        <w:t xml:space="preserve">definition of </w:t>
      </w:r>
      <w:r w:rsidR="001D5887">
        <w:t xml:space="preserve">homogeneous products, and </w:t>
      </w:r>
      <w:r w:rsidR="005D27A6">
        <w:t xml:space="preserve">the </w:t>
      </w:r>
      <w:r w:rsidR="001D5887">
        <w:t>amount</w:t>
      </w:r>
      <w:r w:rsidR="005D27A6">
        <w:t xml:space="preserve"> of matching</w:t>
      </w:r>
      <w:r w:rsidR="00533BA4">
        <w:t xml:space="preserve"> over time for this same definiti</w:t>
      </w:r>
      <w:r w:rsidR="008A02EF">
        <w:t>on. A summary score is produced</w:t>
      </w:r>
      <w:r w:rsidR="00DF5BC9">
        <w:t xml:space="preserve"> that can be used to compare</w:t>
      </w:r>
      <w:r w:rsidR="00533BA4">
        <w:t xml:space="preserve"> different </w:t>
      </w:r>
      <w:r w:rsidR="008A02EF">
        <w:t xml:space="preserve">operational </w:t>
      </w:r>
      <w:r w:rsidR="00533BA4">
        <w:t>definitions (different “product scenarios”)</w:t>
      </w:r>
      <w:r w:rsidR="00DF5BC9">
        <w:t xml:space="preserve"> with each other</w:t>
      </w:r>
      <w:r w:rsidR="00533BA4">
        <w:t xml:space="preserve">. </w:t>
      </w:r>
    </w:p>
    <w:p w:rsidR="00773362" w:rsidRDefault="00DF5BC9" w:rsidP="005D27A6">
      <w:r>
        <w:t>In this study, w</w:t>
      </w:r>
      <w:r w:rsidR="005D27A6">
        <w:t xml:space="preserve">e </w:t>
      </w:r>
      <w:r w:rsidR="00773362">
        <w:t xml:space="preserve">will </w:t>
      </w:r>
      <w:r>
        <w:t>compute the MARS score</w:t>
      </w:r>
      <w:r w:rsidR="005D27A6">
        <w:t xml:space="preserve"> for selected product groups and analyse the results. </w:t>
      </w:r>
      <w:r w:rsidR="00773362">
        <w:t>We will also comp</w:t>
      </w:r>
      <w:r>
        <w:t>are the resulting ind</w:t>
      </w:r>
      <w:r w:rsidR="008108E2">
        <w:t>ices</w:t>
      </w:r>
      <w:r w:rsidR="00773362">
        <w:t xml:space="preserve">. </w:t>
      </w:r>
    </w:p>
    <w:p w:rsidR="00EF1A87" w:rsidRPr="009D548F" w:rsidRDefault="00EF1A87" w:rsidP="00EF1A87">
      <w:pPr>
        <w:pStyle w:val="Rubrik1"/>
      </w:pPr>
      <w:r>
        <w:t xml:space="preserve">some </w:t>
      </w:r>
      <w:r w:rsidR="00533BA4">
        <w:t>preliminary</w:t>
      </w:r>
      <w:r>
        <w:t xml:space="preserve"> </w:t>
      </w:r>
      <w:r w:rsidR="00533BA4">
        <w:t>results o</w:t>
      </w:r>
      <w:r w:rsidR="008108E2">
        <w:t>n</w:t>
      </w:r>
      <w:r w:rsidR="00533BA4">
        <w:t xml:space="preserve"> the impact of </w:t>
      </w:r>
      <w:r w:rsidR="00DF5BC9">
        <w:t>the operational d</w:t>
      </w:r>
      <w:r w:rsidR="00533BA4">
        <w:t>ef</w:t>
      </w:r>
      <w:r w:rsidR="00DB7D08">
        <w:t>inition</w:t>
      </w:r>
    </w:p>
    <w:p w:rsidR="005A7D53" w:rsidRDefault="00EF1A87" w:rsidP="00226246">
      <w:pPr>
        <w:spacing w:after="120"/>
      </w:pPr>
      <w:r>
        <w:t xml:space="preserve">Figure 1 shows </w:t>
      </w:r>
      <w:r w:rsidR="005A7D53">
        <w:t xml:space="preserve">preliminary </w:t>
      </w:r>
      <w:r w:rsidR="00DF5BC9">
        <w:t xml:space="preserve">(experimental) </w:t>
      </w:r>
      <w:r w:rsidR="005A7D53">
        <w:t xml:space="preserve">results </w:t>
      </w:r>
      <w:r w:rsidR="00876F29">
        <w:t>of</w:t>
      </w:r>
      <w:r w:rsidR="005A7D53">
        <w:t xml:space="preserve"> fixed base indices</w:t>
      </w:r>
      <w:r w:rsidR="00862BAB">
        <w:t xml:space="preserve"> </w:t>
      </w:r>
      <w:r w:rsidR="005A7D53">
        <w:t>computed based o</w:t>
      </w:r>
      <w:r w:rsidR="00862BAB">
        <w:t xml:space="preserve">n </w:t>
      </w:r>
      <w:r w:rsidR="00D861B3">
        <w:t xml:space="preserve">two </w:t>
      </w:r>
      <w:r w:rsidR="00862BAB">
        <w:t>different homogeneous product</w:t>
      </w:r>
      <w:r w:rsidR="005A7D53">
        <w:t xml:space="preserve"> definitions</w:t>
      </w:r>
      <w:r w:rsidR="00DF5BC9">
        <w:t>,</w:t>
      </w:r>
      <w:r w:rsidR="00862BAB">
        <w:t xml:space="preserve"> for </w:t>
      </w:r>
      <w:r w:rsidR="00DF5BC9">
        <w:t>the product group ‘Fresh salmon’</w:t>
      </w:r>
      <w:r w:rsidR="005A7D53">
        <w:t>.</w:t>
      </w:r>
      <w:r w:rsidR="00876F29">
        <w:rPr>
          <w:rStyle w:val="Fotnotsreferens"/>
        </w:rPr>
        <w:footnoteReference w:id="1"/>
      </w:r>
      <w:r w:rsidR="005A7D53">
        <w:t xml:space="preserve"> </w:t>
      </w:r>
      <w:r w:rsidR="003521F6">
        <w:t>The most detailed grouping consists if unique item codes (</w:t>
      </w:r>
      <w:r w:rsidR="003521F6" w:rsidRPr="003521F6">
        <w:rPr>
          <w:i/>
        </w:rPr>
        <w:t>GTIN</w:t>
      </w:r>
      <w:r w:rsidR="003521F6">
        <w:t xml:space="preserve">) sold in unique </w:t>
      </w:r>
      <w:r w:rsidR="00876F29">
        <w:t>stores</w:t>
      </w:r>
      <w:r w:rsidR="003521F6">
        <w:t xml:space="preserve"> (</w:t>
      </w:r>
      <w:r w:rsidR="003521F6" w:rsidRPr="003521F6">
        <w:rPr>
          <w:i/>
        </w:rPr>
        <w:t>Store Id</w:t>
      </w:r>
      <w:r w:rsidR="003521F6">
        <w:t xml:space="preserve">). In the broader definition, fresh salmon of the same </w:t>
      </w:r>
      <w:r w:rsidR="003521F6" w:rsidRPr="0060748B">
        <w:rPr>
          <w:i/>
        </w:rPr>
        <w:t>brand</w:t>
      </w:r>
      <w:r w:rsidR="003521F6">
        <w:t xml:space="preserve"> and </w:t>
      </w:r>
      <w:r w:rsidR="003521F6" w:rsidRPr="0060748B">
        <w:rPr>
          <w:i/>
        </w:rPr>
        <w:t>type</w:t>
      </w:r>
      <w:r w:rsidR="00876F29">
        <w:rPr>
          <w:i/>
        </w:rPr>
        <w:t>,</w:t>
      </w:r>
      <w:r w:rsidR="00876F29">
        <w:t xml:space="preserve"> sold in the same store,</w:t>
      </w:r>
      <w:r w:rsidR="003521F6">
        <w:t xml:space="preserve"> are </w:t>
      </w:r>
      <w:r w:rsidR="003521F6">
        <w:lastRenderedPageBreak/>
        <w:t>considered to be the same product</w:t>
      </w:r>
      <w:r w:rsidR="00505708">
        <w:t>,</w:t>
      </w:r>
      <w:r w:rsidR="003521F6">
        <w:t xml:space="preserve"> i.e. fully homogeneous. </w:t>
      </w:r>
      <w:r w:rsidR="0060748B">
        <w:t>The effect on index in this example is quite large</w:t>
      </w:r>
      <w:r w:rsidR="00D517B8">
        <w:t xml:space="preserve"> and </w:t>
      </w:r>
      <w:r w:rsidR="00DF5BC9">
        <w:t xml:space="preserve">will be </w:t>
      </w:r>
      <w:r w:rsidR="00DF5BC9">
        <w:t>further investigated</w:t>
      </w:r>
      <w:r w:rsidR="00DF5BC9">
        <w:t xml:space="preserve"> i</w:t>
      </w:r>
      <w:r w:rsidR="00876F29">
        <w:t>n the coming study</w:t>
      </w:r>
      <w:r w:rsidR="00D517B8">
        <w:t xml:space="preserve">. </w:t>
      </w:r>
      <w:r w:rsidR="0060748B">
        <w:t xml:space="preserve"> </w:t>
      </w:r>
    </w:p>
    <w:p w:rsidR="00776A3F" w:rsidRDefault="00776A3F" w:rsidP="00776A3F">
      <w:pPr>
        <w:spacing w:after="120"/>
      </w:pPr>
      <w:r>
        <w:t>In figure 2</w:t>
      </w:r>
      <w:r w:rsidR="008108E2">
        <w:t>,</w:t>
      </w:r>
      <w:r>
        <w:t xml:space="preserve"> a similar picture is shown, containing preliminary computations done for the product group ‘Package holidays’. For this prod</w:t>
      </w:r>
      <w:r w:rsidR="00CA5BCE">
        <w:t>uct group, Statistics Sweden is</w:t>
      </w:r>
      <w:r>
        <w:t xml:space="preserve"> currently </w:t>
      </w:r>
      <w:r w:rsidR="00EC7CC0">
        <w:t xml:space="preserve">receiving test transaction data </w:t>
      </w:r>
      <w:r>
        <w:t xml:space="preserve">from </w:t>
      </w:r>
      <w:r w:rsidR="00EC7CC0">
        <w:t xml:space="preserve">several </w:t>
      </w:r>
      <w:r>
        <w:t>service providers</w:t>
      </w:r>
      <w:r w:rsidR="00EC7CC0">
        <w:t>, s</w:t>
      </w:r>
      <w:r>
        <w:t xml:space="preserve">ome of </w:t>
      </w:r>
      <w:r w:rsidR="00EC7CC0">
        <w:t xml:space="preserve">which </w:t>
      </w:r>
      <w:r>
        <w:t xml:space="preserve">are </w:t>
      </w:r>
      <w:r w:rsidR="00EC7CC0">
        <w:t xml:space="preserve">provided </w:t>
      </w:r>
      <w:r>
        <w:t xml:space="preserve">on a highly detailed specification level, </w:t>
      </w:r>
      <w:r w:rsidR="00EC7CC0">
        <w:t xml:space="preserve">and some </w:t>
      </w:r>
      <w:r>
        <w:t>on a more aggregated level. In figure 2</w:t>
      </w:r>
      <w:r w:rsidR="008108E2">
        <w:t>,</w:t>
      </w:r>
      <w:r>
        <w:t xml:space="preserve"> the two different aggregation scenarios are compared for a subset of the data material.</w:t>
      </w:r>
      <w:r>
        <w:rPr>
          <w:rStyle w:val="Fotnotsreferens"/>
        </w:rPr>
        <w:footnoteReference w:id="2"/>
      </w:r>
      <w:r w:rsidR="00EC7CC0">
        <w:t xml:space="preserve"> Again, the effect of using different operational definitions of homogeneity is notable and needs to be further analysed. </w:t>
      </w:r>
      <w:r>
        <w:t xml:space="preserve"> </w:t>
      </w:r>
    </w:p>
    <w:p w:rsidR="00776A3F" w:rsidRDefault="00776A3F" w:rsidP="00776A3F">
      <w:r>
        <w:t xml:space="preserve">Finally, </w:t>
      </w:r>
      <w:r w:rsidR="00EC7CC0">
        <w:t xml:space="preserve">figure 3 compares </w:t>
      </w:r>
      <w:r>
        <w:t xml:space="preserve">two alternative index series for </w:t>
      </w:r>
      <w:r w:rsidR="00EC7CC0">
        <w:t>the product group ‘</w:t>
      </w:r>
      <w:r>
        <w:t>dental services</w:t>
      </w:r>
      <w:r w:rsidR="00EC7CC0">
        <w:t>’</w:t>
      </w:r>
      <w:r>
        <w:t>.</w:t>
      </w:r>
      <w:r w:rsidR="00CA5BCE">
        <w:rPr>
          <w:rStyle w:val="Fotnotsreferens"/>
        </w:rPr>
        <w:footnoteReference w:id="3"/>
      </w:r>
      <w:r>
        <w:t xml:space="preserve"> In this case the evaluation concerns not the </w:t>
      </w:r>
      <w:r w:rsidRPr="00360308">
        <w:rPr>
          <w:i/>
        </w:rPr>
        <w:t>product</w:t>
      </w:r>
      <w:r w:rsidRPr="00EC7CC0">
        <w:rPr>
          <w:i/>
        </w:rPr>
        <w:t xml:space="preserve"> dimension</w:t>
      </w:r>
      <w:r w:rsidR="00EC7CC0">
        <w:t xml:space="preserve">, which is highly stable over time, but </w:t>
      </w:r>
      <w:r>
        <w:t xml:space="preserve">the </w:t>
      </w:r>
      <w:r w:rsidRPr="00360308">
        <w:rPr>
          <w:i/>
        </w:rPr>
        <w:t>service level</w:t>
      </w:r>
      <w:r>
        <w:t xml:space="preserve"> of different dental service providers. In </w:t>
      </w:r>
      <w:r w:rsidR="00EC7CC0">
        <w:t xml:space="preserve">the </w:t>
      </w:r>
      <w:r>
        <w:t>figure, indices based on a highly detailed definition of the service</w:t>
      </w:r>
      <w:r w:rsidR="00EC7CC0">
        <w:t xml:space="preserve"> provider</w:t>
      </w:r>
      <w:r>
        <w:t xml:space="preserve"> (a specific dentist</w:t>
      </w:r>
      <w:r w:rsidR="00EC7CC0">
        <w:t>,</w:t>
      </w:r>
      <w:r>
        <w:t xml:space="preserve"> working in a specific clinic) </w:t>
      </w:r>
      <w:r w:rsidR="00EC7CC0">
        <w:t xml:space="preserve">is </w:t>
      </w:r>
      <w:r>
        <w:t xml:space="preserve">compared to an index computed on a more aggregated level, differentiating only between private and public dentists working in different geographical areas. </w:t>
      </w:r>
    </w:p>
    <w:p w:rsidR="00276638" w:rsidRDefault="00FB2F51" w:rsidP="00D861B3">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99.5pt;mso-position-vertical:absolute">
            <v:imagedata r:id="rId11" o:title=""/>
          </v:shape>
        </w:pict>
      </w:r>
    </w:p>
    <w:p w:rsidR="00276638" w:rsidRDefault="00D861B3" w:rsidP="008108E2">
      <w:pPr>
        <w:rPr>
          <w:b/>
        </w:rPr>
      </w:pPr>
      <w:r w:rsidRPr="00D861B3">
        <w:rPr>
          <w:b/>
        </w:rPr>
        <w:t xml:space="preserve">Figure 1: </w:t>
      </w:r>
      <w:r w:rsidR="00F37D27">
        <w:rPr>
          <w:b/>
        </w:rPr>
        <w:t>Experimental price</w:t>
      </w:r>
      <w:r w:rsidR="00F37D27" w:rsidRPr="00D861B3">
        <w:rPr>
          <w:b/>
        </w:rPr>
        <w:t xml:space="preserve"> indices </w:t>
      </w:r>
      <w:r w:rsidRPr="00D861B3">
        <w:rPr>
          <w:b/>
        </w:rPr>
        <w:t xml:space="preserve">for fresh salmon for 2018, based on two different homogeneous product definitions. </w:t>
      </w:r>
    </w:p>
    <w:p w:rsidR="00D62985" w:rsidRDefault="00FB2F51" w:rsidP="00D62985">
      <w:pPr>
        <w:spacing w:after="0"/>
      </w:pPr>
      <w:r>
        <w:pict>
          <v:shape id="_x0000_i1029" type="#_x0000_t75" style="width:286.5pt;height:202.5pt">
            <v:imagedata r:id="rId12" o:title=""/>
          </v:shape>
        </w:pict>
      </w:r>
    </w:p>
    <w:p w:rsidR="00022CB7" w:rsidRDefault="00D62985" w:rsidP="00022CB7">
      <w:pPr>
        <w:spacing w:after="600"/>
      </w:pPr>
      <w:r w:rsidRPr="003521F6">
        <w:rPr>
          <w:b/>
        </w:rPr>
        <w:t xml:space="preserve">Figure 2: </w:t>
      </w:r>
      <w:r>
        <w:rPr>
          <w:b/>
        </w:rPr>
        <w:t>Experimental price</w:t>
      </w:r>
      <w:r w:rsidRPr="00D861B3">
        <w:rPr>
          <w:b/>
        </w:rPr>
        <w:t xml:space="preserve"> indices for </w:t>
      </w:r>
      <w:r>
        <w:rPr>
          <w:b/>
        </w:rPr>
        <w:t>package holidays</w:t>
      </w:r>
      <w:r w:rsidRPr="00D861B3">
        <w:rPr>
          <w:b/>
        </w:rPr>
        <w:t xml:space="preserve"> for 2018, based on two different homogeneous product definitions.</w:t>
      </w:r>
      <w:r>
        <w:t xml:space="preserve"> </w:t>
      </w:r>
    </w:p>
    <w:p w:rsidR="00D62985" w:rsidRDefault="00FB2F51" w:rsidP="00D62985">
      <w:pPr>
        <w:spacing w:after="0"/>
      </w:pPr>
      <w:r>
        <w:pict>
          <v:shape id="_x0000_i1027" type="#_x0000_t75" style="width:287.25pt;height:202.5pt">
            <v:imagedata r:id="rId13" o:title=""/>
          </v:shape>
        </w:pict>
      </w:r>
    </w:p>
    <w:p w:rsidR="00D62985" w:rsidRDefault="00D62985" w:rsidP="00776A3F">
      <w:pPr>
        <w:spacing w:after="360"/>
      </w:pPr>
      <w:r>
        <w:rPr>
          <w:b/>
        </w:rPr>
        <w:t>Figure 3: Experimental price</w:t>
      </w:r>
      <w:r w:rsidRPr="00D861B3">
        <w:rPr>
          <w:b/>
        </w:rPr>
        <w:t xml:space="preserve"> indices for </w:t>
      </w:r>
      <w:r>
        <w:rPr>
          <w:b/>
        </w:rPr>
        <w:t>dental services for 2017</w:t>
      </w:r>
      <w:r w:rsidRPr="00D861B3">
        <w:rPr>
          <w:b/>
        </w:rPr>
        <w:t>, based on two different homogeneous product definitions.</w:t>
      </w:r>
      <w:r>
        <w:t xml:space="preserve">  </w:t>
      </w:r>
    </w:p>
    <w:p w:rsidR="00226246" w:rsidRDefault="00226246" w:rsidP="00226246">
      <w:pPr>
        <w:pStyle w:val="Rubrik1"/>
      </w:pPr>
      <w:r>
        <w:t>Conclusions</w:t>
      </w:r>
    </w:p>
    <w:p w:rsidR="00226246" w:rsidRDefault="00226246" w:rsidP="00226246">
      <w:r>
        <w:t xml:space="preserve">In the present paper only preliminary results have been included, since </w:t>
      </w:r>
      <w:r w:rsidR="00EC7CC0">
        <w:t>the work is still ongoing</w:t>
      </w:r>
      <w:r>
        <w:t xml:space="preserve">. At the conference, final results will presented as well as a discussion of the main conclusions drawn.   </w:t>
      </w:r>
    </w:p>
    <w:p w:rsidR="00BC6AFE" w:rsidRDefault="00BC6AFE" w:rsidP="009B4EE0">
      <w:pPr>
        <w:pStyle w:val="Rubrik1"/>
        <w:numPr>
          <w:ilvl w:val="0"/>
          <w:numId w:val="0"/>
        </w:numPr>
        <w:ind w:left="480" w:hanging="480"/>
      </w:pPr>
      <w:r>
        <w:t>References</w:t>
      </w:r>
    </w:p>
    <w:p w:rsidR="004E4137" w:rsidRPr="00361632" w:rsidRDefault="00746930" w:rsidP="009B4EE0">
      <w:pPr>
        <w:pStyle w:val="Text1"/>
        <w:numPr>
          <w:ilvl w:val="0"/>
          <w:numId w:val="20"/>
        </w:numPr>
        <w:ind w:left="357" w:hanging="357"/>
      </w:pPr>
      <w:r>
        <w:t>A. N</w:t>
      </w:r>
      <w:r w:rsidR="006C06BF" w:rsidRPr="00361632">
        <w:t xml:space="preserve">orberg, </w:t>
      </w:r>
      <w:r>
        <w:t xml:space="preserve">M. Sammar and C. Tongur, A study on scanner data in the Swedish consumer price index, Room document at the </w:t>
      </w:r>
      <w:r w:rsidR="00010681">
        <w:t xml:space="preserve">twelfth </w:t>
      </w:r>
      <w:r>
        <w:t xml:space="preserve">Ottawa group meeting </w:t>
      </w:r>
      <w:r w:rsidR="00010681">
        <w:t>held 4</w:t>
      </w:r>
      <w:r>
        <w:t>-</w:t>
      </w:r>
      <w:r w:rsidR="00010681">
        <w:t>6</w:t>
      </w:r>
      <w:r>
        <w:t xml:space="preserve"> May 201</w:t>
      </w:r>
      <w:r w:rsidR="00010681">
        <w:t>1</w:t>
      </w:r>
      <w:r w:rsidR="005B4EA5" w:rsidRPr="00361632">
        <w:t xml:space="preserve">. </w:t>
      </w:r>
    </w:p>
    <w:p w:rsidR="00BC6AFE" w:rsidRPr="00361632" w:rsidRDefault="00010681" w:rsidP="00BC6AFE">
      <w:pPr>
        <w:pStyle w:val="Text1"/>
        <w:numPr>
          <w:ilvl w:val="0"/>
          <w:numId w:val="20"/>
        </w:numPr>
        <w:ind w:left="357" w:hanging="357"/>
      </w:pPr>
      <w:r>
        <w:t xml:space="preserve">M. </w:t>
      </w:r>
      <w:r w:rsidR="006C06BF" w:rsidRPr="00361632">
        <w:t xml:space="preserve">Sammar, </w:t>
      </w:r>
      <w:r>
        <w:t>A. Norberg and C. Tongur</w:t>
      </w:r>
      <w:r w:rsidR="006C06BF" w:rsidRPr="00361632">
        <w:t xml:space="preserve">, </w:t>
      </w:r>
      <w:r w:rsidR="00746930">
        <w:t xml:space="preserve">Issues on the use of scanner data in the CPI, </w:t>
      </w:r>
      <w:r>
        <w:t>P</w:t>
      </w:r>
      <w:r w:rsidR="00746930">
        <w:t xml:space="preserve">aper presented at the thirteenth Ottawa group meeting held 1-3 May 2013. </w:t>
      </w:r>
    </w:p>
    <w:p w:rsidR="006C06BF" w:rsidRPr="00361632" w:rsidRDefault="004E4137" w:rsidP="00DB55D6">
      <w:pPr>
        <w:pStyle w:val="Text1"/>
        <w:numPr>
          <w:ilvl w:val="0"/>
          <w:numId w:val="20"/>
        </w:numPr>
        <w:ind w:left="357" w:hanging="357"/>
      </w:pPr>
      <w:r w:rsidRPr="00361632">
        <w:t xml:space="preserve">M. </w:t>
      </w:r>
      <w:r w:rsidR="006C06BF" w:rsidRPr="00361632">
        <w:t>Sil</w:t>
      </w:r>
      <w:r w:rsidR="0018533F" w:rsidRPr="00361632">
        <w:t>ver</w:t>
      </w:r>
      <w:r w:rsidRPr="00361632">
        <w:t xml:space="preserve">, </w:t>
      </w:r>
      <w:r w:rsidRPr="00361632">
        <w:rPr>
          <w:lang w:val="en-US"/>
        </w:rPr>
        <w:t>An Index Number Formula Problem: The Aggregation of Broadly Comparable Items, Journal of Official Statistics, Vol. 27, No. 4, 2011, pp. 553–567</w:t>
      </w:r>
      <w:r w:rsidRPr="00361632">
        <w:t xml:space="preserve">.  </w:t>
      </w:r>
      <w:r w:rsidR="006C06BF" w:rsidRPr="00361632">
        <w:t xml:space="preserve"> </w:t>
      </w:r>
    </w:p>
    <w:p w:rsidR="006C06BF" w:rsidRPr="00361632" w:rsidRDefault="00F37D27" w:rsidP="009B4EE0">
      <w:pPr>
        <w:pStyle w:val="Text1"/>
        <w:numPr>
          <w:ilvl w:val="0"/>
          <w:numId w:val="20"/>
        </w:numPr>
        <w:ind w:left="357" w:hanging="357"/>
      </w:pPr>
      <w:r>
        <w:t xml:space="preserve">B. </w:t>
      </w:r>
      <w:r w:rsidR="006C06BF" w:rsidRPr="00361632">
        <w:t>Balk</w:t>
      </w:r>
      <w:r>
        <w:t xml:space="preserve">, Price and Quantity Index Numbers – Models for Measuring Aggregate Change and Difference, </w:t>
      </w:r>
      <w:r w:rsidR="00746930">
        <w:t xml:space="preserve">2008, </w:t>
      </w:r>
      <w:r>
        <w:t xml:space="preserve">Cambridge University Press. </w:t>
      </w:r>
      <w:r w:rsidR="006C06BF" w:rsidRPr="00361632">
        <w:t xml:space="preserve"> </w:t>
      </w:r>
    </w:p>
    <w:p w:rsidR="000C36E9" w:rsidRDefault="0018533F" w:rsidP="00361632">
      <w:pPr>
        <w:pStyle w:val="Text1"/>
        <w:numPr>
          <w:ilvl w:val="0"/>
          <w:numId w:val="20"/>
        </w:numPr>
        <w:ind w:left="357" w:hanging="357"/>
      </w:pPr>
      <w:r w:rsidRPr="00361632">
        <w:t xml:space="preserve">L. </w:t>
      </w:r>
      <w:r w:rsidR="00A42CC4">
        <w:t>v</w:t>
      </w:r>
      <w:r w:rsidRPr="00361632">
        <w:t>on Auer,</w:t>
      </w:r>
      <w:r w:rsidRPr="00361632">
        <w:rPr>
          <w:bCs/>
          <w:lang w:val="en-US"/>
        </w:rPr>
        <w:t xml:space="preserve"> Processing scanner data by an augmented GUV index</w:t>
      </w:r>
      <w:r w:rsidR="00361632" w:rsidRPr="00361632">
        <w:rPr>
          <w:bCs/>
        </w:rPr>
        <w:t xml:space="preserve">, </w:t>
      </w:r>
      <w:r w:rsidR="00361632" w:rsidRPr="00361632">
        <w:rPr>
          <w:bCs/>
          <w:iCs/>
          <w:lang w:val="en-US"/>
        </w:rPr>
        <w:t xml:space="preserve">Eurostat Review on National Accounts and Macroeconomic Indicators, </w:t>
      </w:r>
      <w:r w:rsidRPr="00361632">
        <w:t>2017</w:t>
      </w:r>
      <w:r w:rsidR="00361632" w:rsidRPr="00361632">
        <w:t>, pp. 73-91.</w:t>
      </w:r>
    </w:p>
    <w:p w:rsidR="00BF4626" w:rsidRPr="00361632" w:rsidRDefault="00BF4626" w:rsidP="00BF4626">
      <w:pPr>
        <w:pStyle w:val="Text1"/>
        <w:numPr>
          <w:ilvl w:val="0"/>
          <w:numId w:val="20"/>
        </w:numPr>
        <w:ind w:left="357" w:hanging="357"/>
      </w:pPr>
      <w:r>
        <w:t xml:space="preserve">J. Dalén, </w:t>
      </w:r>
      <w:r w:rsidRPr="00BF4626">
        <w:t>Unit values and aggregation in scanner data – towards a best practice</w:t>
      </w:r>
      <w:r>
        <w:t xml:space="preserve">, Paper presented at the fifteenth Ottawa group meeting </w:t>
      </w:r>
      <w:r w:rsidR="00BC66C5">
        <w:t xml:space="preserve">held </w:t>
      </w:r>
      <w:r>
        <w:t xml:space="preserve">10-12 May 2017. </w:t>
      </w:r>
    </w:p>
    <w:p w:rsidR="00BC6AFE" w:rsidRPr="00A42CC4" w:rsidRDefault="00712DEA" w:rsidP="00A42CC4">
      <w:pPr>
        <w:pStyle w:val="Text1"/>
        <w:numPr>
          <w:ilvl w:val="0"/>
          <w:numId w:val="20"/>
        </w:numPr>
        <w:ind w:left="357" w:hanging="357"/>
      </w:pPr>
      <w:r>
        <w:t xml:space="preserve">A. </w:t>
      </w:r>
      <w:r w:rsidR="000C36E9" w:rsidRPr="00361632">
        <w:t>Chessa</w:t>
      </w:r>
      <w:r>
        <w:t>,</w:t>
      </w:r>
      <w:r w:rsidR="00746930">
        <w:t xml:space="preserve"> Product definition and index calculation with MARS-QU: Applications to consumer electronics</w:t>
      </w:r>
      <w:r>
        <w:t>, 2018</w:t>
      </w:r>
      <w:r w:rsidR="00746930">
        <w:t>, Report provided to participants of the Statistics Norway scanner data workshop held in Oslo in September 2018</w:t>
      </w:r>
      <w:r>
        <w:t xml:space="preserve">. </w:t>
      </w:r>
    </w:p>
    <w:sectPr w:rsidR="00BC6AFE" w:rsidRPr="00A42CC4" w:rsidSect="00BC6AFE">
      <w:headerReference w:type="even" r:id="rId14"/>
      <w:headerReference w:type="default" r:id="rId15"/>
      <w:footerReference w:type="even" r:id="rId16"/>
      <w:footerReference w:type="default" r:id="rId17"/>
      <w:headerReference w:type="first" r:id="rId18"/>
      <w:footerReference w:type="first" r:id="rId19"/>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91E" w:rsidRDefault="002E691E" w:rsidP="00BC6AFE">
      <w:pPr>
        <w:spacing w:after="0"/>
      </w:pPr>
      <w:r>
        <w:separator/>
      </w:r>
    </w:p>
  </w:endnote>
  <w:endnote w:type="continuationSeparator" w:id="0">
    <w:p w:rsidR="002E691E" w:rsidRDefault="002E691E"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AD" w:rsidRDefault="00FC32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Sidfot"/>
      <w:jc w:val="center"/>
    </w:pPr>
    <w:r>
      <w:fldChar w:fldCharType="begin"/>
    </w:r>
    <w:r>
      <w:instrText>PAGE</w:instrText>
    </w:r>
    <w:r>
      <w:fldChar w:fldCharType="separate"/>
    </w:r>
    <w:r w:rsidR="008108E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Sidfot"/>
      <w:rPr>
        <w:sz w:val="24"/>
        <w:szCs w:val="24"/>
      </w:rPr>
    </w:pPr>
  </w:p>
  <w:p w:rsidR="00D24082" w:rsidRDefault="00D24082">
    <w:pPr>
      <w:pStyle w:val="Sidfot"/>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Sidfot"/>
    </w:pPr>
  </w:p>
  <w:p w:rsidR="00D24082" w:rsidRDefault="00D24082">
    <w:pPr>
      <w:pStyle w:val="Sidfot"/>
    </w:pPr>
    <w:r>
      <w:t>http://epp.eurostat.ec.europa.eu</w:t>
    </w:r>
  </w:p>
  <w:p w:rsidR="00D24082" w:rsidRDefault="00D24082">
    <w:pPr>
      <w:pStyle w:val="Sidfo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91E" w:rsidRDefault="002E691E" w:rsidP="00BC6AFE">
      <w:pPr>
        <w:spacing w:after="0"/>
      </w:pPr>
      <w:r>
        <w:separator/>
      </w:r>
    </w:p>
  </w:footnote>
  <w:footnote w:type="continuationSeparator" w:id="0">
    <w:p w:rsidR="002E691E" w:rsidRDefault="002E691E" w:rsidP="00BC6AFE">
      <w:pPr>
        <w:spacing w:after="0"/>
      </w:pPr>
      <w:r>
        <w:continuationSeparator/>
      </w:r>
    </w:p>
  </w:footnote>
  <w:footnote w:id="1">
    <w:p w:rsidR="00876F29" w:rsidRPr="00862BAB" w:rsidRDefault="00876F29" w:rsidP="00876F29">
      <w:pPr>
        <w:pStyle w:val="Fotnotstext"/>
        <w:rPr>
          <w:lang w:val="en-US"/>
        </w:rPr>
      </w:pPr>
      <w:r>
        <w:rPr>
          <w:rStyle w:val="Fotnotsreferens"/>
        </w:rPr>
        <w:footnoteRef/>
      </w:r>
      <w:r>
        <w:t xml:space="preserve"> </w:t>
      </w:r>
      <w:r w:rsidR="00DF5BC9">
        <w:t xml:space="preserve">Experimental indices shown </w:t>
      </w:r>
      <w:r>
        <w:rPr>
          <w:lang w:val="en-US"/>
        </w:rPr>
        <w:t xml:space="preserve">in this plot </w:t>
      </w:r>
      <w:r w:rsidRPr="00862BAB">
        <w:rPr>
          <w:lang w:val="en-US"/>
        </w:rPr>
        <w:t xml:space="preserve">are based on a </w:t>
      </w:r>
      <w:r w:rsidR="00505708">
        <w:rPr>
          <w:lang w:val="en-US"/>
        </w:rPr>
        <w:t>small</w:t>
      </w:r>
      <w:r>
        <w:rPr>
          <w:lang w:val="en-US"/>
        </w:rPr>
        <w:t xml:space="preserve"> </w:t>
      </w:r>
      <w:r w:rsidRPr="00862BAB">
        <w:rPr>
          <w:lang w:val="en-US"/>
        </w:rPr>
        <w:t xml:space="preserve">selection of </w:t>
      </w:r>
      <w:r>
        <w:rPr>
          <w:lang w:val="en-US"/>
        </w:rPr>
        <w:t>the full scanner data material</w:t>
      </w:r>
      <w:r w:rsidR="00DF5BC9">
        <w:rPr>
          <w:lang w:val="en-US"/>
        </w:rPr>
        <w:t xml:space="preserve"> provided to Statistics Sweden on a monthly basis,</w:t>
      </w:r>
      <w:r w:rsidR="00505708">
        <w:rPr>
          <w:lang w:val="en-US"/>
        </w:rPr>
        <w:t xml:space="preserve"> </w:t>
      </w:r>
      <w:r>
        <w:rPr>
          <w:lang w:val="en-US"/>
        </w:rPr>
        <w:t xml:space="preserve">as not to disclose any </w:t>
      </w:r>
      <w:r w:rsidR="00505708">
        <w:rPr>
          <w:lang w:val="en-US"/>
        </w:rPr>
        <w:t>detailed information</w:t>
      </w:r>
      <w:r>
        <w:rPr>
          <w:lang w:val="en-US"/>
        </w:rPr>
        <w:t xml:space="preserve">. </w:t>
      </w:r>
      <w:r w:rsidR="00DF5BC9">
        <w:rPr>
          <w:lang w:val="en-US"/>
        </w:rPr>
        <w:t xml:space="preserve">They are </w:t>
      </w:r>
      <w:r>
        <w:rPr>
          <w:lang w:val="en-US"/>
        </w:rPr>
        <w:t xml:space="preserve">also computed using a different index </w:t>
      </w:r>
      <w:r w:rsidR="00694FB6">
        <w:rPr>
          <w:lang w:val="en-US"/>
        </w:rPr>
        <w:t xml:space="preserve">number </w:t>
      </w:r>
      <w:r>
        <w:rPr>
          <w:lang w:val="en-US"/>
        </w:rPr>
        <w:t xml:space="preserve">formula </w:t>
      </w:r>
      <w:r w:rsidR="00694FB6">
        <w:rPr>
          <w:lang w:val="en-US"/>
        </w:rPr>
        <w:t>than</w:t>
      </w:r>
      <w:r>
        <w:rPr>
          <w:lang w:val="en-US"/>
        </w:rPr>
        <w:t xml:space="preserve"> the one used in today’s production, </w:t>
      </w:r>
      <w:r w:rsidR="00694FB6">
        <w:rPr>
          <w:lang w:val="en-US"/>
        </w:rPr>
        <w:t xml:space="preserve">which means that results are </w:t>
      </w:r>
      <w:r>
        <w:rPr>
          <w:lang w:val="en-US"/>
        </w:rPr>
        <w:t xml:space="preserve">not comparable </w:t>
      </w:r>
      <w:r w:rsidR="00694FB6">
        <w:rPr>
          <w:lang w:val="en-US"/>
        </w:rPr>
        <w:t>with</w:t>
      </w:r>
      <w:r w:rsidR="008108E2">
        <w:rPr>
          <w:lang w:val="en-US"/>
        </w:rPr>
        <w:t xml:space="preserve"> published</w:t>
      </w:r>
      <w:r>
        <w:rPr>
          <w:lang w:val="en-US"/>
        </w:rPr>
        <w:t xml:space="preserve"> numbers. </w:t>
      </w:r>
    </w:p>
  </w:footnote>
  <w:footnote w:id="2">
    <w:p w:rsidR="00776A3F" w:rsidRPr="00505708" w:rsidRDefault="00776A3F" w:rsidP="00CA5BCE">
      <w:pPr>
        <w:pStyle w:val="Fotnotstext"/>
        <w:spacing w:after="120"/>
      </w:pPr>
      <w:r>
        <w:rPr>
          <w:rStyle w:val="Fotnotsreferens"/>
        </w:rPr>
        <w:footnoteRef/>
      </w:r>
      <w:r>
        <w:t xml:space="preserve"> Again, only a subset of the full material is used in the comparison as not to disclose any of the data providers</w:t>
      </w:r>
      <w:r>
        <w:t>. For this plot, additional noise have also been added to the data. This, however, does not distort the overall picture</w:t>
      </w:r>
      <w:r>
        <w:t>. Results are</w:t>
      </w:r>
      <w:r>
        <w:t xml:space="preserve"> for these reasons </w:t>
      </w:r>
      <w:r>
        <w:t xml:space="preserve">not comparable to published numbers. </w:t>
      </w:r>
    </w:p>
  </w:footnote>
  <w:footnote w:id="3">
    <w:p w:rsidR="00CA5BCE" w:rsidRPr="00CA5BCE" w:rsidRDefault="00CA5BCE">
      <w:pPr>
        <w:pStyle w:val="Fotnotstext"/>
        <w:rPr>
          <w:lang w:val="en-US"/>
        </w:rPr>
      </w:pPr>
      <w:r>
        <w:rPr>
          <w:rStyle w:val="Fotnotsreferens"/>
        </w:rPr>
        <w:footnoteRef/>
      </w:r>
      <w:r>
        <w:t xml:space="preserve"> </w:t>
      </w:r>
      <w:r w:rsidRPr="00CA5BCE">
        <w:rPr>
          <w:lang w:val="en-US"/>
        </w:rPr>
        <w:t xml:space="preserve">The data material used for the experimental indices includes </w:t>
      </w:r>
      <w:r>
        <w:rPr>
          <w:lang w:val="en-US"/>
        </w:rPr>
        <w:t xml:space="preserve">certain individual </w:t>
      </w:r>
      <w:r w:rsidRPr="00CA5BCE">
        <w:rPr>
          <w:lang w:val="en-US"/>
        </w:rPr>
        <w:t>subsidies</w:t>
      </w:r>
      <w:r>
        <w:rPr>
          <w:lang w:val="en-US"/>
        </w:rPr>
        <w:t>, which is not the case for the data used in the official CPI today. Results are therefore not comparable to published ind</w:t>
      </w:r>
      <w:r w:rsidR="00EC7CC0">
        <w:rPr>
          <w:lang w:val="en-US"/>
        </w:rPr>
        <w:t>ex numbers</w:t>
      </w:r>
      <w:r>
        <w:rPr>
          <w:lang w:val="en-US"/>
        </w:rPr>
        <w:t xml:space="preserve"> without further adjustments. </w:t>
      </w:r>
      <w:r w:rsidRPr="00CA5BCE">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AD" w:rsidRDefault="00FC32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AD" w:rsidRDefault="00FC32A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Sidhuvu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reradlist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reradlist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51ACC3AE"/>
    <w:lvl w:ilvl="0" w:tplc="97CA8636">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Punktlista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Punktlista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Punktlista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Numrerad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Numrerad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080"/>
        </w:tabs>
        <w:ind w:left="1080" w:hanging="600"/>
      </w:pPr>
    </w:lvl>
    <w:lvl w:ilvl="2">
      <w:start w:val="1"/>
      <w:numFmt w:val="decimal"/>
      <w:pStyle w:val="Rubrik3"/>
      <w:lvlText w:val="%1.%2.%3."/>
      <w:lvlJc w:val="left"/>
      <w:pPr>
        <w:tabs>
          <w:tab w:val="num" w:pos="1920"/>
        </w:tabs>
        <w:ind w:left="1920" w:hanging="840"/>
      </w:pPr>
    </w:lvl>
    <w:lvl w:ilvl="3">
      <w:start w:val="1"/>
      <w:numFmt w:val="decimal"/>
      <w:pStyle w:val="Rubrik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Punktlista"/>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2E691E"/>
    <w:rsid w:val="00010681"/>
    <w:rsid w:val="00022CB7"/>
    <w:rsid w:val="00043CFA"/>
    <w:rsid w:val="0005461E"/>
    <w:rsid w:val="000642A1"/>
    <w:rsid w:val="000A55D0"/>
    <w:rsid w:val="000B69CE"/>
    <w:rsid w:val="000B6F7A"/>
    <w:rsid w:val="000C36E9"/>
    <w:rsid w:val="000F139D"/>
    <w:rsid w:val="000F7438"/>
    <w:rsid w:val="00127067"/>
    <w:rsid w:val="00132AC8"/>
    <w:rsid w:val="00133A88"/>
    <w:rsid w:val="0017386B"/>
    <w:rsid w:val="0018533F"/>
    <w:rsid w:val="001857CF"/>
    <w:rsid w:val="001B20C0"/>
    <w:rsid w:val="001B50CE"/>
    <w:rsid w:val="001B72AE"/>
    <w:rsid w:val="001D47E9"/>
    <w:rsid w:val="001D5887"/>
    <w:rsid w:val="001E4307"/>
    <w:rsid w:val="002012A8"/>
    <w:rsid w:val="00226246"/>
    <w:rsid w:val="00231A58"/>
    <w:rsid w:val="00242260"/>
    <w:rsid w:val="00243A2C"/>
    <w:rsid w:val="00271814"/>
    <w:rsid w:val="0027645F"/>
    <w:rsid w:val="00276638"/>
    <w:rsid w:val="002B1EEF"/>
    <w:rsid w:val="002E691E"/>
    <w:rsid w:val="003101DB"/>
    <w:rsid w:val="003121DE"/>
    <w:rsid w:val="00332D6F"/>
    <w:rsid w:val="00347ACC"/>
    <w:rsid w:val="003521F6"/>
    <w:rsid w:val="00355A03"/>
    <w:rsid w:val="00356C23"/>
    <w:rsid w:val="00360308"/>
    <w:rsid w:val="00361632"/>
    <w:rsid w:val="0037674C"/>
    <w:rsid w:val="003B7D75"/>
    <w:rsid w:val="003D30B8"/>
    <w:rsid w:val="004251E9"/>
    <w:rsid w:val="00440A4D"/>
    <w:rsid w:val="00476342"/>
    <w:rsid w:val="0049154F"/>
    <w:rsid w:val="004C6557"/>
    <w:rsid w:val="004E209F"/>
    <w:rsid w:val="004E4137"/>
    <w:rsid w:val="004E53E6"/>
    <w:rsid w:val="00505708"/>
    <w:rsid w:val="00514D46"/>
    <w:rsid w:val="005258D9"/>
    <w:rsid w:val="00525957"/>
    <w:rsid w:val="00533BA4"/>
    <w:rsid w:val="005410E8"/>
    <w:rsid w:val="00546D49"/>
    <w:rsid w:val="005525DD"/>
    <w:rsid w:val="00573E28"/>
    <w:rsid w:val="005A7D53"/>
    <w:rsid w:val="005B4EA5"/>
    <w:rsid w:val="005D27A6"/>
    <w:rsid w:val="005D78B0"/>
    <w:rsid w:val="005E6850"/>
    <w:rsid w:val="005F0C17"/>
    <w:rsid w:val="0060748B"/>
    <w:rsid w:val="006267CC"/>
    <w:rsid w:val="006312AF"/>
    <w:rsid w:val="00680DEC"/>
    <w:rsid w:val="0068683E"/>
    <w:rsid w:val="006875D6"/>
    <w:rsid w:val="006949D3"/>
    <w:rsid w:val="00694FB6"/>
    <w:rsid w:val="00696805"/>
    <w:rsid w:val="006B2DE0"/>
    <w:rsid w:val="006C06BF"/>
    <w:rsid w:val="006F5170"/>
    <w:rsid w:val="006F52FC"/>
    <w:rsid w:val="00712DEA"/>
    <w:rsid w:val="00746930"/>
    <w:rsid w:val="00746E51"/>
    <w:rsid w:val="00773362"/>
    <w:rsid w:val="007754EF"/>
    <w:rsid w:val="00776A3F"/>
    <w:rsid w:val="007B32E8"/>
    <w:rsid w:val="00800557"/>
    <w:rsid w:val="008066FC"/>
    <w:rsid w:val="008108E2"/>
    <w:rsid w:val="00820BDC"/>
    <w:rsid w:val="00826C0D"/>
    <w:rsid w:val="00846A4F"/>
    <w:rsid w:val="00856603"/>
    <w:rsid w:val="00862BAB"/>
    <w:rsid w:val="00876F29"/>
    <w:rsid w:val="008847C3"/>
    <w:rsid w:val="008A02EF"/>
    <w:rsid w:val="008A5E38"/>
    <w:rsid w:val="008A75D0"/>
    <w:rsid w:val="008E29ED"/>
    <w:rsid w:val="008E68B0"/>
    <w:rsid w:val="008F2BE1"/>
    <w:rsid w:val="00900B2E"/>
    <w:rsid w:val="00904D2B"/>
    <w:rsid w:val="009076A7"/>
    <w:rsid w:val="00923850"/>
    <w:rsid w:val="00953690"/>
    <w:rsid w:val="00963111"/>
    <w:rsid w:val="009A41E5"/>
    <w:rsid w:val="009B4EE0"/>
    <w:rsid w:val="009D548F"/>
    <w:rsid w:val="00A1379F"/>
    <w:rsid w:val="00A17E8C"/>
    <w:rsid w:val="00A2287D"/>
    <w:rsid w:val="00A23A8D"/>
    <w:rsid w:val="00A24A03"/>
    <w:rsid w:val="00A31F2A"/>
    <w:rsid w:val="00A42CC4"/>
    <w:rsid w:val="00AB0FB0"/>
    <w:rsid w:val="00AB4423"/>
    <w:rsid w:val="00AB7DC3"/>
    <w:rsid w:val="00AC76D0"/>
    <w:rsid w:val="00AD64A6"/>
    <w:rsid w:val="00AF0365"/>
    <w:rsid w:val="00B375D6"/>
    <w:rsid w:val="00B777F8"/>
    <w:rsid w:val="00B9492F"/>
    <w:rsid w:val="00BC17F5"/>
    <w:rsid w:val="00BC66C5"/>
    <w:rsid w:val="00BC6AFE"/>
    <w:rsid w:val="00BE72B7"/>
    <w:rsid w:val="00BF0AF8"/>
    <w:rsid w:val="00BF4626"/>
    <w:rsid w:val="00C15CAC"/>
    <w:rsid w:val="00C41D83"/>
    <w:rsid w:val="00C57A92"/>
    <w:rsid w:val="00C77427"/>
    <w:rsid w:val="00C90366"/>
    <w:rsid w:val="00CA5BCE"/>
    <w:rsid w:val="00CA5EB6"/>
    <w:rsid w:val="00D24082"/>
    <w:rsid w:val="00D517B8"/>
    <w:rsid w:val="00D52EA1"/>
    <w:rsid w:val="00D55A8D"/>
    <w:rsid w:val="00D62985"/>
    <w:rsid w:val="00D63BBA"/>
    <w:rsid w:val="00D861B3"/>
    <w:rsid w:val="00DB601E"/>
    <w:rsid w:val="00DB7D08"/>
    <w:rsid w:val="00DD6837"/>
    <w:rsid w:val="00DF2000"/>
    <w:rsid w:val="00DF21A3"/>
    <w:rsid w:val="00DF3716"/>
    <w:rsid w:val="00DF4BA9"/>
    <w:rsid w:val="00DF5BC9"/>
    <w:rsid w:val="00DF78BC"/>
    <w:rsid w:val="00E04F41"/>
    <w:rsid w:val="00E101C8"/>
    <w:rsid w:val="00E40794"/>
    <w:rsid w:val="00E43ABC"/>
    <w:rsid w:val="00E7056D"/>
    <w:rsid w:val="00E777EB"/>
    <w:rsid w:val="00EA7C0D"/>
    <w:rsid w:val="00EC7CC0"/>
    <w:rsid w:val="00EF1A87"/>
    <w:rsid w:val="00F2229B"/>
    <w:rsid w:val="00F373A8"/>
    <w:rsid w:val="00F37D27"/>
    <w:rsid w:val="00F37F74"/>
    <w:rsid w:val="00F76907"/>
    <w:rsid w:val="00FB2AFA"/>
    <w:rsid w:val="00FB2F51"/>
    <w:rsid w:val="00FC32AD"/>
    <w:rsid w:val="00FD45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7EC767"/>
  <w15:chartTrackingRefBased/>
  <w15:docId w15:val="{05A30FC6-77AD-4C78-B5FD-5AF99D5C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eastAsia="en-US"/>
    </w:rPr>
  </w:style>
  <w:style w:type="paragraph" w:styleId="Rubrik1">
    <w:name w:val="heading 1"/>
    <w:basedOn w:val="Normal"/>
    <w:next w:val="Text1"/>
    <w:link w:val="Rubrik1Char"/>
    <w:qFormat/>
    <w:pPr>
      <w:keepNext/>
      <w:numPr>
        <w:numId w:val="3"/>
      </w:numPr>
      <w:spacing w:before="240"/>
      <w:outlineLvl w:val="0"/>
    </w:pPr>
    <w:rPr>
      <w:b/>
      <w:smallCaps/>
    </w:rPr>
  </w:style>
  <w:style w:type="paragraph" w:styleId="Rubrik2">
    <w:name w:val="heading 2"/>
    <w:basedOn w:val="Normal"/>
    <w:next w:val="Text2"/>
    <w:link w:val="Rubrik2Char"/>
    <w:qFormat/>
    <w:pPr>
      <w:keepNext/>
      <w:numPr>
        <w:ilvl w:val="1"/>
        <w:numId w:val="3"/>
      </w:numPr>
      <w:outlineLvl w:val="1"/>
    </w:pPr>
    <w:rPr>
      <w:b/>
    </w:rPr>
  </w:style>
  <w:style w:type="paragraph" w:styleId="Rubrik3">
    <w:name w:val="heading 3"/>
    <w:basedOn w:val="Normal"/>
    <w:next w:val="Text3"/>
    <w:qFormat/>
    <w:pPr>
      <w:keepNext/>
      <w:numPr>
        <w:ilvl w:val="2"/>
        <w:numId w:val="3"/>
      </w:numPr>
      <w:outlineLvl w:val="2"/>
    </w:pPr>
    <w:rPr>
      <w:i/>
    </w:rPr>
  </w:style>
  <w:style w:type="paragraph" w:styleId="Rubrik4">
    <w:name w:val="heading 4"/>
    <w:basedOn w:val="Normal"/>
    <w:next w:val="Text4"/>
    <w:qFormat/>
    <w:pPr>
      <w:keepNext/>
      <w:numPr>
        <w:ilvl w:val="3"/>
        <w:numId w:val="3"/>
      </w:numPr>
      <w:outlineLvl w:val="3"/>
    </w:pPr>
  </w:style>
  <w:style w:type="paragraph" w:styleId="Rubrik5">
    <w:name w:val="heading 5"/>
    <w:basedOn w:val="Normal"/>
    <w:next w:val="Normal"/>
    <w:qFormat/>
    <w:pPr>
      <w:spacing w:before="240" w:after="60"/>
      <w:ind w:left="3332" w:hanging="708"/>
      <w:outlineLvl w:val="4"/>
    </w:pPr>
    <w:rPr>
      <w:rFonts w:ascii="Arial" w:hAnsi="Arial"/>
      <w:sz w:val="22"/>
    </w:rPr>
  </w:style>
  <w:style w:type="paragraph" w:styleId="Rubrik6">
    <w:name w:val="heading 6"/>
    <w:basedOn w:val="Normal"/>
    <w:next w:val="Normal"/>
    <w:qFormat/>
    <w:pPr>
      <w:spacing w:before="240" w:after="60"/>
      <w:ind w:left="4040" w:hanging="708"/>
      <w:outlineLvl w:val="5"/>
    </w:pPr>
    <w:rPr>
      <w:rFonts w:ascii="Arial" w:hAnsi="Arial"/>
      <w:i/>
      <w:sz w:val="22"/>
    </w:rPr>
  </w:style>
  <w:style w:type="paragraph" w:styleId="Rubrik7">
    <w:name w:val="heading 7"/>
    <w:basedOn w:val="Normal"/>
    <w:next w:val="Normal"/>
    <w:qFormat/>
    <w:pPr>
      <w:spacing w:before="240" w:after="60"/>
      <w:ind w:left="4748" w:hanging="708"/>
      <w:outlineLvl w:val="6"/>
    </w:pPr>
    <w:rPr>
      <w:rFonts w:ascii="Arial" w:hAnsi="Arial"/>
      <w:sz w:val="20"/>
    </w:rPr>
  </w:style>
  <w:style w:type="paragraph" w:styleId="Rubrik8">
    <w:name w:val="heading 8"/>
    <w:basedOn w:val="Normal"/>
    <w:next w:val="Normal"/>
    <w:qFormat/>
    <w:pPr>
      <w:spacing w:before="240" w:after="60"/>
      <w:ind w:left="5456" w:hanging="708"/>
      <w:outlineLvl w:val="7"/>
    </w:pPr>
    <w:rPr>
      <w:rFonts w:ascii="Arial" w:hAnsi="Arial"/>
      <w:i/>
      <w:sz w:val="20"/>
    </w:rPr>
  </w:style>
  <w:style w:type="paragraph" w:styleId="Rubrik9">
    <w:name w:val="heading 9"/>
    <w:basedOn w:val="Normal"/>
    <w:next w:val="Normal"/>
    <w:qFormat/>
    <w:pPr>
      <w:spacing w:before="240" w:after="60"/>
      <w:ind w:left="6164" w:hanging="708"/>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Indragetstycke">
    <w:name w:val="Block Text"/>
    <w:basedOn w:val="Normal"/>
    <w:pPr>
      <w:spacing w:after="120"/>
      <w:ind w:left="1440" w:right="1440"/>
    </w:pPr>
  </w:style>
  <w:style w:type="paragraph" w:styleId="Brdtext">
    <w:name w:val="Body Text"/>
    <w:basedOn w:val="Normal"/>
    <w:pPr>
      <w:spacing w:after="120"/>
    </w:pPr>
  </w:style>
  <w:style w:type="paragraph" w:styleId="Brdtext2">
    <w:name w:val="Body Text 2"/>
    <w:basedOn w:val="Normal"/>
    <w:pPr>
      <w:spacing w:after="120" w:line="480" w:lineRule="auto"/>
    </w:pPr>
  </w:style>
  <w:style w:type="paragraph" w:styleId="Brdtext3">
    <w:name w:val="Body Text 3"/>
    <w:basedOn w:val="Normal"/>
    <w:pPr>
      <w:spacing w:after="120"/>
    </w:pPr>
    <w:rPr>
      <w:sz w:val="16"/>
    </w:rPr>
  </w:style>
  <w:style w:type="paragraph" w:styleId="Brdtextmedfrstaindrag">
    <w:name w:val="Body Text First Indent"/>
    <w:basedOn w:val="Brdtext"/>
    <w:pPr>
      <w:ind w:firstLine="210"/>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rPr>
  </w:style>
  <w:style w:type="paragraph" w:styleId="Beskrivning">
    <w:name w:val="caption"/>
    <w:basedOn w:val="Normal"/>
    <w:next w:val="Normal"/>
    <w:qFormat/>
    <w:pPr>
      <w:spacing w:before="120" w:after="120"/>
    </w:pPr>
    <w:rPr>
      <w:b/>
    </w:rPr>
  </w:style>
  <w:style w:type="paragraph" w:styleId="Avslutandetext">
    <w:name w:val="Closing"/>
    <w:basedOn w:val="Normal"/>
    <w:next w:val="Signatur"/>
    <w:pPr>
      <w:tabs>
        <w:tab w:val="left" w:pos="5103"/>
      </w:tabs>
      <w:spacing w:before="240"/>
      <w:ind w:left="5103"/>
      <w:jc w:val="left"/>
    </w:pPr>
  </w:style>
  <w:style w:type="paragraph" w:styleId="Signatur">
    <w:name w:val="Signature"/>
    <w:basedOn w:val="Normal"/>
    <w:next w:val="Contact"/>
    <w:link w:val="Signatur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Kommentarer">
    <w:name w:val="annotation text"/>
    <w:basedOn w:val="Normal"/>
    <w:semiHidden/>
    <w:rPr>
      <w:sz w:val="20"/>
    </w:rPr>
  </w:style>
  <w:style w:type="paragraph" w:styleId="Datum">
    <w:name w:val="Date"/>
    <w:basedOn w:val="Normal"/>
    <w:next w:val="References"/>
    <w:link w:val="Datum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kumentversikt">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Slutkommentar">
    <w:name w:val="endnote text"/>
    <w:basedOn w:val="Normal"/>
    <w:semiHidden/>
    <w:rPr>
      <w:sz w:val="20"/>
    </w:rPr>
  </w:style>
  <w:style w:type="paragraph" w:styleId="Adress-brev">
    <w:name w:val="envelope address"/>
    <w:basedOn w:val="Normal"/>
    <w:pPr>
      <w:framePr w:w="7920" w:h="1980" w:hRule="exact" w:hSpace="180" w:wrap="auto" w:hAnchor="page" w:xAlign="center" w:yAlign="bottom"/>
      <w:spacing w:after="0"/>
    </w:pPr>
  </w:style>
  <w:style w:type="paragraph" w:styleId="Avsndaradress-brev">
    <w:name w:val="envelope return"/>
    <w:basedOn w:val="Normal"/>
    <w:pPr>
      <w:spacing w:after="0"/>
    </w:pPr>
    <w:rPr>
      <w:sz w:val="20"/>
    </w:rPr>
  </w:style>
  <w:style w:type="paragraph" w:styleId="Sidfot">
    <w:name w:val="footer"/>
    <w:basedOn w:val="Normal"/>
    <w:link w:val="SidfotChar"/>
    <w:uiPriority w:val="99"/>
    <w:pPr>
      <w:spacing w:after="0"/>
      <w:ind w:right="-567"/>
      <w:jc w:val="left"/>
    </w:pPr>
    <w:rPr>
      <w:rFonts w:ascii="Arial" w:hAnsi="Arial"/>
      <w:sz w:val="16"/>
    </w:rPr>
  </w:style>
  <w:style w:type="paragraph" w:styleId="Fotnotstext">
    <w:name w:val="footnote text"/>
    <w:basedOn w:val="Normal"/>
    <w:semiHidden/>
    <w:pPr>
      <w:ind w:left="357" w:hanging="357"/>
    </w:pPr>
    <w:rPr>
      <w:sz w:val="20"/>
    </w:rPr>
  </w:style>
  <w:style w:type="paragraph" w:styleId="Sidhuvud">
    <w:name w:val="header"/>
    <w:basedOn w:val="Normal"/>
    <w:link w:val="Sidhuvud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Punktlista">
    <w:name w:val="List Bullet"/>
    <w:basedOn w:val="Normal"/>
    <w:pPr>
      <w:numPr>
        <w:numId w:val="4"/>
      </w:numPr>
    </w:pPr>
  </w:style>
  <w:style w:type="paragraph" w:styleId="Punktlista2">
    <w:name w:val="List Bullet 2"/>
    <w:basedOn w:val="Text2"/>
    <w:pPr>
      <w:numPr>
        <w:numId w:val="6"/>
      </w:numPr>
      <w:tabs>
        <w:tab w:val="clear" w:pos="2160"/>
      </w:tabs>
    </w:pPr>
  </w:style>
  <w:style w:type="paragraph" w:styleId="Punktlista3">
    <w:name w:val="List Bullet 3"/>
    <w:basedOn w:val="Text3"/>
    <w:pPr>
      <w:numPr>
        <w:numId w:val="7"/>
      </w:numPr>
      <w:tabs>
        <w:tab w:val="clear" w:pos="2302"/>
      </w:tabs>
    </w:pPr>
  </w:style>
  <w:style w:type="paragraph" w:styleId="Punktlista4">
    <w:name w:val="List Bullet 4"/>
    <w:basedOn w:val="Text4"/>
    <w:pPr>
      <w:numPr>
        <w:numId w:val="8"/>
      </w:numPr>
    </w:pPr>
  </w:style>
  <w:style w:type="paragraph" w:styleId="Punktlista5">
    <w:name w:val="List Bullet 5"/>
    <w:basedOn w:val="Normal"/>
    <w:autoRedefine/>
    <w:pPr>
      <w:numPr>
        <w:numId w:val="1"/>
      </w:numPr>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4"/>
      </w:numPr>
    </w:pPr>
  </w:style>
  <w:style w:type="paragraph" w:styleId="Numreradlista2">
    <w:name w:val="List Number 2"/>
    <w:basedOn w:val="Text2"/>
    <w:pPr>
      <w:numPr>
        <w:numId w:val="16"/>
      </w:numPr>
      <w:tabs>
        <w:tab w:val="clear" w:pos="2160"/>
      </w:tabs>
    </w:pPr>
  </w:style>
  <w:style w:type="paragraph" w:styleId="Numreradlista3">
    <w:name w:val="List Number 3"/>
    <w:basedOn w:val="Text3"/>
    <w:pPr>
      <w:numPr>
        <w:numId w:val="17"/>
      </w:numPr>
      <w:tabs>
        <w:tab w:val="clear" w:pos="2302"/>
      </w:tabs>
    </w:pPr>
  </w:style>
  <w:style w:type="paragraph" w:styleId="Numreradlista4">
    <w:name w:val="List Number 4"/>
    <w:basedOn w:val="Text4"/>
    <w:pPr>
      <w:numPr>
        <w:numId w:val="18"/>
      </w:numPr>
    </w:pPr>
  </w:style>
  <w:style w:type="paragraph" w:styleId="Numreradlista5">
    <w:name w:val="List Number 5"/>
    <w:basedOn w:val="Normal"/>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tindrag">
    <w:name w:val="Normal Indent"/>
    <w:basedOn w:val="Normal"/>
    <w:pPr>
      <w:ind w:left="720"/>
    </w:pPr>
  </w:style>
  <w:style w:type="paragraph" w:styleId="Anteckningsrubrik">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Rubrik1"/>
    <w:next w:val="Text1"/>
    <w:pPr>
      <w:keepNext w:val="0"/>
      <w:spacing w:before="0"/>
      <w:outlineLvl w:val="9"/>
    </w:pPr>
    <w:rPr>
      <w:b w:val="0"/>
      <w:smallCaps w:val="0"/>
    </w:rPr>
  </w:style>
  <w:style w:type="paragraph" w:customStyle="1" w:styleId="NumPar2">
    <w:name w:val="NumPar 2"/>
    <w:basedOn w:val="Rubrik2"/>
    <w:next w:val="Text2"/>
    <w:pPr>
      <w:keepNext w:val="0"/>
      <w:outlineLvl w:val="9"/>
    </w:pPr>
    <w:rPr>
      <w:b w:val="0"/>
    </w:rPr>
  </w:style>
  <w:style w:type="paragraph" w:customStyle="1" w:styleId="NumPar3">
    <w:name w:val="NumPar 3"/>
    <w:basedOn w:val="Rubrik3"/>
    <w:next w:val="Text3"/>
    <w:pPr>
      <w:keepNext w:val="0"/>
      <w:outlineLvl w:val="9"/>
    </w:pPr>
    <w:rPr>
      <w:i w:val="0"/>
    </w:rPr>
  </w:style>
  <w:style w:type="paragraph" w:customStyle="1" w:styleId="NumPar4">
    <w:name w:val="NumPar 4"/>
    <w:basedOn w:val="Rubrik4"/>
    <w:next w:val="Text4"/>
    <w:pPr>
      <w:keepNext w:val="0"/>
      <w:outlineLvl w:val="9"/>
    </w:pPr>
  </w:style>
  <w:style w:type="paragraph" w:styleId="Oformateradtext">
    <w:name w:val="Plain Text"/>
    <w:basedOn w:val="Normal"/>
    <w:rPr>
      <w:rFonts w:ascii="Courier New" w:hAnsi="Courier New"/>
      <w:sz w:val="20"/>
    </w:rPr>
  </w:style>
  <w:style w:type="paragraph" w:styleId="Inledning">
    <w:name w:val="Salutation"/>
    <w:basedOn w:val="Normal"/>
    <w:next w:val="Normal"/>
  </w:style>
  <w:style w:type="paragraph" w:styleId="Underrubrik">
    <w:name w:val="Subtitle"/>
    <w:basedOn w:val="Normal"/>
    <w:qFormat/>
    <w:pPr>
      <w:spacing w:after="60"/>
      <w:jc w:val="center"/>
      <w:outlineLvl w:val="1"/>
    </w:pPr>
    <w:rPr>
      <w:rFonts w:ascii="Arial" w:hAnsi="Arial"/>
    </w:rPr>
  </w:style>
  <w:style w:type="paragraph" w:styleId="Citatfrteckning">
    <w:name w:val="table of authorities"/>
    <w:basedOn w:val="Normal"/>
    <w:next w:val="Normal"/>
    <w:semiHidden/>
    <w:pPr>
      <w:ind w:left="240" w:hanging="240"/>
    </w:pPr>
  </w:style>
  <w:style w:type="paragraph" w:styleId="Figurfrteckning">
    <w:name w:val="table of figures"/>
    <w:basedOn w:val="Normal"/>
    <w:next w:val="Normal"/>
    <w:semiHidden/>
    <w:pPr>
      <w:ind w:left="480" w:hanging="480"/>
    </w:pPr>
  </w:style>
  <w:style w:type="paragraph" w:styleId="Rubrik">
    <w:name w:val="Title"/>
    <w:basedOn w:val="Normal"/>
    <w:qFormat/>
    <w:pPr>
      <w:spacing w:before="240" w:after="60"/>
      <w:jc w:val="center"/>
      <w:outlineLvl w:val="0"/>
    </w:pPr>
    <w:rPr>
      <w:rFonts w:ascii="Arial" w:hAnsi="Arial"/>
      <w:b/>
      <w:kern w:val="28"/>
      <w:sz w:val="32"/>
    </w:rPr>
  </w:style>
  <w:style w:type="paragraph" w:styleId="Citatfrteckningsrubrik">
    <w:name w:val="toa heading"/>
    <w:basedOn w:val="Normal"/>
    <w:next w:val="Normal"/>
    <w:semiHidden/>
    <w:pPr>
      <w:spacing w:before="120"/>
    </w:pPr>
    <w:rPr>
      <w:rFonts w:ascii="Arial" w:hAnsi="Arial"/>
      <w:b/>
    </w:rPr>
  </w:style>
  <w:style w:type="paragraph" w:styleId="Innehll1">
    <w:name w:val="toc 1"/>
    <w:basedOn w:val="Normal"/>
    <w:next w:val="Normal"/>
    <w:semiHidden/>
    <w:pPr>
      <w:tabs>
        <w:tab w:val="right" w:leader="dot" w:pos="8640"/>
      </w:tabs>
      <w:spacing w:before="120" w:after="120"/>
      <w:ind w:left="482" w:right="720" w:hanging="482"/>
    </w:pPr>
    <w:rPr>
      <w:caps/>
    </w:rPr>
  </w:style>
  <w:style w:type="paragraph" w:styleId="Innehll2">
    <w:name w:val="toc 2"/>
    <w:basedOn w:val="Normal"/>
    <w:next w:val="Normal"/>
    <w:semiHidden/>
    <w:pPr>
      <w:tabs>
        <w:tab w:val="right" w:leader="dot" w:pos="8640"/>
      </w:tabs>
      <w:spacing w:before="60" w:after="60"/>
      <w:ind w:left="1077" w:right="720" w:hanging="595"/>
    </w:pPr>
  </w:style>
  <w:style w:type="paragraph" w:styleId="Innehll3">
    <w:name w:val="toc 3"/>
    <w:basedOn w:val="Normal"/>
    <w:next w:val="Normal"/>
    <w:semiHidden/>
    <w:pPr>
      <w:tabs>
        <w:tab w:val="right" w:leader="dot" w:pos="8640"/>
      </w:tabs>
      <w:spacing w:before="60" w:after="60"/>
      <w:ind w:left="1916" w:right="720" w:hanging="839"/>
    </w:pPr>
  </w:style>
  <w:style w:type="paragraph" w:styleId="Innehll4">
    <w:name w:val="toc 4"/>
    <w:basedOn w:val="Normal"/>
    <w:next w:val="Normal"/>
    <w:semiHidden/>
    <w:pPr>
      <w:tabs>
        <w:tab w:val="right" w:leader="dot" w:pos="8641"/>
      </w:tabs>
      <w:spacing w:before="60" w:after="60"/>
      <w:ind w:left="2880" w:right="720" w:hanging="964"/>
    </w:pPr>
  </w:style>
  <w:style w:type="paragraph" w:styleId="Innehll5">
    <w:name w:val="toc 5"/>
    <w:basedOn w:val="Normal"/>
    <w:next w:val="Normal"/>
    <w:semiHidden/>
    <w:pPr>
      <w:tabs>
        <w:tab w:val="right" w:leader="dot" w:pos="8641"/>
      </w:tabs>
      <w:spacing w:before="240" w:after="120"/>
      <w:ind w:right="720"/>
    </w:pPr>
    <w:rPr>
      <w:caps/>
    </w:r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nehllsfrteckningsrubrik">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AnvndHyperl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SidfotChar">
    <w:name w:val="Sidfot Char"/>
    <w:link w:val="Sidfo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SignaturChar">
    <w:name w:val="Signatur Char"/>
    <w:link w:val="Signatur"/>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SidhuvudChar">
    <w:name w:val="Sidhuvud Char"/>
    <w:link w:val="Sidhuvud"/>
    <w:uiPriority w:val="99"/>
    <w:rsid w:val="00BC6AFE"/>
    <w:rPr>
      <w:sz w:val="24"/>
      <w:lang w:eastAsia="en-US"/>
    </w:rPr>
  </w:style>
  <w:style w:type="character" w:customStyle="1" w:styleId="Rubrik2Char">
    <w:name w:val="Rubrik 2 Char"/>
    <w:link w:val="Rubrik2"/>
    <w:rsid w:val="00BC6AFE"/>
    <w:rPr>
      <w:b/>
      <w:sz w:val="24"/>
      <w:lang w:eastAsia="en-US"/>
    </w:rPr>
  </w:style>
  <w:style w:type="character" w:customStyle="1" w:styleId="Rubrik1Char">
    <w:name w:val="Rubrik 1 Char"/>
    <w:link w:val="Rubrik1"/>
    <w:rsid w:val="00BC6AFE"/>
    <w:rPr>
      <w:b/>
      <w:smallCaps/>
      <w:sz w:val="24"/>
      <w:lang w:eastAsia="en-US"/>
    </w:rPr>
  </w:style>
  <w:style w:type="table" w:styleId="Tabellrutnt">
    <w:name w:val="Table Grid"/>
    <w:basedOn w:val="Normaltabel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basedOn w:val="Standardstycketeckensnitt"/>
    <w:uiPriority w:val="99"/>
    <w:semiHidden/>
    <w:unhideWhenUsed/>
    <w:rsid w:val="00862BAB"/>
    <w:rPr>
      <w:vertAlign w:val="superscript"/>
    </w:rPr>
  </w:style>
  <w:style w:type="paragraph" w:styleId="Ballongtext">
    <w:name w:val="Balloon Text"/>
    <w:basedOn w:val="Normal"/>
    <w:link w:val="BallongtextChar"/>
    <w:uiPriority w:val="99"/>
    <w:semiHidden/>
    <w:unhideWhenUsed/>
    <w:rsid w:val="008108E2"/>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108E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b.intra\users\O\SCBOLIH\Mina%20Dokument\02%20KPI\Internationellt\NTTS%202019\NTTS%202019%20Abstract%20v.0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014FD955-1E1C-4DD7-8586-7785A341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 2019 Abstract v.01</Template>
  <TotalTime>1209</TotalTime>
  <Pages>4</Pages>
  <Words>1427</Words>
  <Characters>7564</Characters>
  <Application>Microsoft Office Word</Application>
  <DocSecurity>0</DocSecurity>
  <PresentationFormat>Microsoft Word 14.0</PresentationFormat>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Ståhl Olivia</dc:creator>
  <cp:keywords>EL4</cp:keywords>
  <cp:lastModifiedBy>Ståhl Olivia PMU/MFS-S</cp:lastModifiedBy>
  <cp:revision>101</cp:revision>
  <cp:lastPrinted>2018-10-15T21:01:00Z</cp:lastPrinted>
  <dcterms:created xsi:type="dcterms:W3CDTF">2018-10-09T15:02:00Z</dcterms:created>
  <dcterms:modified xsi:type="dcterms:W3CDTF">2018-10-15T21:17:00Z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