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FE" w:rsidRDefault="00A11190" w:rsidP="00BC6AFE">
      <w:pPr>
        <w:pStyle w:val="Title"/>
      </w:pPr>
      <w:proofErr w:type="gramStart"/>
      <w:r>
        <w:t>Data(</w:t>
      </w:r>
      <w:proofErr w:type="gramEnd"/>
      <w:r>
        <w:t>trans)forming</w:t>
      </w:r>
    </w:p>
    <w:p w:rsidR="001B50CE" w:rsidRDefault="001B50CE" w:rsidP="00BC6AFE">
      <w:pPr>
        <w:pStyle w:val="Title"/>
      </w:pPr>
    </w:p>
    <w:p w:rsidR="00243A2C" w:rsidRDefault="00243A2C" w:rsidP="00243A2C">
      <w:r w:rsidRPr="00243A2C">
        <w:rPr>
          <w:b/>
          <w:u w:val="single"/>
        </w:rPr>
        <w:t>Keywords</w:t>
      </w:r>
      <w:r w:rsidRPr="00243A2C">
        <w:rPr>
          <w:b/>
        </w:rPr>
        <w:t>:</w:t>
      </w:r>
      <w:r w:rsidR="00893791">
        <w:rPr>
          <w:b/>
        </w:rPr>
        <w:t xml:space="preserve"> data, information, knowledge, data</w:t>
      </w:r>
      <w:r w:rsidR="00F2254F">
        <w:rPr>
          <w:b/>
        </w:rPr>
        <w:t xml:space="preserve"> </w:t>
      </w:r>
      <w:r w:rsidR="00893791">
        <w:rPr>
          <w:b/>
        </w:rPr>
        <w:t>ecosystem</w:t>
      </w:r>
    </w:p>
    <w:p w:rsidR="002012A8" w:rsidRDefault="002012A8" w:rsidP="002012A8">
      <w:pPr>
        <w:pStyle w:val="Heading1"/>
      </w:pPr>
      <w:r>
        <w:t>Introduction</w:t>
      </w:r>
    </w:p>
    <w:p w:rsidR="007B6C74" w:rsidRPr="007B6C74" w:rsidRDefault="007B6C74" w:rsidP="00E03E3C">
      <w:pPr>
        <w:rPr>
          <w:i/>
        </w:rPr>
      </w:pPr>
      <w:r w:rsidRPr="007B6C74">
        <w:rPr>
          <w:i/>
        </w:rPr>
        <w:t>The ability to manage data is critical to the success of organisations</w:t>
      </w:r>
    </w:p>
    <w:p w:rsidR="00E03E3C" w:rsidRDefault="00E03E3C" w:rsidP="00E03E3C">
      <w:r>
        <w:t xml:space="preserve">In the modern fast-paced society, public administrations need data for informed/evidence-based decision making, for policy monitoring and reporting, for enhancing their functioning and for monitoring societal phenomena.  Therefore, public administrations need to develop the ability to extract insights from data to support their activities and to be responsive to a rapidly-changing environment. To this aim, data must be relevant, trusted, timely and of good quality. </w:t>
      </w:r>
    </w:p>
    <w:p w:rsidR="00E03E3C" w:rsidRDefault="00E03E3C" w:rsidP="00E03E3C">
      <w:r>
        <w:t xml:space="preserve">Improving the way </w:t>
      </w:r>
      <w:r>
        <w:t>a public administration</w:t>
      </w:r>
      <w:r>
        <w:t xml:space="preserve"> exploits and exposes data is critical to achieve its policy targets in policy-making, optimise its internal functioning, be transparent and provide services to European citizens. </w:t>
      </w:r>
    </w:p>
    <w:p w:rsidR="00E03E3C" w:rsidRDefault="00E03E3C" w:rsidP="00E03E3C">
      <w:r>
        <w:t>The European Commission has a central role in unlocking the potential of data across the EU, to help citizens, businesses and public administrations in reaping the benefits of the data revolution, and improve the way data-services are delivered and consumed.</w:t>
      </w:r>
    </w:p>
    <w:p w:rsidR="00E03E3C" w:rsidRDefault="00E03E3C" w:rsidP="00E03E3C">
      <w:r>
        <w:t xml:space="preserve">Internally, the Commission recognised the data challenge and the need to act in this field </w:t>
      </w:r>
      <w:r>
        <w:t xml:space="preserve">with particular focus on </w:t>
      </w:r>
      <w:r>
        <w:t>"Improving information retrieval and delivery" and "Maximising use of data for better policy-making".</w:t>
      </w:r>
    </w:p>
    <w:p w:rsidR="00E03E3C" w:rsidRDefault="00E03E3C" w:rsidP="00E03E3C">
      <w:r>
        <w:t>The fast evolving technological landscape comes in support of the above mentioned objectives: increasing availability of computing power, dropping costs of storage and hardware, better use of resources through distributed data processing, modern data analytics and data science, business intelligence, artificial intelligence are only a few of the driving capabilities offered by technology in this field.</w:t>
      </w:r>
    </w:p>
    <w:p w:rsidR="00E03E3C" w:rsidRDefault="00E03E3C" w:rsidP="00E03E3C">
      <w:r>
        <w:t>For the reasons mentioned above, it is crucial for the European Commission to become a data-driven organisation</w:t>
      </w:r>
      <w:r>
        <w:t xml:space="preserve"> – </w:t>
      </w:r>
      <w:proofErr w:type="gramStart"/>
      <w:r>
        <w:t>data(</w:t>
      </w:r>
      <w:proofErr w:type="gramEnd"/>
      <w:r>
        <w:t>trans)forming</w:t>
      </w:r>
      <w:r>
        <w:t>.</w:t>
      </w:r>
    </w:p>
    <w:p w:rsidR="00E03E3C" w:rsidRDefault="00E03E3C" w:rsidP="00BC6AFE">
      <w:r w:rsidRPr="00E03E3C">
        <w:t>Being a data-driven organisation is not only a technological challenge. Technology acquisition, talent hiring and training, launching of projects/programmes, consolidation of data and data policy, organisational structures, communication campaigns, stakeholders’ engagement processes, project management need all to be aligned to achieve the high-level strategic objectives and uplift the maturity of the organisation in generating and exploiting insights coming from internal and external data. Moreover, given the speed at which new data projects need to be developed, new stakeholders become relevant (including, for example, new internal and external data providers), new technology becomes available and new business cases are developed. This entails that a new approach to strategy definition and implementation needs to be adopted.</w:t>
      </w:r>
    </w:p>
    <w:p w:rsidR="00E03E3C" w:rsidRDefault="00E03E3C" w:rsidP="00BC6AFE">
      <w:r>
        <w:t xml:space="preserve">This paper illustrates </w:t>
      </w:r>
      <w:r w:rsidR="007B6C74">
        <w:t xml:space="preserve">how the </w:t>
      </w:r>
      <w:r>
        <w:t xml:space="preserve">European Commission </w:t>
      </w:r>
      <w:r w:rsidR="007B6C74">
        <w:t>will be transformed in a data driven organisation.</w:t>
      </w:r>
    </w:p>
    <w:p w:rsidR="00BC6AFE" w:rsidRDefault="00BC6AFE" w:rsidP="00BC6AFE">
      <w:pPr>
        <w:pStyle w:val="Heading1"/>
      </w:pPr>
      <w:r>
        <w:lastRenderedPageBreak/>
        <w:t>Methods</w:t>
      </w:r>
    </w:p>
    <w:p w:rsidR="007B6C74" w:rsidRPr="007B6C74" w:rsidRDefault="007B6C74" w:rsidP="007B6C74">
      <w:pPr>
        <w:pStyle w:val="Caption"/>
        <w:rPr>
          <w:b w:val="0"/>
          <w:i/>
        </w:rPr>
      </w:pPr>
      <w:r w:rsidRPr="007B6C74">
        <w:rPr>
          <w:b w:val="0"/>
          <w:i/>
        </w:rPr>
        <w:t xml:space="preserve">The </w:t>
      </w:r>
      <w:proofErr w:type="spellStart"/>
      <w:r w:rsidRPr="007B6C74">
        <w:rPr>
          <w:b w:val="0"/>
          <w:i/>
        </w:rPr>
        <w:t>DataStrategy@EC</w:t>
      </w:r>
      <w:proofErr w:type="spellEnd"/>
      <w:r w:rsidRPr="007B6C74">
        <w:rPr>
          <w:b w:val="0"/>
          <w:i/>
        </w:rPr>
        <w:t xml:space="preserve"> is the comprehensive vision and the foundations to transform the Commission into a data driven organisation</w:t>
      </w:r>
    </w:p>
    <w:p w:rsidR="007B6C74" w:rsidRPr="007B6C74" w:rsidRDefault="007B6C74" w:rsidP="007B6C74">
      <w:pPr>
        <w:pStyle w:val="Caption"/>
      </w:pPr>
      <w:proofErr w:type="gramStart"/>
      <w:r w:rsidRPr="007B6C74">
        <w:t xml:space="preserve">Table </w:t>
      </w:r>
      <w:r w:rsidRPr="007B6C74">
        <w:fldChar w:fldCharType="begin"/>
      </w:r>
      <w:r w:rsidRPr="007B6C74">
        <w:instrText xml:space="preserve"> SEQ Table \* ARABIC </w:instrText>
      </w:r>
      <w:r w:rsidRPr="007B6C74">
        <w:fldChar w:fldCharType="separate"/>
      </w:r>
      <w:r w:rsidRPr="007B6C74">
        <w:rPr>
          <w:noProof/>
        </w:rPr>
        <w:t>1</w:t>
      </w:r>
      <w:r w:rsidRPr="007B6C74">
        <w:fldChar w:fldCharType="end"/>
      </w:r>
      <w:r w:rsidRPr="007B6C74">
        <w:t>.</w:t>
      </w:r>
      <w:proofErr w:type="gramEnd"/>
      <w:r w:rsidRPr="007B6C74">
        <w:t xml:space="preserve"> </w:t>
      </w:r>
      <w:r w:rsidRPr="007B6C74">
        <w:t>Transforming the European Commission in a data driven organisation</w:t>
      </w:r>
    </w:p>
    <w:p w:rsidR="007B6C74" w:rsidRPr="007B6C74" w:rsidRDefault="007B6C74" w:rsidP="007B6C74">
      <w:pPr>
        <w:pBdr>
          <w:top w:val="single" w:sz="4" w:space="1" w:color="auto"/>
        </w:pBdr>
        <w:spacing w:before="120" w:after="0" w:line="276" w:lineRule="auto"/>
        <w:ind w:left="2280" w:hanging="2280"/>
        <w:rPr>
          <w:rFonts w:eastAsiaTheme="minorHAnsi"/>
          <w:szCs w:val="22"/>
        </w:rPr>
      </w:pPr>
      <w:r w:rsidRPr="007B6C74">
        <w:rPr>
          <w:rFonts w:eastAsiaTheme="minorHAnsi"/>
          <w:smallCaps/>
          <w:szCs w:val="22"/>
        </w:rPr>
        <w:t>The Challenge</w:t>
      </w:r>
      <w:r w:rsidRPr="007B6C74">
        <w:rPr>
          <w:rFonts w:eastAsiaTheme="minorHAnsi"/>
          <w:szCs w:val="22"/>
        </w:rPr>
        <w:tab/>
        <w:t>Transform the Commission in a data-driven organisation</w:t>
      </w:r>
    </w:p>
    <w:p w:rsidR="007B6C74" w:rsidRPr="007B6C74" w:rsidRDefault="007B6C74" w:rsidP="007B6C74">
      <w:pPr>
        <w:spacing w:before="120" w:after="0" w:line="276" w:lineRule="auto"/>
        <w:ind w:left="2280" w:hanging="2280"/>
        <w:rPr>
          <w:rFonts w:eastAsiaTheme="minorHAnsi"/>
          <w:szCs w:val="22"/>
        </w:rPr>
      </w:pPr>
      <w:r w:rsidRPr="007B6C74">
        <w:rPr>
          <w:rFonts w:eastAsiaTheme="minorHAnsi"/>
          <w:smallCaps/>
          <w:szCs w:val="22"/>
        </w:rPr>
        <w:t>The Solution</w:t>
      </w:r>
      <w:r w:rsidRPr="007B6C74">
        <w:rPr>
          <w:rFonts w:eastAsiaTheme="minorHAnsi"/>
          <w:szCs w:val="22"/>
        </w:rPr>
        <w:tab/>
        <w:t>Set-up a Commission data ecosystem, i.e. a system of interconnected resources and services for capturing, curating, storing, protecting, elaborating, accessing, using, re-using, consuming, analysing, disseminating and sharing data</w:t>
      </w:r>
    </w:p>
    <w:p w:rsidR="007B6C74" w:rsidRPr="007B6C74" w:rsidRDefault="007B6C74" w:rsidP="007B6C74">
      <w:pPr>
        <w:spacing w:before="120" w:after="120" w:line="276" w:lineRule="auto"/>
        <w:ind w:left="2280" w:hanging="2280"/>
        <w:rPr>
          <w:rFonts w:eastAsiaTheme="minorHAnsi"/>
          <w:szCs w:val="22"/>
        </w:rPr>
      </w:pPr>
      <w:r w:rsidRPr="007B6C74">
        <w:rPr>
          <w:rFonts w:eastAsiaTheme="minorHAnsi"/>
          <w:smallCaps/>
          <w:szCs w:val="22"/>
        </w:rPr>
        <w:t>The Execution</w:t>
      </w:r>
      <w:r w:rsidRPr="007B6C74">
        <w:rPr>
          <w:rFonts w:eastAsiaTheme="minorHAnsi"/>
          <w:szCs w:val="22"/>
        </w:rPr>
        <w:tab/>
        <w:t>Building upon the current data assets and strengths, by 2020 gradually build the Commission data ecosystem and the EU data framework through well focused dedicated thematic area initiatives coordinated at corporate level.</w:t>
      </w:r>
    </w:p>
    <w:p w:rsidR="007B6C74" w:rsidRPr="007B6C74" w:rsidRDefault="007B6C74" w:rsidP="007B6C74">
      <w:pPr>
        <w:pBdr>
          <w:bottom w:val="single" w:sz="4" w:space="1" w:color="auto"/>
        </w:pBdr>
        <w:spacing w:before="120" w:after="0" w:line="276" w:lineRule="auto"/>
        <w:ind w:left="2280" w:hanging="2280"/>
        <w:rPr>
          <w:rFonts w:eastAsiaTheme="minorHAnsi"/>
          <w:szCs w:val="22"/>
        </w:rPr>
      </w:pPr>
      <w:r w:rsidRPr="007B6C74">
        <w:rPr>
          <w:rFonts w:eastAsiaTheme="minorHAnsi"/>
          <w:smallCaps/>
          <w:szCs w:val="22"/>
        </w:rPr>
        <w:t>The Action Plan</w:t>
      </w:r>
      <w:r w:rsidRPr="007B6C74">
        <w:rPr>
          <w:rFonts w:eastAsiaTheme="minorHAnsi"/>
          <w:szCs w:val="22"/>
        </w:rPr>
        <w:tab/>
        <w:t xml:space="preserve">Implement the strategy through a set of actions supporting the achievement of the strategic goals according to five dimensions – data, technology, people, policy and guidelines, organisation – focusing on enabling the data ecosystem and the data maturity required to become a data driven organisation. </w:t>
      </w:r>
    </w:p>
    <w:p w:rsidR="007B6C74" w:rsidRPr="00BC6AFE" w:rsidRDefault="007B6C74" w:rsidP="00BC6AFE"/>
    <w:p w:rsidR="00BC6AFE" w:rsidRPr="007B6C74" w:rsidRDefault="00D11299" w:rsidP="001B50CE">
      <w:pPr>
        <w:pStyle w:val="Heading2"/>
        <w:tabs>
          <w:tab w:val="clear" w:pos="1080"/>
          <w:tab w:val="num" w:pos="482"/>
        </w:tabs>
        <w:ind w:left="482" w:hanging="482"/>
      </w:pPr>
      <w:r>
        <w:t>Strands and value</w:t>
      </w:r>
    </w:p>
    <w:p w:rsidR="00D11299" w:rsidRDefault="00D11299" w:rsidP="007B6C74">
      <w:pPr>
        <w:rPr>
          <w:i/>
        </w:rPr>
      </w:pPr>
      <w:r w:rsidRPr="00D11299">
        <w:rPr>
          <w:i/>
        </w:rPr>
        <w:t>Data is a strategic asset</w:t>
      </w:r>
    </w:p>
    <w:p w:rsidR="007B6C74" w:rsidRDefault="007B6C74" w:rsidP="007B6C74">
      <w:r>
        <w:t xml:space="preserve">Data (in its broader definition encompassing data-information-knowledge) is a strategic asset for the European Commission and has to be managed as such. Data is expected to underlie informed decision making, to underpin the practical functioning of the Commission and to monitor societal phenomena and, where appropriate, the impact of EU on them. </w:t>
      </w:r>
    </w:p>
    <w:p w:rsidR="00D52EA1" w:rsidRDefault="007B6C74" w:rsidP="007B6C74">
      <w:r>
        <w:t xml:space="preserve">Therefore, the </w:t>
      </w:r>
      <w:proofErr w:type="spellStart"/>
      <w:r>
        <w:t>DataStrategy@EC</w:t>
      </w:r>
      <w:proofErr w:type="spellEnd"/>
      <w:r>
        <w:t xml:space="preserve"> is more than the mere handling of data and the related technical solutions and it calls for an ecosystem, i.e. a system of interconnected and interacting elements for and around data.</w:t>
      </w:r>
    </w:p>
    <w:p w:rsidR="00463826" w:rsidRDefault="00463826" w:rsidP="00463826">
      <w:r>
        <w:t xml:space="preserve">The </w:t>
      </w:r>
      <w:proofErr w:type="spellStart"/>
      <w:r>
        <w:t>DataStrategy@EC</w:t>
      </w:r>
      <w:proofErr w:type="spellEnd"/>
      <w:r>
        <w:t xml:space="preserve"> covers five strands:</w:t>
      </w:r>
    </w:p>
    <w:p w:rsidR="00463826" w:rsidRDefault="00463826" w:rsidP="00463826">
      <w:pPr>
        <w:pStyle w:val="ListParagraph"/>
        <w:numPr>
          <w:ilvl w:val="0"/>
          <w:numId w:val="22"/>
        </w:numPr>
        <w:tabs>
          <w:tab w:val="left" w:pos="600"/>
        </w:tabs>
        <w:ind w:left="1320" w:hanging="1080"/>
      </w:pPr>
      <w:r w:rsidRPr="00463826">
        <w:rPr>
          <w:u w:val="single"/>
        </w:rPr>
        <w:t>Data</w:t>
      </w:r>
      <w:r>
        <w:t>:</w:t>
      </w:r>
      <w:r>
        <w:tab/>
      </w:r>
      <w:r>
        <w:t>internal and external data sources need to be exploited as much as possible to generate evidence supporting decisions</w:t>
      </w:r>
    </w:p>
    <w:p w:rsidR="00463826" w:rsidRDefault="00463826" w:rsidP="00463826">
      <w:pPr>
        <w:pStyle w:val="ListParagraph"/>
        <w:numPr>
          <w:ilvl w:val="0"/>
          <w:numId w:val="22"/>
        </w:numPr>
        <w:tabs>
          <w:tab w:val="left" w:pos="600"/>
        </w:tabs>
        <w:ind w:left="1320" w:hanging="1080"/>
      </w:pPr>
      <w:r w:rsidRPr="00463826">
        <w:rPr>
          <w:u w:val="single"/>
        </w:rPr>
        <w:t>Technology</w:t>
      </w:r>
      <w:r>
        <w:t>: improving the technological landscape is essential to generate insights rapidly and effectively</w:t>
      </w:r>
    </w:p>
    <w:p w:rsidR="00463826" w:rsidRDefault="00463826" w:rsidP="00463826">
      <w:pPr>
        <w:pStyle w:val="ListParagraph"/>
        <w:numPr>
          <w:ilvl w:val="0"/>
          <w:numId w:val="22"/>
        </w:numPr>
        <w:tabs>
          <w:tab w:val="left" w:pos="600"/>
        </w:tabs>
        <w:ind w:left="1320" w:hanging="1080"/>
      </w:pPr>
      <w:r w:rsidRPr="00463826">
        <w:rPr>
          <w:u w:val="single"/>
        </w:rPr>
        <w:t>People</w:t>
      </w:r>
      <w:r>
        <w:t>:</w:t>
      </w:r>
      <w:r>
        <w:tab/>
        <w:t xml:space="preserve"> </w:t>
      </w:r>
      <w:r>
        <w:t>the right people with the right skills need to be made available to the organisation</w:t>
      </w:r>
    </w:p>
    <w:p w:rsidR="00463826" w:rsidRDefault="00463826" w:rsidP="00463826">
      <w:pPr>
        <w:pStyle w:val="ListParagraph"/>
        <w:numPr>
          <w:ilvl w:val="0"/>
          <w:numId w:val="22"/>
        </w:numPr>
        <w:tabs>
          <w:tab w:val="left" w:pos="600"/>
        </w:tabs>
        <w:ind w:left="1320" w:hanging="1080"/>
      </w:pPr>
      <w:r w:rsidRPr="00463826">
        <w:rPr>
          <w:u w:val="single"/>
        </w:rPr>
        <w:t>Policy and Guidelines</w:t>
      </w:r>
      <w:r>
        <w:t>: policies need to be defined and enforced to ensure security and quality of data, and to promote and control its flow within and outside the organisation</w:t>
      </w:r>
    </w:p>
    <w:p w:rsidR="00463826" w:rsidRDefault="00463826" w:rsidP="00463826">
      <w:pPr>
        <w:pStyle w:val="ListParagraph"/>
        <w:numPr>
          <w:ilvl w:val="0"/>
          <w:numId w:val="22"/>
        </w:numPr>
        <w:tabs>
          <w:tab w:val="left" w:pos="600"/>
        </w:tabs>
        <w:ind w:left="1320" w:hanging="1080"/>
      </w:pPr>
      <w:r w:rsidRPr="00463826">
        <w:rPr>
          <w:u w:val="single"/>
        </w:rPr>
        <w:t>Organisation</w:t>
      </w:r>
      <w:r>
        <w:t>: roles and responsibilities need to be clearly defined within the organisation</w:t>
      </w:r>
    </w:p>
    <w:p w:rsidR="001B50CE" w:rsidRPr="00463826" w:rsidRDefault="00463826" w:rsidP="001B50CE">
      <w:pPr>
        <w:pStyle w:val="Heading2"/>
        <w:tabs>
          <w:tab w:val="clear" w:pos="1080"/>
          <w:tab w:val="num" w:pos="482"/>
        </w:tabs>
        <w:ind w:left="482" w:hanging="482"/>
      </w:pPr>
      <w:r>
        <w:lastRenderedPageBreak/>
        <w:t xml:space="preserve">How to build a </w:t>
      </w:r>
      <w:r w:rsidRPr="00463826">
        <w:t>Data Ecosystem</w:t>
      </w:r>
    </w:p>
    <w:p w:rsidR="00D52EA1" w:rsidRDefault="00463826" w:rsidP="00D52EA1">
      <w:r>
        <w:t>To implement</w:t>
      </w:r>
      <w:r w:rsidRPr="00463826">
        <w:t xml:space="preserve"> the </w:t>
      </w:r>
      <w:proofErr w:type="spellStart"/>
      <w:r w:rsidRPr="00463826">
        <w:t>DataStrategy@EC</w:t>
      </w:r>
      <w:proofErr w:type="spellEnd"/>
      <w:r w:rsidRPr="00463826">
        <w:t xml:space="preserve">, </w:t>
      </w:r>
      <w:r>
        <w:t xml:space="preserve">an action plan has been set up covering the </w:t>
      </w:r>
      <w:r w:rsidRPr="00463826">
        <w:t>actions that need to be carried out by the European Commission to establish a functioning Data Ecosystem</w:t>
      </w:r>
      <w:r>
        <w:t>.</w:t>
      </w:r>
    </w:p>
    <w:p w:rsidR="00463826" w:rsidRDefault="00463826" w:rsidP="00D52EA1">
      <w:r w:rsidRPr="00463826">
        <w:t>The Action Plan identifies 10 strategic objectives whose achievement will transform the Commission into a data driven organisation. Operationally it is implemented through 8 concrete actions. Parts of these actions have already started and others will start before the end of 2018.</w:t>
      </w:r>
    </w:p>
    <w:p w:rsidR="00463826" w:rsidRPr="007B6C74" w:rsidRDefault="00463826" w:rsidP="00463826">
      <w:pPr>
        <w:pStyle w:val="Caption"/>
      </w:pPr>
      <w:proofErr w:type="gramStart"/>
      <w:r w:rsidRPr="007B6C74">
        <w:t xml:space="preserve">Table </w:t>
      </w:r>
      <w:r w:rsidRPr="007B6C74">
        <w:fldChar w:fldCharType="begin"/>
      </w:r>
      <w:r w:rsidRPr="007B6C74">
        <w:instrText xml:space="preserve"> SEQ Table \* ARABIC </w:instrText>
      </w:r>
      <w:r w:rsidRPr="007B6C74">
        <w:fldChar w:fldCharType="separate"/>
      </w:r>
      <w:r w:rsidRPr="007B6C74">
        <w:t>1</w:t>
      </w:r>
      <w:r w:rsidRPr="007B6C74">
        <w:fldChar w:fldCharType="end"/>
      </w:r>
      <w:r w:rsidRPr="007B6C74">
        <w:t>.</w:t>
      </w:r>
      <w:proofErr w:type="gramEnd"/>
      <w:r w:rsidRPr="007B6C74">
        <w:t xml:space="preserve"> Transforming the European Commission in a data driven organisation</w:t>
      </w:r>
    </w:p>
    <w:tbl>
      <w:tblPr>
        <w:tblW w:w="8640" w:type="dxa"/>
        <w:tblInd w:w="150" w:type="dxa"/>
        <w:tblCellMar>
          <w:top w:w="15" w:type="dxa"/>
          <w:left w:w="113" w:type="dxa"/>
          <w:bottom w:w="15" w:type="dxa"/>
          <w:right w:w="15" w:type="dxa"/>
        </w:tblCellMar>
        <w:tblLook w:val="04A0" w:firstRow="1" w:lastRow="0" w:firstColumn="1" w:lastColumn="0" w:noHBand="0" w:noVBand="1"/>
      </w:tblPr>
      <w:tblGrid>
        <w:gridCol w:w="600"/>
        <w:gridCol w:w="2561"/>
        <w:gridCol w:w="5479"/>
      </w:tblGrid>
      <w:tr w:rsidR="00463826" w:rsidRPr="00463826" w:rsidTr="00132593">
        <w:trPr>
          <w:cantSplit/>
        </w:trPr>
        <w:tc>
          <w:tcPr>
            <w:tcW w:w="600" w:type="dxa"/>
            <w:tcBorders>
              <w:top w:val="single" w:sz="4" w:space="0" w:color="auto"/>
              <w:left w:val="single" w:sz="4" w:space="0" w:color="auto"/>
              <w:bottom w:val="single" w:sz="4" w:space="0" w:color="auto"/>
              <w:right w:val="single" w:sz="4" w:space="0" w:color="auto"/>
            </w:tcBorders>
            <w:shd w:val="clear" w:color="auto" w:fill="auto"/>
            <w:tcMar>
              <w:top w:w="105" w:type="dxa"/>
              <w:left w:w="150" w:type="dxa"/>
              <w:bottom w:w="105" w:type="dxa"/>
              <w:right w:w="150" w:type="dxa"/>
            </w:tcMar>
            <w:vAlign w:val="center"/>
            <w:hideMark/>
          </w:tcPr>
          <w:p w:rsidR="00463826" w:rsidRPr="00463826" w:rsidRDefault="00132593" w:rsidP="00463826">
            <w:pPr>
              <w:spacing w:after="0"/>
              <w:jc w:val="left"/>
              <w:rPr>
                <w:b/>
                <w:bCs/>
                <w:sz w:val="20"/>
                <w:lang w:eastAsia="en-GB"/>
              </w:rPr>
            </w:pPr>
            <w:r>
              <w:rPr>
                <w:rFonts w:eastAsiaTheme="minorHAnsi"/>
                <w:b/>
                <w:bCs/>
                <w:color w:val="333333"/>
                <w:sz w:val="20"/>
              </w:rPr>
              <w:t>N.</w:t>
            </w:r>
          </w:p>
        </w:tc>
        <w:tc>
          <w:tcPr>
            <w:tcW w:w="2561" w:type="dxa"/>
            <w:tcBorders>
              <w:top w:val="single" w:sz="4" w:space="0" w:color="auto"/>
              <w:left w:val="single" w:sz="4" w:space="0" w:color="auto"/>
              <w:bottom w:val="single" w:sz="6" w:space="0" w:color="auto"/>
              <w:right w:val="single" w:sz="6" w:space="0" w:color="auto"/>
            </w:tcBorders>
            <w:vAlign w:val="center"/>
          </w:tcPr>
          <w:p w:rsidR="00463826" w:rsidRPr="00463826" w:rsidRDefault="00463826" w:rsidP="00463826">
            <w:pPr>
              <w:spacing w:after="0"/>
              <w:jc w:val="left"/>
              <w:rPr>
                <w:b/>
                <w:bCs/>
                <w:sz w:val="20"/>
                <w:lang w:eastAsia="en-GB"/>
              </w:rPr>
            </w:pPr>
            <w:r w:rsidRPr="00463826">
              <w:rPr>
                <w:rFonts w:eastAsiaTheme="minorHAnsi"/>
                <w:b/>
                <w:bCs/>
                <w:color w:val="333333"/>
                <w:sz w:val="20"/>
              </w:rPr>
              <w:t>Short Name</w:t>
            </w:r>
          </w:p>
        </w:tc>
        <w:tc>
          <w:tcPr>
            <w:tcW w:w="5479" w:type="dxa"/>
            <w:tcBorders>
              <w:top w:val="single" w:sz="4" w:space="0" w:color="auto"/>
              <w:left w:val="single" w:sz="6" w:space="0" w:color="auto"/>
              <w:bottom w:val="single" w:sz="6" w:space="0" w:color="auto"/>
              <w:right w:val="single" w:sz="6" w:space="0" w:color="auto"/>
            </w:tcBorders>
            <w:shd w:val="clear" w:color="auto" w:fill="auto"/>
            <w:tcMar>
              <w:top w:w="105" w:type="dxa"/>
              <w:left w:w="150" w:type="dxa"/>
              <w:bottom w:w="105" w:type="dxa"/>
              <w:right w:w="150" w:type="dxa"/>
            </w:tcMar>
            <w:vAlign w:val="center"/>
            <w:hideMark/>
          </w:tcPr>
          <w:p w:rsidR="00463826" w:rsidRPr="00463826" w:rsidRDefault="00463826" w:rsidP="00463826">
            <w:pPr>
              <w:spacing w:after="0"/>
              <w:jc w:val="left"/>
              <w:rPr>
                <w:b/>
                <w:bCs/>
                <w:sz w:val="20"/>
                <w:lang w:eastAsia="en-GB"/>
              </w:rPr>
            </w:pPr>
            <w:r w:rsidRPr="00463826">
              <w:rPr>
                <w:rFonts w:eastAsiaTheme="minorHAnsi"/>
                <w:b/>
                <w:bCs/>
                <w:color w:val="333333"/>
                <w:sz w:val="20"/>
              </w:rPr>
              <w:t>Strategic Objective</w:t>
            </w:r>
          </w:p>
        </w:tc>
      </w:tr>
      <w:tr w:rsidR="00463826" w:rsidRPr="00463826" w:rsidTr="00132593">
        <w:trPr>
          <w:cantSplit/>
        </w:trPr>
        <w:tc>
          <w:tcPr>
            <w:tcW w:w="600" w:type="dxa"/>
            <w:tcBorders>
              <w:top w:val="single" w:sz="4" w:space="0" w:color="auto"/>
              <w:left w:val="single" w:sz="4" w:space="0" w:color="auto"/>
              <w:bottom w:val="single" w:sz="4" w:space="0" w:color="auto"/>
              <w:right w:val="single" w:sz="4" w:space="0" w:color="auto"/>
            </w:tcBorders>
            <w:shd w:val="clear" w:color="auto" w:fill="auto"/>
            <w:tcMar>
              <w:top w:w="105" w:type="dxa"/>
              <w:left w:w="150" w:type="dxa"/>
              <w:bottom w:w="105" w:type="dxa"/>
              <w:right w:w="150" w:type="dxa"/>
            </w:tcMar>
            <w:vAlign w:val="center"/>
          </w:tcPr>
          <w:p w:rsidR="00463826" w:rsidRPr="00463826" w:rsidRDefault="00463826" w:rsidP="00132593">
            <w:pPr>
              <w:spacing w:after="0"/>
              <w:jc w:val="left"/>
              <w:rPr>
                <w:b/>
                <w:sz w:val="20"/>
                <w:lang w:eastAsia="en-GB"/>
              </w:rPr>
            </w:pPr>
            <w:r w:rsidRPr="00463826">
              <w:rPr>
                <w:rFonts w:eastAsiaTheme="minorHAnsi"/>
                <w:sz w:val="20"/>
              </w:rPr>
              <w:t>1</w:t>
            </w:r>
          </w:p>
        </w:tc>
        <w:tc>
          <w:tcPr>
            <w:tcW w:w="2561" w:type="dxa"/>
            <w:tcBorders>
              <w:top w:val="single" w:sz="6" w:space="0" w:color="auto"/>
              <w:left w:val="single" w:sz="4" w:space="0" w:color="auto"/>
              <w:bottom w:val="single" w:sz="6" w:space="0" w:color="auto"/>
              <w:right w:val="single" w:sz="6" w:space="0" w:color="auto"/>
            </w:tcBorders>
            <w:vAlign w:val="center"/>
          </w:tcPr>
          <w:p w:rsidR="00463826" w:rsidRPr="00463826" w:rsidRDefault="00463826" w:rsidP="00132593">
            <w:pPr>
              <w:spacing w:after="0" w:line="276" w:lineRule="auto"/>
              <w:jc w:val="left"/>
              <w:rPr>
                <w:sz w:val="20"/>
              </w:rPr>
            </w:pPr>
            <w:r w:rsidRPr="00463826">
              <w:rPr>
                <w:sz w:val="20"/>
              </w:rPr>
              <w:t>Data Identification</w:t>
            </w:r>
          </w:p>
        </w:tc>
        <w:tc>
          <w:tcPr>
            <w:tcW w:w="5479" w:type="dxa"/>
            <w:tcBorders>
              <w:top w:val="single" w:sz="6" w:space="0" w:color="auto"/>
              <w:left w:val="single" w:sz="6" w:space="0" w:color="auto"/>
              <w:bottom w:val="single" w:sz="6" w:space="0" w:color="auto"/>
              <w:right w:val="single" w:sz="6" w:space="0" w:color="auto"/>
            </w:tcBorders>
            <w:tcMar>
              <w:top w:w="105" w:type="dxa"/>
              <w:left w:w="150" w:type="dxa"/>
              <w:bottom w:w="105" w:type="dxa"/>
              <w:right w:w="150" w:type="dxa"/>
            </w:tcMar>
            <w:vAlign w:val="center"/>
          </w:tcPr>
          <w:p w:rsidR="00463826" w:rsidRPr="00463826" w:rsidRDefault="00463826" w:rsidP="00132593">
            <w:pPr>
              <w:spacing w:after="0" w:line="276" w:lineRule="auto"/>
              <w:jc w:val="left"/>
              <w:rPr>
                <w:sz w:val="20"/>
              </w:rPr>
            </w:pPr>
            <w:r w:rsidRPr="00463826">
              <w:rPr>
                <w:sz w:val="20"/>
              </w:rPr>
              <w:t>Identify and classify data relevant for decision-making processes across the organisation and for the functioning of the organisation itself</w:t>
            </w:r>
          </w:p>
        </w:tc>
      </w:tr>
      <w:tr w:rsidR="00463826" w:rsidRPr="00463826" w:rsidTr="00132593">
        <w:trPr>
          <w:cantSplit/>
        </w:trPr>
        <w:tc>
          <w:tcPr>
            <w:tcW w:w="600" w:type="dxa"/>
            <w:tcBorders>
              <w:top w:val="single" w:sz="4" w:space="0" w:color="auto"/>
              <w:left w:val="single" w:sz="4" w:space="0" w:color="auto"/>
              <w:bottom w:val="single" w:sz="4" w:space="0" w:color="auto"/>
              <w:right w:val="single" w:sz="4" w:space="0" w:color="auto"/>
            </w:tcBorders>
            <w:shd w:val="clear" w:color="auto" w:fill="auto"/>
            <w:tcMar>
              <w:top w:w="105" w:type="dxa"/>
              <w:left w:w="150" w:type="dxa"/>
              <w:bottom w:w="105" w:type="dxa"/>
              <w:right w:w="150" w:type="dxa"/>
            </w:tcMar>
            <w:vAlign w:val="center"/>
          </w:tcPr>
          <w:p w:rsidR="00463826" w:rsidRPr="00463826" w:rsidRDefault="00463826" w:rsidP="00132593">
            <w:pPr>
              <w:spacing w:after="0"/>
              <w:jc w:val="left"/>
              <w:rPr>
                <w:b/>
                <w:sz w:val="20"/>
                <w:lang w:eastAsia="en-GB"/>
              </w:rPr>
            </w:pPr>
            <w:r w:rsidRPr="00463826">
              <w:rPr>
                <w:rFonts w:eastAsiaTheme="minorHAnsi"/>
                <w:sz w:val="20"/>
              </w:rPr>
              <w:t>2</w:t>
            </w:r>
          </w:p>
        </w:tc>
        <w:tc>
          <w:tcPr>
            <w:tcW w:w="2561" w:type="dxa"/>
            <w:tcBorders>
              <w:top w:val="single" w:sz="6" w:space="0" w:color="auto"/>
              <w:left w:val="single" w:sz="4" w:space="0" w:color="auto"/>
              <w:bottom w:val="single" w:sz="6" w:space="0" w:color="auto"/>
              <w:right w:val="single" w:sz="6" w:space="0" w:color="auto"/>
            </w:tcBorders>
            <w:vAlign w:val="center"/>
          </w:tcPr>
          <w:p w:rsidR="00463826" w:rsidRPr="00463826" w:rsidRDefault="00463826" w:rsidP="00132593">
            <w:pPr>
              <w:spacing w:after="0" w:line="276" w:lineRule="auto"/>
              <w:jc w:val="left"/>
              <w:rPr>
                <w:sz w:val="20"/>
              </w:rPr>
            </w:pPr>
            <w:r w:rsidRPr="00463826">
              <w:rPr>
                <w:sz w:val="20"/>
              </w:rPr>
              <w:t>Data Access</w:t>
            </w:r>
          </w:p>
        </w:tc>
        <w:tc>
          <w:tcPr>
            <w:tcW w:w="5479" w:type="dxa"/>
            <w:tcBorders>
              <w:top w:val="single" w:sz="6" w:space="0" w:color="auto"/>
              <w:left w:val="single" w:sz="6" w:space="0" w:color="auto"/>
              <w:bottom w:val="single" w:sz="6" w:space="0" w:color="auto"/>
              <w:right w:val="single" w:sz="6" w:space="0" w:color="auto"/>
            </w:tcBorders>
            <w:tcMar>
              <w:top w:w="105" w:type="dxa"/>
              <w:left w:w="150" w:type="dxa"/>
              <w:bottom w:w="105" w:type="dxa"/>
              <w:right w:w="150" w:type="dxa"/>
            </w:tcMar>
            <w:vAlign w:val="center"/>
          </w:tcPr>
          <w:p w:rsidR="00463826" w:rsidRPr="00463826" w:rsidRDefault="00463826" w:rsidP="00132593">
            <w:pPr>
              <w:spacing w:after="0" w:line="276" w:lineRule="auto"/>
              <w:jc w:val="left"/>
              <w:rPr>
                <w:sz w:val="20"/>
              </w:rPr>
            </w:pPr>
            <w:r w:rsidRPr="00463826">
              <w:rPr>
                <w:sz w:val="20"/>
              </w:rPr>
              <w:t>Guarantee access to data relevant for decision-making and functioning across the organisation, respecting the necessary confidentiality and security restrictions</w:t>
            </w:r>
          </w:p>
        </w:tc>
      </w:tr>
      <w:tr w:rsidR="00463826" w:rsidRPr="00463826" w:rsidTr="00132593">
        <w:trPr>
          <w:cantSplit/>
        </w:trPr>
        <w:tc>
          <w:tcPr>
            <w:tcW w:w="600" w:type="dxa"/>
            <w:tcBorders>
              <w:top w:val="single" w:sz="4" w:space="0" w:color="auto"/>
              <w:left w:val="single" w:sz="4" w:space="0" w:color="auto"/>
              <w:bottom w:val="single" w:sz="4" w:space="0" w:color="auto"/>
              <w:right w:val="single" w:sz="4" w:space="0" w:color="auto"/>
            </w:tcBorders>
            <w:shd w:val="clear" w:color="auto" w:fill="auto"/>
            <w:tcMar>
              <w:top w:w="105" w:type="dxa"/>
              <w:left w:w="150" w:type="dxa"/>
              <w:bottom w:w="105" w:type="dxa"/>
              <w:right w:w="150" w:type="dxa"/>
            </w:tcMar>
            <w:vAlign w:val="center"/>
          </w:tcPr>
          <w:p w:rsidR="00463826" w:rsidRPr="00463826" w:rsidRDefault="00463826" w:rsidP="00132593">
            <w:pPr>
              <w:spacing w:after="0"/>
              <w:jc w:val="left"/>
              <w:rPr>
                <w:b/>
                <w:sz w:val="20"/>
                <w:lang w:eastAsia="en-GB"/>
              </w:rPr>
            </w:pPr>
            <w:r w:rsidRPr="00463826">
              <w:rPr>
                <w:rFonts w:eastAsiaTheme="minorHAnsi"/>
                <w:sz w:val="20"/>
              </w:rPr>
              <w:t>3</w:t>
            </w:r>
          </w:p>
        </w:tc>
        <w:tc>
          <w:tcPr>
            <w:tcW w:w="2561" w:type="dxa"/>
            <w:tcBorders>
              <w:top w:val="single" w:sz="6" w:space="0" w:color="auto"/>
              <w:left w:val="single" w:sz="4" w:space="0" w:color="auto"/>
              <w:bottom w:val="single" w:sz="6" w:space="0" w:color="auto"/>
              <w:right w:val="single" w:sz="6" w:space="0" w:color="auto"/>
            </w:tcBorders>
            <w:vAlign w:val="center"/>
          </w:tcPr>
          <w:p w:rsidR="00463826" w:rsidRPr="00463826" w:rsidRDefault="00463826" w:rsidP="00132593">
            <w:pPr>
              <w:spacing w:after="0" w:line="276" w:lineRule="auto"/>
              <w:jc w:val="left"/>
              <w:rPr>
                <w:sz w:val="20"/>
              </w:rPr>
            </w:pPr>
            <w:r w:rsidRPr="00463826">
              <w:rPr>
                <w:sz w:val="20"/>
              </w:rPr>
              <w:t>Data Analytics</w:t>
            </w:r>
          </w:p>
        </w:tc>
        <w:tc>
          <w:tcPr>
            <w:tcW w:w="5479" w:type="dxa"/>
            <w:tcBorders>
              <w:top w:val="single" w:sz="6" w:space="0" w:color="auto"/>
              <w:left w:val="single" w:sz="6" w:space="0" w:color="auto"/>
              <w:bottom w:val="single" w:sz="6" w:space="0" w:color="auto"/>
              <w:right w:val="single" w:sz="6" w:space="0" w:color="auto"/>
            </w:tcBorders>
            <w:tcMar>
              <w:top w:w="105" w:type="dxa"/>
              <w:left w:w="150" w:type="dxa"/>
              <w:bottom w:w="105" w:type="dxa"/>
              <w:right w:w="150" w:type="dxa"/>
            </w:tcMar>
            <w:vAlign w:val="center"/>
          </w:tcPr>
          <w:p w:rsidR="00463826" w:rsidRPr="00463826" w:rsidRDefault="00463826" w:rsidP="00132593">
            <w:pPr>
              <w:spacing w:after="0" w:line="276" w:lineRule="auto"/>
              <w:jc w:val="left"/>
              <w:rPr>
                <w:sz w:val="20"/>
              </w:rPr>
            </w:pPr>
            <w:r w:rsidRPr="00463826">
              <w:rPr>
                <w:sz w:val="20"/>
              </w:rPr>
              <w:t>Enable and foster the use of modern data analytics technologies to achieve a rapid and effective generation of insights</w:t>
            </w:r>
          </w:p>
        </w:tc>
      </w:tr>
      <w:tr w:rsidR="00463826" w:rsidRPr="00463826" w:rsidTr="00132593">
        <w:trPr>
          <w:cantSplit/>
        </w:trPr>
        <w:tc>
          <w:tcPr>
            <w:tcW w:w="600" w:type="dxa"/>
            <w:tcBorders>
              <w:top w:val="single" w:sz="4" w:space="0" w:color="auto"/>
              <w:left w:val="single" w:sz="4" w:space="0" w:color="auto"/>
              <w:bottom w:val="single" w:sz="4" w:space="0" w:color="auto"/>
              <w:right w:val="single" w:sz="4" w:space="0" w:color="auto"/>
            </w:tcBorders>
            <w:shd w:val="clear" w:color="auto" w:fill="auto"/>
            <w:tcMar>
              <w:top w:w="105" w:type="dxa"/>
              <w:left w:w="150" w:type="dxa"/>
              <w:bottom w:w="105" w:type="dxa"/>
              <w:right w:w="150" w:type="dxa"/>
            </w:tcMar>
            <w:vAlign w:val="center"/>
          </w:tcPr>
          <w:p w:rsidR="00463826" w:rsidRPr="00463826" w:rsidRDefault="00463826" w:rsidP="00132593">
            <w:pPr>
              <w:spacing w:after="0"/>
              <w:jc w:val="left"/>
              <w:rPr>
                <w:b/>
                <w:sz w:val="20"/>
                <w:lang w:eastAsia="en-GB"/>
              </w:rPr>
            </w:pPr>
            <w:r w:rsidRPr="00463826">
              <w:rPr>
                <w:rFonts w:eastAsiaTheme="minorHAnsi"/>
                <w:sz w:val="20"/>
              </w:rPr>
              <w:t>4</w:t>
            </w:r>
          </w:p>
        </w:tc>
        <w:tc>
          <w:tcPr>
            <w:tcW w:w="2561" w:type="dxa"/>
            <w:tcBorders>
              <w:top w:val="single" w:sz="6" w:space="0" w:color="auto"/>
              <w:left w:val="single" w:sz="4" w:space="0" w:color="auto"/>
              <w:bottom w:val="single" w:sz="6" w:space="0" w:color="auto"/>
              <w:right w:val="single" w:sz="6" w:space="0" w:color="auto"/>
            </w:tcBorders>
            <w:vAlign w:val="center"/>
          </w:tcPr>
          <w:p w:rsidR="00463826" w:rsidRPr="00463826" w:rsidRDefault="00463826" w:rsidP="00132593">
            <w:pPr>
              <w:spacing w:after="0" w:line="276" w:lineRule="auto"/>
              <w:jc w:val="left"/>
              <w:rPr>
                <w:sz w:val="20"/>
              </w:rPr>
            </w:pPr>
            <w:r w:rsidRPr="00463826">
              <w:rPr>
                <w:sz w:val="20"/>
              </w:rPr>
              <w:t>Data Infrastructure</w:t>
            </w:r>
          </w:p>
        </w:tc>
        <w:tc>
          <w:tcPr>
            <w:tcW w:w="5479" w:type="dxa"/>
            <w:tcBorders>
              <w:top w:val="single" w:sz="6" w:space="0" w:color="auto"/>
              <w:left w:val="single" w:sz="6" w:space="0" w:color="auto"/>
              <w:bottom w:val="single" w:sz="6" w:space="0" w:color="auto"/>
              <w:right w:val="single" w:sz="6" w:space="0" w:color="auto"/>
            </w:tcBorders>
            <w:tcMar>
              <w:top w:w="105" w:type="dxa"/>
              <w:left w:w="150" w:type="dxa"/>
              <w:bottom w:w="105" w:type="dxa"/>
              <w:right w:w="150" w:type="dxa"/>
            </w:tcMar>
            <w:vAlign w:val="center"/>
          </w:tcPr>
          <w:p w:rsidR="00463826" w:rsidRPr="00463826" w:rsidRDefault="00463826" w:rsidP="00132593">
            <w:pPr>
              <w:spacing w:after="0" w:line="276" w:lineRule="auto"/>
              <w:jc w:val="left"/>
              <w:rPr>
                <w:sz w:val="20"/>
              </w:rPr>
            </w:pPr>
            <w:r w:rsidRPr="00463826">
              <w:rPr>
                <w:sz w:val="20"/>
              </w:rPr>
              <w:t>Put in place a sound infrastructure to support experimentation with data technologies and high-performing data produce</w:t>
            </w:r>
          </w:p>
        </w:tc>
      </w:tr>
      <w:tr w:rsidR="00463826" w:rsidRPr="00463826" w:rsidTr="00132593">
        <w:trPr>
          <w:cantSplit/>
        </w:trPr>
        <w:tc>
          <w:tcPr>
            <w:tcW w:w="600" w:type="dxa"/>
            <w:tcBorders>
              <w:top w:val="single" w:sz="4" w:space="0" w:color="auto"/>
              <w:left w:val="single" w:sz="4" w:space="0" w:color="auto"/>
              <w:bottom w:val="single" w:sz="4" w:space="0" w:color="auto"/>
              <w:right w:val="single" w:sz="4" w:space="0" w:color="auto"/>
            </w:tcBorders>
            <w:shd w:val="clear" w:color="auto" w:fill="auto"/>
            <w:tcMar>
              <w:top w:w="105" w:type="dxa"/>
              <w:left w:w="150" w:type="dxa"/>
              <w:bottom w:w="105" w:type="dxa"/>
              <w:right w:w="150" w:type="dxa"/>
            </w:tcMar>
            <w:vAlign w:val="center"/>
          </w:tcPr>
          <w:p w:rsidR="00463826" w:rsidRPr="00463826" w:rsidRDefault="00463826" w:rsidP="00132593">
            <w:pPr>
              <w:spacing w:after="0"/>
              <w:jc w:val="left"/>
              <w:rPr>
                <w:b/>
                <w:sz w:val="20"/>
                <w:lang w:eastAsia="en-GB"/>
              </w:rPr>
            </w:pPr>
            <w:r w:rsidRPr="00463826">
              <w:rPr>
                <w:rFonts w:eastAsiaTheme="minorHAnsi"/>
                <w:sz w:val="20"/>
              </w:rPr>
              <w:t>5</w:t>
            </w:r>
          </w:p>
        </w:tc>
        <w:tc>
          <w:tcPr>
            <w:tcW w:w="2561" w:type="dxa"/>
            <w:tcBorders>
              <w:top w:val="single" w:sz="6" w:space="0" w:color="auto"/>
              <w:left w:val="single" w:sz="4" w:space="0" w:color="auto"/>
              <w:bottom w:val="single" w:sz="6" w:space="0" w:color="auto"/>
              <w:right w:val="single" w:sz="6" w:space="0" w:color="auto"/>
            </w:tcBorders>
            <w:vAlign w:val="center"/>
          </w:tcPr>
          <w:p w:rsidR="00463826" w:rsidRPr="00463826" w:rsidRDefault="00463826" w:rsidP="00132593">
            <w:pPr>
              <w:spacing w:after="0" w:line="276" w:lineRule="auto"/>
              <w:jc w:val="left"/>
              <w:rPr>
                <w:sz w:val="20"/>
              </w:rPr>
            </w:pPr>
            <w:r w:rsidRPr="00463826">
              <w:rPr>
                <w:sz w:val="20"/>
              </w:rPr>
              <w:t>Data Roles &amp; Responsibilities</w:t>
            </w:r>
          </w:p>
        </w:tc>
        <w:tc>
          <w:tcPr>
            <w:tcW w:w="5479" w:type="dxa"/>
            <w:tcBorders>
              <w:top w:val="single" w:sz="6" w:space="0" w:color="auto"/>
              <w:left w:val="single" w:sz="6" w:space="0" w:color="auto"/>
              <w:bottom w:val="single" w:sz="6" w:space="0" w:color="auto"/>
              <w:right w:val="single" w:sz="6" w:space="0" w:color="auto"/>
            </w:tcBorders>
            <w:tcMar>
              <w:top w:w="105" w:type="dxa"/>
              <w:left w:w="150" w:type="dxa"/>
              <w:bottom w:w="105" w:type="dxa"/>
              <w:right w:w="150" w:type="dxa"/>
            </w:tcMar>
            <w:vAlign w:val="center"/>
          </w:tcPr>
          <w:p w:rsidR="00463826" w:rsidRPr="00463826" w:rsidRDefault="00463826" w:rsidP="00132593">
            <w:pPr>
              <w:spacing w:after="0" w:line="276" w:lineRule="auto"/>
              <w:jc w:val="left"/>
              <w:rPr>
                <w:sz w:val="20"/>
              </w:rPr>
            </w:pPr>
            <w:r w:rsidRPr="00463826">
              <w:rPr>
                <w:sz w:val="20"/>
              </w:rPr>
              <w:t>Define, assign and enforce at corporate and local level proper data governance roles and responsibilities</w:t>
            </w:r>
          </w:p>
        </w:tc>
      </w:tr>
      <w:tr w:rsidR="00463826" w:rsidRPr="00463826" w:rsidTr="00132593">
        <w:tc>
          <w:tcPr>
            <w:tcW w:w="600" w:type="dxa"/>
            <w:tcBorders>
              <w:top w:val="single" w:sz="4" w:space="0" w:color="auto"/>
              <w:left w:val="single" w:sz="4" w:space="0" w:color="auto"/>
              <w:bottom w:val="single" w:sz="4" w:space="0" w:color="auto"/>
              <w:right w:val="single" w:sz="4" w:space="0" w:color="auto"/>
            </w:tcBorders>
            <w:shd w:val="clear" w:color="auto" w:fill="auto"/>
            <w:tcMar>
              <w:top w:w="105" w:type="dxa"/>
              <w:left w:w="150" w:type="dxa"/>
              <w:bottom w:w="105" w:type="dxa"/>
              <w:right w:w="150" w:type="dxa"/>
            </w:tcMar>
            <w:vAlign w:val="center"/>
          </w:tcPr>
          <w:p w:rsidR="00463826" w:rsidRPr="00463826" w:rsidRDefault="00463826" w:rsidP="00132593">
            <w:pPr>
              <w:spacing w:after="0"/>
              <w:jc w:val="left"/>
              <w:rPr>
                <w:b/>
                <w:sz w:val="20"/>
                <w:lang w:eastAsia="en-GB"/>
              </w:rPr>
            </w:pPr>
            <w:r w:rsidRPr="00463826">
              <w:rPr>
                <w:rFonts w:eastAsiaTheme="minorHAnsi"/>
                <w:sz w:val="20"/>
              </w:rPr>
              <w:t>6</w:t>
            </w:r>
          </w:p>
        </w:tc>
        <w:tc>
          <w:tcPr>
            <w:tcW w:w="2561" w:type="dxa"/>
            <w:tcBorders>
              <w:top w:val="single" w:sz="6" w:space="0" w:color="auto"/>
              <w:left w:val="single" w:sz="4" w:space="0" w:color="auto"/>
              <w:bottom w:val="single" w:sz="6" w:space="0" w:color="auto"/>
              <w:right w:val="single" w:sz="6" w:space="0" w:color="auto"/>
            </w:tcBorders>
            <w:vAlign w:val="center"/>
          </w:tcPr>
          <w:p w:rsidR="00463826" w:rsidRPr="00463826" w:rsidRDefault="00463826" w:rsidP="00132593">
            <w:pPr>
              <w:spacing w:after="0" w:line="276" w:lineRule="auto"/>
              <w:jc w:val="left"/>
              <w:rPr>
                <w:sz w:val="20"/>
              </w:rPr>
            </w:pPr>
            <w:r w:rsidRPr="00463826">
              <w:rPr>
                <w:sz w:val="20"/>
              </w:rPr>
              <w:t>Data Labs</w:t>
            </w:r>
          </w:p>
        </w:tc>
        <w:tc>
          <w:tcPr>
            <w:tcW w:w="5479" w:type="dxa"/>
            <w:tcBorders>
              <w:top w:val="single" w:sz="6" w:space="0" w:color="auto"/>
              <w:left w:val="single" w:sz="6" w:space="0" w:color="auto"/>
              <w:bottom w:val="single" w:sz="6" w:space="0" w:color="auto"/>
              <w:right w:val="single" w:sz="6" w:space="0" w:color="auto"/>
            </w:tcBorders>
            <w:tcMar>
              <w:top w:w="105" w:type="dxa"/>
              <w:left w:w="150" w:type="dxa"/>
              <w:bottom w:w="105" w:type="dxa"/>
              <w:right w:w="150" w:type="dxa"/>
            </w:tcMar>
            <w:vAlign w:val="center"/>
          </w:tcPr>
          <w:p w:rsidR="00463826" w:rsidRPr="00463826" w:rsidRDefault="00463826" w:rsidP="00132593">
            <w:pPr>
              <w:spacing w:after="0" w:line="276" w:lineRule="auto"/>
              <w:jc w:val="left"/>
              <w:rPr>
                <w:sz w:val="20"/>
              </w:rPr>
            </w:pPr>
            <w:r w:rsidRPr="00463826">
              <w:rPr>
                <w:sz w:val="20"/>
              </w:rPr>
              <w:t>Design and apply new collaborative organisational models to maximise innovation and experimentation in the data field</w:t>
            </w:r>
          </w:p>
        </w:tc>
      </w:tr>
      <w:tr w:rsidR="00463826" w:rsidRPr="00463826" w:rsidTr="00132593">
        <w:tc>
          <w:tcPr>
            <w:tcW w:w="600" w:type="dxa"/>
            <w:tcBorders>
              <w:top w:val="single" w:sz="4" w:space="0" w:color="auto"/>
              <w:left w:val="single" w:sz="4" w:space="0" w:color="auto"/>
              <w:bottom w:val="single" w:sz="4" w:space="0" w:color="auto"/>
              <w:right w:val="single" w:sz="4" w:space="0" w:color="auto"/>
            </w:tcBorders>
            <w:shd w:val="clear" w:color="auto" w:fill="auto"/>
            <w:tcMar>
              <w:top w:w="105" w:type="dxa"/>
              <w:left w:w="150" w:type="dxa"/>
              <w:bottom w:w="105" w:type="dxa"/>
              <w:right w:w="150" w:type="dxa"/>
            </w:tcMar>
            <w:vAlign w:val="center"/>
          </w:tcPr>
          <w:p w:rsidR="00463826" w:rsidRPr="00463826" w:rsidRDefault="00463826" w:rsidP="00132593">
            <w:pPr>
              <w:spacing w:after="0"/>
              <w:jc w:val="left"/>
              <w:rPr>
                <w:b/>
                <w:sz w:val="20"/>
                <w:lang w:eastAsia="en-GB"/>
              </w:rPr>
            </w:pPr>
            <w:r w:rsidRPr="00463826">
              <w:rPr>
                <w:rFonts w:eastAsiaTheme="minorHAnsi"/>
                <w:sz w:val="20"/>
              </w:rPr>
              <w:t>7</w:t>
            </w:r>
          </w:p>
        </w:tc>
        <w:tc>
          <w:tcPr>
            <w:tcW w:w="2561" w:type="dxa"/>
            <w:tcBorders>
              <w:top w:val="single" w:sz="6" w:space="0" w:color="auto"/>
              <w:left w:val="single" w:sz="4" w:space="0" w:color="auto"/>
              <w:bottom w:val="single" w:sz="6" w:space="0" w:color="auto"/>
              <w:right w:val="single" w:sz="6" w:space="0" w:color="auto"/>
            </w:tcBorders>
            <w:vAlign w:val="center"/>
          </w:tcPr>
          <w:p w:rsidR="00463826" w:rsidRPr="00463826" w:rsidRDefault="00463826" w:rsidP="00132593">
            <w:pPr>
              <w:spacing w:after="0" w:line="276" w:lineRule="auto"/>
              <w:jc w:val="left"/>
              <w:rPr>
                <w:sz w:val="20"/>
              </w:rPr>
            </w:pPr>
            <w:r w:rsidRPr="00463826">
              <w:rPr>
                <w:sz w:val="20"/>
              </w:rPr>
              <w:t>Data Skills Acquisition</w:t>
            </w:r>
          </w:p>
        </w:tc>
        <w:tc>
          <w:tcPr>
            <w:tcW w:w="5479" w:type="dxa"/>
            <w:tcBorders>
              <w:top w:val="single" w:sz="6" w:space="0" w:color="auto"/>
              <w:left w:val="single" w:sz="6" w:space="0" w:color="auto"/>
              <w:bottom w:val="single" w:sz="6" w:space="0" w:color="auto"/>
              <w:right w:val="single" w:sz="6" w:space="0" w:color="auto"/>
            </w:tcBorders>
            <w:tcMar>
              <w:top w:w="105" w:type="dxa"/>
              <w:left w:w="150" w:type="dxa"/>
              <w:bottom w:w="105" w:type="dxa"/>
              <w:right w:w="150" w:type="dxa"/>
            </w:tcMar>
            <w:vAlign w:val="center"/>
          </w:tcPr>
          <w:p w:rsidR="00463826" w:rsidRPr="00463826" w:rsidRDefault="00463826" w:rsidP="00132593">
            <w:pPr>
              <w:spacing w:after="0" w:line="276" w:lineRule="auto"/>
              <w:jc w:val="left"/>
              <w:rPr>
                <w:sz w:val="20"/>
              </w:rPr>
            </w:pPr>
            <w:r w:rsidRPr="00463826">
              <w:rPr>
                <w:sz w:val="20"/>
              </w:rPr>
              <w:t>Acquire new data skills for the organisation to support the development of a corporate data capability.</w:t>
            </w:r>
          </w:p>
        </w:tc>
      </w:tr>
      <w:tr w:rsidR="00463826" w:rsidRPr="00463826" w:rsidTr="00132593">
        <w:tc>
          <w:tcPr>
            <w:tcW w:w="600" w:type="dxa"/>
            <w:tcBorders>
              <w:top w:val="single" w:sz="4" w:space="0" w:color="auto"/>
              <w:left w:val="single" w:sz="4" w:space="0" w:color="auto"/>
              <w:bottom w:val="single" w:sz="6" w:space="0" w:color="auto"/>
              <w:right w:val="single" w:sz="6" w:space="0" w:color="auto"/>
            </w:tcBorders>
            <w:shd w:val="clear" w:color="auto" w:fill="auto"/>
            <w:tcMar>
              <w:top w:w="105" w:type="dxa"/>
              <w:left w:w="150" w:type="dxa"/>
              <w:bottom w:w="105" w:type="dxa"/>
              <w:right w:w="150" w:type="dxa"/>
            </w:tcMar>
            <w:vAlign w:val="center"/>
          </w:tcPr>
          <w:p w:rsidR="00463826" w:rsidRPr="00463826" w:rsidRDefault="00463826" w:rsidP="00132593">
            <w:pPr>
              <w:spacing w:after="0"/>
              <w:jc w:val="left"/>
              <w:rPr>
                <w:sz w:val="20"/>
              </w:rPr>
            </w:pPr>
            <w:r w:rsidRPr="00463826">
              <w:rPr>
                <w:rFonts w:eastAsiaTheme="minorHAnsi"/>
                <w:sz w:val="20"/>
              </w:rPr>
              <w:t>8</w:t>
            </w:r>
          </w:p>
        </w:tc>
        <w:tc>
          <w:tcPr>
            <w:tcW w:w="2561" w:type="dxa"/>
            <w:tcBorders>
              <w:top w:val="single" w:sz="6" w:space="0" w:color="auto"/>
              <w:bottom w:val="single" w:sz="6" w:space="0" w:color="auto"/>
              <w:right w:val="single" w:sz="6" w:space="0" w:color="auto"/>
            </w:tcBorders>
            <w:vAlign w:val="center"/>
          </w:tcPr>
          <w:p w:rsidR="00463826" w:rsidRPr="00463826" w:rsidRDefault="00463826" w:rsidP="00132593">
            <w:pPr>
              <w:spacing w:after="0" w:line="276" w:lineRule="auto"/>
              <w:jc w:val="left"/>
              <w:rPr>
                <w:sz w:val="20"/>
              </w:rPr>
            </w:pPr>
            <w:r w:rsidRPr="00463826">
              <w:rPr>
                <w:sz w:val="20"/>
              </w:rPr>
              <w:t>Data Literacy</w:t>
            </w:r>
          </w:p>
        </w:tc>
        <w:tc>
          <w:tcPr>
            <w:tcW w:w="5479" w:type="dxa"/>
            <w:tcBorders>
              <w:top w:val="single" w:sz="6" w:space="0" w:color="auto"/>
              <w:left w:val="single" w:sz="6" w:space="0" w:color="auto"/>
              <w:bottom w:val="single" w:sz="6" w:space="0" w:color="auto"/>
              <w:right w:val="single" w:sz="6" w:space="0" w:color="auto"/>
            </w:tcBorders>
            <w:tcMar>
              <w:top w:w="105" w:type="dxa"/>
              <w:left w:w="150" w:type="dxa"/>
              <w:bottom w:w="105" w:type="dxa"/>
              <w:right w:w="150" w:type="dxa"/>
            </w:tcMar>
            <w:vAlign w:val="center"/>
          </w:tcPr>
          <w:p w:rsidR="00463826" w:rsidRPr="00463826" w:rsidRDefault="00463826" w:rsidP="00132593">
            <w:pPr>
              <w:spacing w:after="0" w:line="276" w:lineRule="auto"/>
              <w:jc w:val="left"/>
              <w:rPr>
                <w:sz w:val="20"/>
              </w:rPr>
            </w:pPr>
            <w:r w:rsidRPr="00463826">
              <w:rPr>
                <w:sz w:val="20"/>
              </w:rPr>
              <w:t>Improve data literacy across the organisation.</w:t>
            </w:r>
          </w:p>
        </w:tc>
      </w:tr>
      <w:tr w:rsidR="00463826" w:rsidRPr="00463826" w:rsidTr="00132593">
        <w:tc>
          <w:tcPr>
            <w:tcW w:w="600" w:type="dxa"/>
            <w:tcBorders>
              <w:top w:val="single" w:sz="6" w:space="0" w:color="FFFFFF" w:themeColor="background1"/>
              <w:left w:val="single" w:sz="4" w:space="0" w:color="auto"/>
              <w:bottom w:val="single" w:sz="6" w:space="0" w:color="auto"/>
              <w:right w:val="single" w:sz="6" w:space="0" w:color="auto"/>
            </w:tcBorders>
            <w:shd w:val="clear" w:color="auto" w:fill="auto"/>
            <w:tcMar>
              <w:top w:w="105" w:type="dxa"/>
              <w:left w:w="150" w:type="dxa"/>
              <w:bottom w:w="105" w:type="dxa"/>
              <w:right w:w="150" w:type="dxa"/>
            </w:tcMar>
            <w:vAlign w:val="center"/>
          </w:tcPr>
          <w:p w:rsidR="00463826" w:rsidRPr="00463826" w:rsidRDefault="00463826" w:rsidP="00132593">
            <w:pPr>
              <w:spacing w:after="0"/>
              <w:jc w:val="left"/>
              <w:rPr>
                <w:rFonts w:eastAsiaTheme="minorHAnsi"/>
                <w:sz w:val="20"/>
              </w:rPr>
            </w:pPr>
            <w:r w:rsidRPr="00463826">
              <w:rPr>
                <w:rFonts w:eastAsiaTheme="minorHAnsi"/>
                <w:sz w:val="20"/>
              </w:rPr>
              <w:t>9</w:t>
            </w:r>
          </w:p>
        </w:tc>
        <w:tc>
          <w:tcPr>
            <w:tcW w:w="2561" w:type="dxa"/>
            <w:tcBorders>
              <w:top w:val="single" w:sz="6" w:space="0" w:color="auto"/>
              <w:bottom w:val="single" w:sz="6" w:space="0" w:color="auto"/>
              <w:right w:val="single" w:sz="6" w:space="0" w:color="auto"/>
            </w:tcBorders>
            <w:vAlign w:val="center"/>
          </w:tcPr>
          <w:p w:rsidR="00463826" w:rsidRPr="00463826" w:rsidRDefault="00463826" w:rsidP="00132593">
            <w:pPr>
              <w:spacing w:after="0" w:line="276" w:lineRule="auto"/>
              <w:jc w:val="left"/>
              <w:rPr>
                <w:sz w:val="20"/>
              </w:rPr>
            </w:pPr>
            <w:r w:rsidRPr="00463826">
              <w:rPr>
                <w:sz w:val="20"/>
              </w:rPr>
              <w:t>Internal Data Management Policies</w:t>
            </w:r>
          </w:p>
        </w:tc>
        <w:tc>
          <w:tcPr>
            <w:tcW w:w="5479" w:type="dxa"/>
            <w:tcBorders>
              <w:top w:val="single" w:sz="6" w:space="0" w:color="auto"/>
              <w:left w:val="single" w:sz="6" w:space="0" w:color="auto"/>
              <w:bottom w:val="single" w:sz="6" w:space="0" w:color="auto"/>
              <w:right w:val="single" w:sz="6" w:space="0" w:color="auto"/>
            </w:tcBorders>
            <w:tcMar>
              <w:top w:w="105" w:type="dxa"/>
              <w:left w:w="150" w:type="dxa"/>
              <w:bottom w:w="105" w:type="dxa"/>
              <w:right w:w="150" w:type="dxa"/>
            </w:tcMar>
            <w:vAlign w:val="center"/>
          </w:tcPr>
          <w:p w:rsidR="00463826" w:rsidRPr="00463826" w:rsidRDefault="00463826" w:rsidP="00132593">
            <w:pPr>
              <w:spacing w:after="0" w:line="276" w:lineRule="auto"/>
              <w:jc w:val="left"/>
              <w:rPr>
                <w:sz w:val="20"/>
              </w:rPr>
            </w:pPr>
            <w:r w:rsidRPr="00463826">
              <w:rPr>
                <w:sz w:val="20"/>
              </w:rPr>
              <w:t>Establish, enforce and constantly update internal corporate policies and guidelines on data management, data governance and data security.</w:t>
            </w:r>
          </w:p>
        </w:tc>
      </w:tr>
      <w:tr w:rsidR="00463826" w:rsidRPr="00463826" w:rsidTr="00132593">
        <w:tc>
          <w:tcPr>
            <w:tcW w:w="600" w:type="dxa"/>
            <w:tcBorders>
              <w:top w:val="single" w:sz="6" w:space="0" w:color="FFFFFF" w:themeColor="background1"/>
              <w:left w:val="single" w:sz="4" w:space="0" w:color="auto"/>
              <w:bottom w:val="single" w:sz="6" w:space="0" w:color="auto"/>
              <w:right w:val="single" w:sz="6" w:space="0" w:color="auto"/>
            </w:tcBorders>
            <w:shd w:val="clear" w:color="auto" w:fill="auto"/>
            <w:tcMar>
              <w:top w:w="105" w:type="dxa"/>
              <w:left w:w="150" w:type="dxa"/>
              <w:bottom w:w="105" w:type="dxa"/>
              <w:right w:w="150" w:type="dxa"/>
            </w:tcMar>
            <w:vAlign w:val="center"/>
          </w:tcPr>
          <w:p w:rsidR="00463826" w:rsidRPr="00463826" w:rsidRDefault="00463826" w:rsidP="00132593">
            <w:pPr>
              <w:spacing w:after="0"/>
              <w:jc w:val="left"/>
              <w:rPr>
                <w:sz w:val="20"/>
              </w:rPr>
            </w:pPr>
            <w:r w:rsidRPr="00463826">
              <w:rPr>
                <w:rFonts w:eastAsiaTheme="minorHAnsi"/>
                <w:sz w:val="20"/>
              </w:rPr>
              <w:t>10</w:t>
            </w:r>
          </w:p>
        </w:tc>
        <w:tc>
          <w:tcPr>
            <w:tcW w:w="2561" w:type="dxa"/>
            <w:tcBorders>
              <w:top w:val="single" w:sz="6" w:space="0" w:color="auto"/>
              <w:bottom w:val="single" w:sz="6" w:space="0" w:color="auto"/>
              <w:right w:val="single" w:sz="6" w:space="0" w:color="auto"/>
            </w:tcBorders>
            <w:vAlign w:val="center"/>
          </w:tcPr>
          <w:p w:rsidR="00463826" w:rsidRPr="00463826" w:rsidRDefault="00463826" w:rsidP="00132593">
            <w:pPr>
              <w:spacing w:after="0" w:line="276" w:lineRule="auto"/>
              <w:jc w:val="left"/>
              <w:rPr>
                <w:sz w:val="20"/>
              </w:rPr>
            </w:pPr>
            <w:r w:rsidRPr="00463826">
              <w:rPr>
                <w:sz w:val="20"/>
              </w:rPr>
              <w:t>Compliance with EU Data Policies</w:t>
            </w:r>
          </w:p>
        </w:tc>
        <w:tc>
          <w:tcPr>
            <w:tcW w:w="5479" w:type="dxa"/>
            <w:tcBorders>
              <w:top w:val="single" w:sz="6" w:space="0" w:color="auto"/>
              <w:left w:val="single" w:sz="6" w:space="0" w:color="auto"/>
              <w:bottom w:val="single" w:sz="6" w:space="0" w:color="auto"/>
              <w:right w:val="single" w:sz="6" w:space="0" w:color="auto"/>
            </w:tcBorders>
            <w:tcMar>
              <w:top w:w="105" w:type="dxa"/>
              <w:left w:w="150" w:type="dxa"/>
              <w:bottom w:w="105" w:type="dxa"/>
              <w:right w:w="150" w:type="dxa"/>
            </w:tcMar>
            <w:vAlign w:val="center"/>
          </w:tcPr>
          <w:p w:rsidR="00463826" w:rsidRPr="00463826" w:rsidRDefault="00463826" w:rsidP="00132593">
            <w:pPr>
              <w:spacing w:after="0" w:line="276" w:lineRule="auto"/>
              <w:jc w:val="left"/>
              <w:rPr>
                <w:sz w:val="20"/>
              </w:rPr>
            </w:pPr>
            <w:r w:rsidRPr="00463826">
              <w:rPr>
                <w:sz w:val="20"/>
              </w:rPr>
              <w:t xml:space="preserve">Ensure within the Commission the compliance with existing EU data policies on data sharing, re-use or security needs to be </w:t>
            </w:r>
          </w:p>
        </w:tc>
      </w:tr>
    </w:tbl>
    <w:p w:rsidR="00BC6AFE" w:rsidRDefault="00BC6AFE" w:rsidP="00BC6AFE">
      <w:pPr>
        <w:pStyle w:val="Heading1"/>
      </w:pPr>
      <w:r>
        <w:lastRenderedPageBreak/>
        <w:t>Results</w:t>
      </w:r>
    </w:p>
    <w:p w:rsidR="008847C3" w:rsidRPr="008847C3" w:rsidRDefault="00132593" w:rsidP="008847C3">
      <w:pPr>
        <w:pStyle w:val="Text1"/>
        <w:rPr>
          <w:highlight w:val="green"/>
        </w:rPr>
      </w:pPr>
      <w:r>
        <w:rPr>
          <w:noProof/>
          <w:lang w:eastAsia="en-GB"/>
        </w:rPr>
        <w:drawing>
          <wp:inline distT="0" distB="0" distL="0" distR="0" wp14:anchorId="05E41A13" wp14:editId="432094DB">
            <wp:extent cx="4921857" cy="4111839"/>
            <wp:effectExtent l="19050" t="19050" r="12700"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923025" cy="4112815"/>
                    </a:xfrm>
                    <a:prstGeom prst="rect">
                      <a:avLst/>
                    </a:prstGeom>
                    <a:ln>
                      <a:solidFill>
                        <a:schemeClr val="tx1"/>
                      </a:solidFill>
                    </a:ln>
                  </pic:spPr>
                </pic:pic>
              </a:graphicData>
            </a:graphic>
          </wp:inline>
        </w:drawing>
      </w:r>
    </w:p>
    <w:p w:rsidR="008847C3" w:rsidRDefault="008847C3" w:rsidP="008847C3">
      <w:pPr>
        <w:pStyle w:val="Caption"/>
      </w:pPr>
      <w:proofErr w:type="gramStart"/>
      <w:r w:rsidRPr="00132593">
        <w:t xml:space="preserve">Figure </w:t>
      </w:r>
      <w:r w:rsidRPr="00132593">
        <w:fldChar w:fldCharType="begin"/>
      </w:r>
      <w:r w:rsidRPr="00132593">
        <w:instrText xml:space="preserve"> SEQ Figure \* ARABIC </w:instrText>
      </w:r>
      <w:r w:rsidRPr="00132593">
        <w:fldChar w:fldCharType="separate"/>
      </w:r>
      <w:r w:rsidR="00A924AF" w:rsidRPr="00132593">
        <w:rPr>
          <w:noProof/>
        </w:rPr>
        <w:t>1</w:t>
      </w:r>
      <w:r w:rsidRPr="00132593">
        <w:fldChar w:fldCharType="end"/>
      </w:r>
      <w:r w:rsidRPr="00132593">
        <w:t>.</w:t>
      </w:r>
      <w:proofErr w:type="gramEnd"/>
      <w:r w:rsidRPr="00132593">
        <w:t xml:space="preserve"> </w:t>
      </w:r>
      <w:proofErr w:type="spellStart"/>
      <w:r w:rsidR="00132593" w:rsidRPr="00132593">
        <w:t>DataStrategy@EC</w:t>
      </w:r>
      <w:proofErr w:type="spellEnd"/>
      <w:r w:rsidR="00132593" w:rsidRPr="00132593">
        <w:t xml:space="preserve"> – Action Plan –</w:t>
      </w:r>
      <w:r w:rsidR="00132593">
        <w:t xml:space="preserve"> Dimensions, A</w:t>
      </w:r>
      <w:r w:rsidR="00132593" w:rsidRPr="00132593">
        <w:t xml:space="preserve">ctions and </w:t>
      </w:r>
      <w:r w:rsidR="00132593">
        <w:t>E</w:t>
      </w:r>
      <w:r w:rsidR="00132593" w:rsidRPr="00132593">
        <w:t>nablers</w:t>
      </w:r>
    </w:p>
    <w:p w:rsidR="00BC6AFE" w:rsidRDefault="00BC6AFE" w:rsidP="00BC6AFE">
      <w:pPr>
        <w:pStyle w:val="Heading1"/>
      </w:pPr>
      <w:r>
        <w:t>Conclusions</w:t>
      </w:r>
    </w:p>
    <w:p w:rsidR="00132593" w:rsidRDefault="00132593" w:rsidP="00132593">
      <w:r>
        <w:t xml:space="preserve">Transforming the European Commission in a data driven organisation is a necessary challenge that can be successful only if it relies on a mix </w:t>
      </w:r>
      <w:r w:rsidR="001E139E">
        <w:t xml:space="preserve">of elements: </w:t>
      </w:r>
      <w:r>
        <w:t xml:space="preserve">alignment to the </w:t>
      </w:r>
      <w:r w:rsidR="001E139E">
        <w:t xml:space="preserve">strategic </w:t>
      </w:r>
      <w:r>
        <w:t>targets</w:t>
      </w:r>
      <w:r w:rsidR="001E139E">
        <w:t>;</w:t>
      </w:r>
      <w:r>
        <w:t xml:space="preserve"> cultural change</w:t>
      </w:r>
      <w:r w:rsidR="001E139E">
        <w:t>;</w:t>
      </w:r>
      <w:r>
        <w:t xml:space="preserve"> build on the current status to evolve to the target status; </w:t>
      </w:r>
      <w:r w:rsidR="001E139E">
        <w:t xml:space="preserve">exploit data technologies; leadership; strategic effort; </w:t>
      </w:r>
      <w:bookmarkStart w:id="0" w:name="_GoBack"/>
      <w:bookmarkEnd w:id="0"/>
      <w:r w:rsidR="001E139E">
        <w:t>digital transformation strategy.</w:t>
      </w:r>
    </w:p>
    <w:p w:rsidR="00BC6AFE" w:rsidRDefault="00BC6AFE" w:rsidP="009B4EE0">
      <w:pPr>
        <w:pStyle w:val="Heading1"/>
        <w:numPr>
          <w:ilvl w:val="0"/>
          <w:numId w:val="0"/>
        </w:numPr>
        <w:ind w:left="480" w:hanging="480"/>
      </w:pPr>
      <w:r>
        <w:t>References</w:t>
      </w:r>
    </w:p>
    <w:p w:rsidR="00127067" w:rsidRPr="001E139E" w:rsidRDefault="00F2254F" w:rsidP="00893791">
      <w:pPr>
        <w:pStyle w:val="Text1"/>
        <w:numPr>
          <w:ilvl w:val="0"/>
          <w:numId w:val="20"/>
        </w:numPr>
      </w:pPr>
      <w:r>
        <w:t xml:space="preserve">Communication to the Commission, </w:t>
      </w:r>
      <w:r w:rsidR="00893791">
        <w:t>Data, Information and Knowledge Management at the European Commission</w:t>
      </w:r>
      <w:r>
        <w:t xml:space="preserve">, </w:t>
      </w:r>
      <w:proofErr w:type="gramStart"/>
      <w:r w:rsidR="00893791" w:rsidRPr="00893791">
        <w:t>C(</w:t>
      </w:r>
      <w:proofErr w:type="gramEnd"/>
      <w:r w:rsidR="00893791" w:rsidRPr="00893791">
        <w:t>2016) 6626</w:t>
      </w:r>
      <w:r w:rsidR="009B4EE0" w:rsidRPr="001E139E">
        <w:t>.</w:t>
      </w:r>
    </w:p>
    <w:sectPr w:rsidR="00127067" w:rsidRPr="001E139E" w:rsidSect="00BC6AFE">
      <w:footerReference w:type="default" r:id="rId13"/>
      <w:headerReference w:type="first" r:id="rId14"/>
      <w:footerReference w:type="first" r:id="rId15"/>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293" w:rsidRDefault="007C6293" w:rsidP="00BC6AFE">
      <w:pPr>
        <w:spacing w:after="0"/>
      </w:pPr>
      <w:r>
        <w:separator/>
      </w:r>
    </w:p>
  </w:endnote>
  <w:endnote w:type="continuationSeparator" w:id="0">
    <w:p w:rsidR="007C6293" w:rsidRDefault="007C6293"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Footer"/>
      <w:jc w:val="center"/>
    </w:pPr>
    <w:r>
      <w:fldChar w:fldCharType="begin"/>
    </w:r>
    <w:r>
      <w:instrText>PAGE</w:instrText>
    </w:r>
    <w:r>
      <w:fldChar w:fldCharType="separate"/>
    </w:r>
    <w:r w:rsidR="00D87C09">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Footer"/>
      <w:rPr>
        <w:sz w:val="24"/>
        <w:szCs w:val="24"/>
      </w:rPr>
    </w:pPr>
  </w:p>
  <w:p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293" w:rsidRDefault="007C6293" w:rsidP="00BC6AFE">
      <w:pPr>
        <w:spacing w:after="0"/>
      </w:pPr>
      <w:r>
        <w:separator/>
      </w:r>
    </w:p>
  </w:footnote>
  <w:footnote w:type="continuationSeparator" w:id="0">
    <w:p w:rsidR="007C6293" w:rsidRDefault="007C6293"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24156C31"/>
    <w:multiLevelType w:val="hybridMultilevel"/>
    <w:tmpl w:val="E442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0">
    <w:nsid w:val="7C5D518D"/>
    <w:multiLevelType w:val="hybridMultilevel"/>
    <w:tmpl w:val="684EF976"/>
    <w:lvl w:ilvl="0" w:tplc="CD360B7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15"/>
  </w:num>
  <w:num w:numId="5">
    <w:abstractNumId w:val="9"/>
  </w:num>
  <w:num w:numId="6">
    <w:abstractNumId w:val="8"/>
  </w:num>
  <w:num w:numId="7">
    <w:abstractNumId w:val="5"/>
  </w:num>
  <w:num w:numId="8">
    <w:abstractNumId w:val="4"/>
  </w:num>
  <w:num w:numId="9">
    <w:abstractNumId w:val="16"/>
  </w:num>
  <w:num w:numId="10">
    <w:abstractNumId w:val="18"/>
  </w:num>
  <w:num w:numId="11">
    <w:abstractNumId w:val="17"/>
  </w:num>
  <w:num w:numId="12">
    <w:abstractNumId w:val="19"/>
  </w:num>
  <w:num w:numId="13">
    <w:abstractNumId w:val="7"/>
  </w:num>
  <w:num w:numId="14">
    <w:abstractNumId w:val="10"/>
  </w:num>
  <w:num w:numId="15">
    <w:abstractNumId w:val="12"/>
  </w:num>
  <w:num w:numId="16">
    <w:abstractNumId w:val="11"/>
  </w:num>
  <w:num w:numId="17">
    <w:abstractNumId w:val="2"/>
  </w:num>
  <w:num w:numId="18">
    <w:abstractNumId w:val="13"/>
  </w:num>
  <w:num w:numId="19">
    <w:abstractNumId w:val="14"/>
  </w:num>
  <w:num w:numId="20">
    <w:abstractNumId w:val="3"/>
  </w:num>
  <w:num w:numId="21">
    <w:abstractNumId w:val="6"/>
  </w:num>
  <w:num w:numId="22">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A924AF"/>
    <w:rsid w:val="000642A1"/>
    <w:rsid w:val="000F7438"/>
    <w:rsid w:val="00127067"/>
    <w:rsid w:val="00132593"/>
    <w:rsid w:val="001857CF"/>
    <w:rsid w:val="001B50CE"/>
    <w:rsid w:val="001E139E"/>
    <w:rsid w:val="002012A8"/>
    <w:rsid w:val="00243A2C"/>
    <w:rsid w:val="00332D6F"/>
    <w:rsid w:val="003615C3"/>
    <w:rsid w:val="003D30B8"/>
    <w:rsid w:val="00463826"/>
    <w:rsid w:val="00573E28"/>
    <w:rsid w:val="005B4EA5"/>
    <w:rsid w:val="006312AF"/>
    <w:rsid w:val="006875D6"/>
    <w:rsid w:val="007B6C74"/>
    <w:rsid w:val="007C6293"/>
    <w:rsid w:val="00820BDC"/>
    <w:rsid w:val="008847C3"/>
    <w:rsid w:val="00893791"/>
    <w:rsid w:val="008A75D0"/>
    <w:rsid w:val="008B0A92"/>
    <w:rsid w:val="008E29ED"/>
    <w:rsid w:val="00923850"/>
    <w:rsid w:val="009A41E5"/>
    <w:rsid w:val="009B4EE0"/>
    <w:rsid w:val="00A11190"/>
    <w:rsid w:val="00A17E8C"/>
    <w:rsid w:val="00A67648"/>
    <w:rsid w:val="00A924AF"/>
    <w:rsid w:val="00AB4423"/>
    <w:rsid w:val="00B9492F"/>
    <w:rsid w:val="00BC17F5"/>
    <w:rsid w:val="00BC6AFE"/>
    <w:rsid w:val="00D11299"/>
    <w:rsid w:val="00D24082"/>
    <w:rsid w:val="00D52EA1"/>
    <w:rsid w:val="00D87C09"/>
    <w:rsid w:val="00DB601E"/>
    <w:rsid w:val="00E03E3C"/>
    <w:rsid w:val="00F22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1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190"/>
    <w:rPr>
      <w:rFonts w:ascii="Tahoma" w:hAnsi="Tahoma" w:cs="Tahoma"/>
      <w:sz w:val="16"/>
      <w:szCs w:val="16"/>
      <w:lang w:eastAsia="en-US"/>
    </w:rPr>
  </w:style>
  <w:style w:type="paragraph" w:styleId="ListParagraph">
    <w:name w:val="List Paragraph"/>
    <w:basedOn w:val="Normal"/>
    <w:uiPriority w:val="34"/>
    <w:qFormat/>
    <w:rsid w:val="004638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1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190"/>
    <w:rPr>
      <w:rFonts w:ascii="Tahoma" w:hAnsi="Tahoma" w:cs="Tahoma"/>
      <w:sz w:val="16"/>
      <w:szCs w:val="16"/>
      <w:lang w:eastAsia="en-US"/>
    </w:rPr>
  </w:style>
  <w:style w:type="paragraph" w:styleId="ListParagraph">
    <w:name w:val="List Paragraph"/>
    <w:basedOn w:val="Normal"/>
    <w:uiPriority w:val="34"/>
    <w:qFormat/>
    <w:rsid w:val="00463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Roberto\disk34\NTTS2019\ntts2019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DF8B7FEF-93E2-4658-9948-4D3E615F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ntts2019abstract.dot</Template>
  <TotalTime>131</TotalTime>
  <Pages>4</Pages>
  <Words>1167</Words>
  <Characters>6654</Characters>
  <Application>Microsoft Office Word</Application>
  <DocSecurity>0</DocSecurity>
  <PresentationFormat>Microsoft Word 14.0</PresentationFormat>
  <Lines>55</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BARCELLAN Roberto (ESTAT)</dc:creator>
  <cp:keywords>EL4</cp:keywords>
  <cp:lastModifiedBy>BARCELLAN Roberto (ESTAT)</cp:lastModifiedBy>
  <cp:revision>7</cp:revision>
  <cp:lastPrinted>2018-05-29T10:06:00Z</cp:lastPrinted>
  <dcterms:created xsi:type="dcterms:W3CDTF">2018-10-15T14:11:00Z</dcterms:created>
  <dcterms:modified xsi:type="dcterms:W3CDTF">2018-10-15T17:15:00Z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