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AFE" w:rsidRPr="00CC45FD" w:rsidRDefault="009624C9" w:rsidP="00BC6AFE">
      <w:pPr>
        <w:pStyle w:val="Puesto"/>
      </w:pPr>
      <w:r w:rsidRPr="00CC45FD">
        <w:t xml:space="preserve">Sustainability, consumption, </w:t>
      </w:r>
      <w:r w:rsidR="007744FF">
        <w:t>resource</w:t>
      </w:r>
      <w:r w:rsidRPr="00CC45FD">
        <w:t xml:space="preserve"> productivity: </w:t>
      </w:r>
      <w:r w:rsidR="007744FF">
        <w:t>regional</w:t>
      </w:r>
      <w:r w:rsidRPr="00CC45FD">
        <w:t xml:space="preserve"> material flow account</w:t>
      </w:r>
      <w:r w:rsidR="007744FF">
        <w:t>s</w:t>
      </w:r>
    </w:p>
    <w:p w:rsidR="00F45F39" w:rsidRPr="00CC45FD" w:rsidRDefault="00F45F39" w:rsidP="00F45F39">
      <w:pPr>
        <w:pStyle w:val="Pargraf"/>
        <w:rPr>
          <w:b/>
          <w:u w:val="single"/>
        </w:rPr>
      </w:pPr>
    </w:p>
    <w:p w:rsidR="00F45F39" w:rsidRDefault="00243A2C" w:rsidP="007C510C">
      <w:pPr>
        <w:pStyle w:val="Pargraf"/>
        <w:spacing w:before="240" w:after="240" w:line="240" w:lineRule="auto"/>
        <w:rPr>
          <w:rFonts w:ascii="Times New Roman" w:hAnsi="Times New Roman"/>
          <w:sz w:val="24"/>
        </w:rPr>
      </w:pPr>
      <w:r w:rsidRPr="00CC45FD">
        <w:rPr>
          <w:rFonts w:ascii="Times New Roman" w:hAnsi="Times New Roman"/>
          <w:b/>
          <w:sz w:val="24"/>
          <w:szCs w:val="24"/>
          <w:u w:val="single"/>
        </w:rPr>
        <w:t>Keywords</w:t>
      </w:r>
      <w:r w:rsidRPr="00CC45FD">
        <w:rPr>
          <w:rFonts w:ascii="Times New Roman" w:hAnsi="Times New Roman"/>
          <w:b/>
          <w:sz w:val="24"/>
          <w:szCs w:val="24"/>
        </w:rPr>
        <w:t>:</w:t>
      </w:r>
      <w:r w:rsidRPr="00CC45FD">
        <w:rPr>
          <w:rFonts w:ascii="Times New Roman" w:hAnsi="Times New Roman"/>
          <w:sz w:val="24"/>
          <w:szCs w:val="24"/>
        </w:rPr>
        <w:t xml:space="preserve"> </w:t>
      </w:r>
      <w:r w:rsidRPr="00CC45FD">
        <w:rPr>
          <w:rFonts w:ascii="Times New Roman" w:hAnsi="Times New Roman"/>
          <w:sz w:val="24"/>
        </w:rPr>
        <w:t>sustainable development, material flows, indicators, environment, resource productivity, material</w:t>
      </w:r>
      <w:r w:rsidR="00122C46" w:rsidRPr="00122C46">
        <w:rPr>
          <w:rFonts w:ascii="Times New Roman" w:hAnsi="Times New Roman"/>
          <w:sz w:val="24"/>
        </w:rPr>
        <w:t xml:space="preserve"> </w:t>
      </w:r>
      <w:r w:rsidR="00122C46" w:rsidRPr="00CC45FD">
        <w:rPr>
          <w:rFonts w:ascii="Times New Roman" w:hAnsi="Times New Roman"/>
          <w:sz w:val="24"/>
        </w:rPr>
        <w:t>consumption</w:t>
      </w:r>
    </w:p>
    <w:p w:rsidR="009C2EC6" w:rsidRPr="009C2EC6" w:rsidRDefault="009C2EC6" w:rsidP="009C2EC6">
      <w:pPr>
        <w:pStyle w:val="Pargraf"/>
        <w:spacing w:after="0" w:line="240" w:lineRule="auto"/>
        <w:rPr>
          <w:rFonts w:ascii="Times New Roman" w:hAnsi="Times New Roman"/>
          <w:sz w:val="24"/>
        </w:rPr>
      </w:pPr>
      <w:r w:rsidRPr="009C2EC6">
        <w:rPr>
          <w:rFonts w:ascii="Times New Roman" w:hAnsi="Times New Roman"/>
          <w:sz w:val="24"/>
        </w:rPr>
        <w:t xml:space="preserve">M. Carme Saborit, Jordi Galter, </w:t>
      </w:r>
      <w:r>
        <w:rPr>
          <w:rFonts w:ascii="Times New Roman" w:hAnsi="Times New Roman"/>
          <w:sz w:val="24"/>
        </w:rPr>
        <w:t>Cristina Rovira</w:t>
      </w:r>
    </w:p>
    <w:p w:rsidR="009C2EC6" w:rsidRDefault="009C2EC6" w:rsidP="009C2EC6">
      <w:pPr>
        <w:pStyle w:val="Pargraf"/>
        <w:spacing w:after="240" w:line="240" w:lineRule="auto"/>
        <w:rPr>
          <w:rFonts w:ascii="Times New Roman" w:hAnsi="Times New Roman"/>
          <w:sz w:val="24"/>
        </w:rPr>
      </w:pPr>
      <w:r w:rsidRPr="009C2EC6">
        <w:rPr>
          <w:rFonts w:ascii="Times New Roman" w:hAnsi="Times New Roman"/>
          <w:sz w:val="24"/>
        </w:rPr>
        <w:t xml:space="preserve">The Statistical Institute of Catalonia (Idescat), </w:t>
      </w:r>
      <w:proofErr w:type="spellStart"/>
      <w:r w:rsidRPr="009C2EC6">
        <w:rPr>
          <w:rFonts w:ascii="Times New Roman" w:hAnsi="Times New Roman"/>
          <w:sz w:val="24"/>
        </w:rPr>
        <w:t>B</w:t>
      </w:r>
      <w:r>
        <w:rPr>
          <w:rFonts w:ascii="Times New Roman" w:hAnsi="Times New Roman"/>
          <w:sz w:val="24"/>
        </w:rPr>
        <w:t>a</w:t>
      </w:r>
      <w:r w:rsidRPr="009C2EC6">
        <w:rPr>
          <w:rFonts w:ascii="Times New Roman" w:hAnsi="Times New Roman"/>
          <w:sz w:val="24"/>
        </w:rPr>
        <w:t>rcelone</w:t>
      </w:r>
      <w:proofErr w:type="spellEnd"/>
      <w:r w:rsidRPr="009C2EC6">
        <w:rPr>
          <w:rFonts w:ascii="Times New Roman" w:hAnsi="Times New Roman"/>
          <w:sz w:val="24"/>
        </w:rPr>
        <w:t>, Spain</w:t>
      </w:r>
    </w:p>
    <w:p w:rsidR="002012A8" w:rsidRPr="00AA70B4" w:rsidRDefault="002012A8" w:rsidP="00CC0162">
      <w:pPr>
        <w:pStyle w:val="Ttulo1"/>
        <w:keepNext w:val="0"/>
        <w:widowControl w:val="0"/>
        <w:numPr>
          <w:ilvl w:val="0"/>
          <w:numId w:val="30"/>
        </w:numPr>
        <w:tabs>
          <w:tab w:val="num" w:pos="480"/>
        </w:tabs>
        <w:ind w:left="480" w:hanging="480"/>
      </w:pPr>
      <w:r w:rsidRPr="00AA70B4">
        <w:t>Introduction</w:t>
      </w:r>
    </w:p>
    <w:p w:rsidR="003C203D" w:rsidRPr="00CC45FD" w:rsidRDefault="003C203D" w:rsidP="003C203D">
      <w:pPr>
        <w:pStyle w:val="Ttulo1"/>
        <w:rPr>
          <w:b w:val="0"/>
          <w:smallCaps w:val="0"/>
        </w:rPr>
      </w:pPr>
      <w:r w:rsidRPr="00CC45FD">
        <w:rPr>
          <w:b w:val="0"/>
          <w:smallCaps w:val="0"/>
        </w:rPr>
        <w:t xml:space="preserve">The United Nations defines sustainable development as </w:t>
      </w:r>
      <w:r w:rsidR="00EE0856">
        <w:rPr>
          <w:b w:val="0"/>
          <w:smallCaps w:val="0"/>
        </w:rPr>
        <w:t xml:space="preserve">‘development that </w:t>
      </w:r>
      <w:r w:rsidR="00FB4593">
        <w:rPr>
          <w:b w:val="0"/>
          <w:smallCaps w:val="0"/>
        </w:rPr>
        <w:t>meet</w:t>
      </w:r>
      <w:r w:rsidR="00EE0856">
        <w:rPr>
          <w:b w:val="0"/>
          <w:smallCaps w:val="0"/>
        </w:rPr>
        <w:t>s</w:t>
      </w:r>
      <w:r w:rsidRPr="00CC45FD">
        <w:rPr>
          <w:b w:val="0"/>
          <w:smallCaps w:val="0"/>
        </w:rPr>
        <w:t xml:space="preserve"> the needs of the present without compromising the ability of future generations to meet their own needs</w:t>
      </w:r>
      <w:r w:rsidR="00EE0856">
        <w:rPr>
          <w:b w:val="0"/>
          <w:smallCaps w:val="0"/>
        </w:rPr>
        <w:t>’</w:t>
      </w:r>
      <w:r w:rsidRPr="00CC45FD">
        <w:rPr>
          <w:b w:val="0"/>
          <w:smallCaps w:val="0"/>
        </w:rPr>
        <w:t>. Sustainable development necessarily entails decoupling the consumption of resources from economic growth.</w:t>
      </w:r>
    </w:p>
    <w:p w:rsidR="003C203D" w:rsidRPr="00CC45FD" w:rsidRDefault="003C203D" w:rsidP="003C203D">
      <w:pPr>
        <w:pStyle w:val="Ttulo1"/>
        <w:rPr>
          <w:b w:val="0"/>
          <w:smallCaps w:val="0"/>
        </w:rPr>
      </w:pPr>
      <w:r w:rsidRPr="00CC45FD">
        <w:rPr>
          <w:b w:val="0"/>
          <w:smallCaps w:val="0"/>
        </w:rPr>
        <w:t xml:space="preserve">Material </w:t>
      </w:r>
      <w:r w:rsidR="00CC2E8F">
        <w:rPr>
          <w:b w:val="0"/>
          <w:smallCaps w:val="0"/>
        </w:rPr>
        <w:t>flow a</w:t>
      </w:r>
      <w:r w:rsidRPr="00CC45FD">
        <w:rPr>
          <w:b w:val="0"/>
          <w:smallCaps w:val="0"/>
        </w:rPr>
        <w:t>ccount</w:t>
      </w:r>
      <w:r w:rsidR="00CC2E8F">
        <w:rPr>
          <w:b w:val="0"/>
          <w:smallCaps w:val="0"/>
        </w:rPr>
        <w:t>s</w:t>
      </w:r>
      <w:r w:rsidRPr="00CC45FD">
        <w:rPr>
          <w:b w:val="0"/>
          <w:smallCaps w:val="0"/>
        </w:rPr>
        <w:t xml:space="preserve"> (MFA) shows the physical inputs of materials which enter the economic system and the outputs generated </w:t>
      </w:r>
      <w:r w:rsidR="00CC2E8F">
        <w:rPr>
          <w:b w:val="0"/>
          <w:smallCaps w:val="0"/>
        </w:rPr>
        <w:t>in terms of physical units. These</w:t>
      </w:r>
      <w:r w:rsidRPr="00CC45FD">
        <w:rPr>
          <w:b w:val="0"/>
          <w:smallCaps w:val="0"/>
        </w:rPr>
        <w:t xml:space="preserve"> account</w:t>
      </w:r>
      <w:r w:rsidR="00CC2E8F">
        <w:rPr>
          <w:b w:val="0"/>
          <w:smallCaps w:val="0"/>
        </w:rPr>
        <w:t>s enable</w:t>
      </w:r>
      <w:r w:rsidRPr="00CC45FD">
        <w:rPr>
          <w:b w:val="0"/>
          <w:smallCaps w:val="0"/>
        </w:rPr>
        <w:t xml:space="preserve"> us to obtain a set of aggregate indicators on the use of natural resources, from which </w:t>
      </w:r>
      <w:r w:rsidR="00CC2E8F" w:rsidRPr="00CC45FD">
        <w:rPr>
          <w:b w:val="0"/>
          <w:smallCaps w:val="0"/>
        </w:rPr>
        <w:t xml:space="preserve">productivity </w:t>
      </w:r>
      <w:r w:rsidRPr="00CC45FD">
        <w:rPr>
          <w:b w:val="0"/>
          <w:smallCaps w:val="0"/>
        </w:rPr>
        <w:t>indicators can be derived.</w:t>
      </w:r>
    </w:p>
    <w:p w:rsidR="003C203D" w:rsidRPr="00CC45FD" w:rsidRDefault="003B659E" w:rsidP="00197396">
      <w:pPr>
        <w:pStyle w:val="Ttulo1"/>
        <w:keepNext w:val="0"/>
        <w:rPr>
          <w:b w:val="0"/>
          <w:smallCaps w:val="0"/>
        </w:rPr>
      </w:pPr>
      <w:r>
        <w:rPr>
          <w:b w:val="0"/>
          <w:smallCaps w:val="0"/>
        </w:rPr>
        <w:t>T</w:t>
      </w:r>
      <w:r w:rsidR="0038639C" w:rsidRPr="00CC45FD">
        <w:rPr>
          <w:b w:val="0"/>
          <w:smallCaps w:val="0"/>
        </w:rPr>
        <w:t>he Statistical Institute of</w:t>
      </w:r>
      <w:bookmarkStart w:id="0" w:name="_GoBack"/>
      <w:bookmarkEnd w:id="0"/>
      <w:r w:rsidR="00664461">
        <w:rPr>
          <w:b w:val="0"/>
          <w:smallCaps w:val="0"/>
        </w:rPr>
        <w:t xml:space="preserve"> </w:t>
      </w:r>
      <w:r w:rsidR="009C2EC6">
        <w:rPr>
          <w:b w:val="0"/>
          <w:smallCaps w:val="0"/>
        </w:rPr>
        <w:t>Catalonia</w:t>
      </w:r>
      <w:r w:rsidR="0038639C" w:rsidRPr="00CC45FD">
        <w:rPr>
          <w:b w:val="0"/>
          <w:smallCaps w:val="0"/>
        </w:rPr>
        <w:t>, is conducting a statistical project on the material flow account</w:t>
      </w:r>
      <w:r>
        <w:rPr>
          <w:b w:val="0"/>
          <w:smallCaps w:val="0"/>
        </w:rPr>
        <w:t>s</w:t>
      </w:r>
      <w:r w:rsidR="0038639C" w:rsidRPr="00CC45FD">
        <w:rPr>
          <w:b w:val="0"/>
          <w:smallCaps w:val="0"/>
        </w:rPr>
        <w:t xml:space="preserve"> with the aim of facilitating a detailed description of the interactions between the economy and the environment, providing information on the sustainability of </w:t>
      </w:r>
      <w:r w:rsidR="00C72F98">
        <w:rPr>
          <w:b w:val="0"/>
          <w:smallCaps w:val="0"/>
        </w:rPr>
        <w:t>our</w:t>
      </w:r>
      <w:r w:rsidR="0038639C" w:rsidRPr="00CC45FD">
        <w:rPr>
          <w:b w:val="0"/>
          <w:smallCaps w:val="0"/>
        </w:rPr>
        <w:t xml:space="preserve"> economic model in accordance with the harmonized methodology defined by Eurostat, adapted to the regional scope (NUTS 2). This </w:t>
      </w:r>
      <w:r w:rsidR="005D680D">
        <w:rPr>
          <w:b w:val="0"/>
          <w:smallCaps w:val="0"/>
        </w:rPr>
        <w:t>project</w:t>
      </w:r>
      <w:r w:rsidR="0038639C" w:rsidRPr="00CC45FD">
        <w:rPr>
          <w:b w:val="0"/>
          <w:smallCaps w:val="0"/>
        </w:rPr>
        <w:t xml:space="preserve"> is also justified by the need for data and indicators derived from the circular economy policies for which the MFA is a fundamental pillar. The </w:t>
      </w:r>
      <w:r w:rsidR="005D680D">
        <w:rPr>
          <w:b w:val="0"/>
          <w:smallCaps w:val="0"/>
        </w:rPr>
        <w:t>Regional</w:t>
      </w:r>
      <w:r w:rsidR="0038639C" w:rsidRPr="00CC45FD">
        <w:rPr>
          <w:b w:val="0"/>
          <w:smallCaps w:val="0"/>
        </w:rPr>
        <w:t xml:space="preserve"> Government’s 2017 approval of the drawing up of the National Plan for the implementation of the 2030 Agenda for sustainable development and the National Pact for Industry, which has an axis devoted to sustainability and the circular economy, have helped to promote the project. </w:t>
      </w:r>
      <w:r w:rsidR="00677514">
        <w:rPr>
          <w:b w:val="0"/>
          <w:smallCaps w:val="0"/>
        </w:rPr>
        <w:t>T</w:t>
      </w:r>
      <w:r w:rsidR="00677514" w:rsidRPr="00CC45FD">
        <w:rPr>
          <w:b w:val="0"/>
          <w:smallCaps w:val="0"/>
        </w:rPr>
        <w:t xml:space="preserve">he Statistical Institute of </w:t>
      </w:r>
      <w:r w:rsidR="009C2EC6">
        <w:rPr>
          <w:b w:val="0"/>
          <w:smallCaps w:val="0"/>
        </w:rPr>
        <w:t>Catalonia</w:t>
      </w:r>
      <w:r w:rsidR="0038639C" w:rsidRPr="00CC45FD">
        <w:rPr>
          <w:b w:val="0"/>
          <w:smallCaps w:val="0"/>
        </w:rPr>
        <w:t xml:space="preserve"> also forms part of the working group </w:t>
      </w:r>
      <w:r w:rsidR="0038639C" w:rsidRPr="00147742">
        <w:rPr>
          <w:b w:val="0"/>
          <w:smallCaps w:val="0"/>
        </w:rPr>
        <w:t>of the CITE (</w:t>
      </w:r>
      <w:proofErr w:type="spellStart"/>
      <w:r w:rsidR="0038639C" w:rsidRPr="00147742">
        <w:rPr>
          <w:b w:val="0"/>
          <w:smallCaps w:val="0"/>
        </w:rPr>
        <w:t>Interterritorial</w:t>
      </w:r>
      <w:proofErr w:type="spellEnd"/>
      <w:r w:rsidR="0038639C" w:rsidRPr="00CC45FD">
        <w:rPr>
          <w:b w:val="0"/>
          <w:smallCaps w:val="0"/>
        </w:rPr>
        <w:t xml:space="preserve"> Statistics Committee) on indicators of the 2030 Agenda for sustainable development, with the purpose of exchanging methodological experiences on the preparation of the SDGs, and is establishing synergies with </w:t>
      </w:r>
      <w:r w:rsidR="0034159D">
        <w:rPr>
          <w:b w:val="0"/>
          <w:smallCaps w:val="0"/>
        </w:rPr>
        <w:t>a technology c</w:t>
      </w:r>
      <w:r w:rsidR="0034159D" w:rsidRPr="0034159D">
        <w:rPr>
          <w:b w:val="0"/>
          <w:smallCaps w:val="0"/>
        </w:rPr>
        <w:t>entre</w:t>
      </w:r>
      <w:r w:rsidR="0038639C" w:rsidRPr="00CC45FD">
        <w:rPr>
          <w:b w:val="0"/>
          <w:smallCaps w:val="0"/>
        </w:rPr>
        <w:t xml:space="preserve"> in re</w:t>
      </w:r>
      <w:r w:rsidR="00104853">
        <w:rPr>
          <w:b w:val="0"/>
          <w:smallCaps w:val="0"/>
        </w:rPr>
        <w:t xml:space="preserve">lation to the </w:t>
      </w:r>
      <w:proofErr w:type="spellStart"/>
      <w:r w:rsidR="00104853">
        <w:rPr>
          <w:b w:val="0"/>
          <w:smallCaps w:val="0"/>
        </w:rPr>
        <w:t>UrbanWINS</w:t>
      </w:r>
      <w:proofErr w:type="spellEnd"/>
      <w:r w:rsidR="00104853">
        <w:rPr>
          <w:b w:val="0"/>
          <w:smallCaps w:val="0"/>
        </w:rPr>
        <w:t xml:space="preserve"> project and p</w:t>
      </w:r>
      <w:r w:rsidR="00104853" w:rsidRPr="00104853">
        <w:rPr>
          <w:b w:val="0"/>
          <w:smallCaps w:val="0"/>
        </w:rPr>
        <w:t xml:space="preserve">romoting the </w:t>
      </w:r>
      <w:r w:rsidR="00197396">
        <w:rPr>
          <w:b w:val="0"/>
          <w:smallCaps w:val="0"/>
        </w:rPr>
        <w:t>i</w:t>
      </w:r>
      <w:r w:rsidR="00104853" w:rsidRPr="00104853">
        <w:rPr>
          <w:b w:val="0"/>
          <w:smallCaps w:val="0"/>
        </w:rPr>
        <w:t>ntegration of these results into an articulated information system, in cooperation with entities linked to the management of environmental and sustainability policies.</w:t>
      </w:r>
    </w:p>
    <w:p w:rsidR="003C203D" w:rsidRPr="00CC45FD" w:rsidRDefault="0038639C" w:rsidP="00197396">
      <w:pPr>
        <w:pStyle w:val="Ttulo1"/>
        <w:keepNext w:val="0"/>
        <w:widowControl w:val="0"/>
      </w:pPr>
      <w:r w:rsidRPr="00CC45FD">
        <w:rPr>
          <w:b w:val="0"/>
          <w:smallCaps w:val="0"/>
        </w:rPr>
        <w:t xml:space="preserve">This paper addresses the methodological adaptations which have been necessary and the limitations currently detected. It also outlines the guidelines for the future development of this module for environmental accounting in official </w:t>
      </w:r>
      <w:r w:rsidR="001A7CD3">
        <w:rPr>
          <w:b w:val="0"/>
          <w:smallCaps w:val="0"/>
        </w:rPr>
        <w:t>regional</w:t>
      </w:r>
      <w:r w:rsidRPr="00CC45FD">
        <w:rPr>
          <w:b w:val="0"/>
          <w:smallCaps w:val="0"/>
        </w:rPr>
        <w:t xml:space="preserve"> statistics.</w:t>
      </w:r>
    </w:p>
    <w:p w:rsidR="00AA70B4" w:rsidRDefault="00AA70B4" w:rsidP="00AA70B4">
      <w:pPr>
        <w:pStyle w:val="Ttulo1"/>
        <w:keepNext w:val="0"/>
        <w:widowControl w:val="0"/>
        <w:numPr>
          <w:ilvl w:val="0"/>
          <w:numId w:val="30"/>
        </w:numPr>
        <w:tabs>
          <w:tab w:val="num" w:pos="480"/>
        </w:tabs>
        <w:ind w:left="480" w:hanging="480"/>
      </w:pPr>
      <w:r>
        <w:t>Methods</w:t>
      </w:r>
    </w:p>
    <w:p w:rsidR="00DC71A3" w:rsidRPr="00CC45FD" w:rsidRDefault="00DC71A3" w:rsidP="00197396">
      <w:pPr>
        <w:pStyle w:val="Ttulo1"/>
        <w:keepNext w:val="0"/>
        <w:widowControl w:val="0"/>
        <w:rPr>
          <w:b w:val="0"/>
          <w:smallCaps w:val="0"/>
        </w:rPr>
      </w:pPr>
      <w:r w:rsidRPr="00CC45FD">
        <w:rPr>
          <w:b w:val="0"/>
          <w:smallCaps w:val="0"/>
        </w:rPr>
        <w:t xml:space="preserve">The methodology used is an adaptation to the sub-state scope (NUTS 2) of the methodology defined by Eurostat for member States (national economies), as there is no comparable standardized, harmonized and generalized methodology at a regional level. </w:t>
      </w:r>
    </w:p>
    <w:p w:rsidR="00DC71A3" w:rsidRPr="00CC45FD" w:rsidRDefault="00DC71A3" w:rsidP="00197396">
      <w:pPr>
        <w:pStyle w:val="Ttulo1"/>
        <w:keepNext w:val="0"/>
        <w:widowControl w:val="0"/>
        <w:rPr>
          <w:b w:val="0"/>
          <w:smallCaps w:val="0"/>
        </w:rPr>
      </w:pPr>
      <w:r w:rsidRPr="00CC45FD">
        <w:rPr>
          <w:b w:val="0"/>
          <w:smallCaps w:val="0"/>
        </w:rPr>
        <w:t xml:space="preserve">The main innovation with respect to the methodology defined by Eurostat consists of the inclusion of interregional trade (see figure 1), which constitutes a methodological challenge owing to the difficulty of comprehensively quantifying the inputs and outputs of </w:t>
      </w:r>
      <w:r w:rsidRPr="00CC45FD">
        <w:rPr>
          <w:b w:val="0"/>
          <w:smallCaps w:val="0"/>
        </w:rPr>
        <w:lastRenderedPageBreak/>
        <w:t>materials without having a systematic register of physical exchanges.</w:t>
      </w:r>
    </w:p>
    <w:p w:rsidR="00DC71A3" w:rsidRDefault="007B181C" w:rsidP="003714CF">
      <w:pPr>
        <w:pStyle w:val="TitFigTab"/>
        <w:keepNext/>
        <w:spacing w:after="120"/>
        <w:ind w:left="0"/>
        <w:rPr>
          <w:noProof/>
          <w:lang w:val="ca-ES" w:eastAsia="ca-ES"/>
        </w:rPr>
      </w:pPr>
      <w:r w:rsidRPr="00CC45FD">
        <w:rPr>
          <w:rFonts w:ascii="Times New Roman" w:hAnsi="Times New Roman"/>
          <w:b/>
          <w:sz w:val="24"/>
          <w:szCs w:val="24"/>
        </w:rPr>
        <w:t>Figure 1.</w:t>
      </w:r>
      <w:r w:rsidRPr="00CC45FD">
        <w:rPr>
          <w:rFonts w:ascii="Times New Roman" w:hAnsi="Times New Roman"/>
          <w:sz w:val="24"/>
          <w:szCs w:val="24"/>
        </w:rPr>
        <w:t xml:space="preserve"> Conceptual framework of the MFA adapted to the regional scope</w:t>
      </w:r>
      <w:r w:rsidRPr="00CC45FD">
        <w:t xml:space="preserve"> </w:t>
      </w:r>
    </w:p>
    <w:p w:rsidR="004C5E6E" w:rsidRPr="004C5E6E" w:rsidRDefault="00855FCF" w:rsidP="004C5E6E">
      <w:pPr>
        <w:rPr>
          <w:lang w:val="ca-ES" w:eastAsia="ca-ES"/>
        </w:rPr>
      </w:pPr>
      <w:r w:rsidRPr="00855FCF">
        <w:rPr>
          <w:noProof/>
          <w:lang w:val="ca-ES" w:eastAsia="ca-ES"/>
        </w:rPr>
        <w:drawing>
          <wp:inline distT="0" distB="0" distL="0" distR="0">
            <wp:extent cx="5471795" cy="2035617"/>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1795" cy="2035617"/>
                    </a:xfrm>
                    <a:prstGeom prst="rect">
                      <a:avLst/>
                    </a:prstGeom>
                    <a:noFill/>
                    <a:ln>
                      <a:noFill/>
                    </a:ln>
                  </pic:spPr>
                </pic:pic>
              </a:graphicData>
            </a:graphic>
          </wp:inline>
        </w:drawing>
      </w:r>
    </w:p>
    <w:p w:rsidR="00DC71A3" w:rsidRPr="00CC45FD" w:rsidRDefault="00DC71A3" w:rsidP="003714CF">
      <w:pPr>
        <w:pStyle w:val="Ttulo1"/>
        <w:jc w:val="center"/>
        <w:rPr>
          <w:b w:val="0"/>
          <w:smallCaps w:val="0"/>
        </w:rPr>
      </w:pPr>
      <w:r w:rsidRPr="00CC45FD">
        <w:rPr>
          <w:b w:val="0"/>
          <w:smallCaps w:val="0"/>
        </w:rPr>
        <w:t>Source: Adapted from Eurostat.</w:t>
      </w:r>
    </w:p>
    <w:p w:rsidR="00351468" w:rsidRPr="00CC45FD" w:rsidRDefault="00DC71A3" w:rsidP="006F435A">
      <w:pPr>
        <w:pStyle w:val="Ttulo1"/>
        <w:rPr>
          <w:b w:val="0"/>
          <w:smallCaps w:val="0"/>
        </w:rPr>
      </w:pPr>
      <w:r w:rsidRPr="00CC45FD">
        <w:rPr>
          <w:b w:val="0"/>
          <w:smallCaps w:val="0"/>
        </w:rPr>
        <w:t xml:space="preserve">To quantify interregional trade, the methodological option adopted has consisted of taking into account different </w:t>
      </w:r>
      <w:r w:rsidR="00401835">
        <w:rPr>
          <w:b w:val="0"/>
          <w:smallCaps w:val="0"/>
        </w:rPr>
        <w:t>source</w:t>
      </w:r>
      <w:r w:rsidRPr="00CC45FD">
        <w:rPr>
          <w:b w:val="0"/>
          <w:smallCaps w:val="0"/>
        </w:rPr>
        <w:t>s of statistical information according to the means of transport: road, rail, ship (</w:t>
      </w:r>
      <w:proofErr w:type="spellStart"/>
      <w:r w:rsidRPr="00CC45FD">
        <w:rPr>
          <w:b w:val="0"/>
          <w:smallCaps w:val="0"/>
        </w:rPr>
        <w:t>cabotage</w:t>
      </w:r>
      <w:proofErr w:type="spellEnd"/>
      <w:r w:rsidRPr="00CC45FD">
        <w:rPr>
          <w:b w:val="0"/>
          <w:smallCaps w:val="0"/>
        </w:rPr>
        <w:t xml:space="preserve">), plane and pipeline. The use of new data sources (according to the means of transport) has meant standardizing the classifications of products and goods from each of these sources (which have their own product classifications), in order to integrate them and make them compatible with those for international trade and domestic extraction. As a result, an analytical classification has been created with two components, one related to the degree of production and the other to the type of product/material, and only the transformation of the ad hoc classification of rail transport into the analytical categories is still to be completed. </w:t>
      </w:r>
    </w:p>
    <w:p w:rsidR="006F435A" w:rsidRPr="00CC45FD" w:rsidRDefault="00BC4A06" w:rsidP="006F435A">
      <w:pPr>
        <w:pStyle w:val="Ttulo1"/>
        <w:rPr>
          <w:b w:val="0"/>
          <w:smallCaps w:val="0"/>
        </w:rPr>
      </w:pPr>
      <w:r w:rsidRPr="00CC45FD">
        <w:rPr>
          <w:b w:val="0"/>
          <w:smallCaps w:val="0"/>
        </w:rPr>
        <w:t xml:space="preserve">Similarly, the methodological work continues in the case of the interregional transport of goods by plane </w:t>
      </w:r>
      <w:r w:rsidR="00FB45A5">
        <w:rPr>
          <w:b w:val="0"/>
          <w:smallCaps w:val="0"/>
        </w:rPr>
        <w:t xml:space="preserve">(in our case, of little importance) </w:t>
      </w:r>
      <w:r w:rsidRPr="00CC45FD">
        <w:rPr>
          <w:b w:val="0"/>
          <w:smallCaps w:val="0"/>
        </w:rPr>
        <w:t>and the interregional trade of fossil fuels by pipeline, currently calculated as the balance between production, consumption and international exchanges.</w:t>
      </w:r>
    </w:p>
    <w:p w:rsidR="00010675" w:rsidRPr="00CC45FD" w:rsidRDefault="00010675" w:rsidP="0014738C">
      <w:pPr>
        <w:pStyle w:val="Ttulo1"/>
        <w:numPr>
          <w:ilvl w:val="0"/>
          <w:numId w:val="30"/>
        </w:numPr>
        <w:tabs>
          <w:tab w:val="num" w:pos="480"/>
        </w:tabs>
        <w:ind w:left="480" w:hanging="480"/>
      </w:pPr>
      <w:r w:rsidRPr="00CC45FD">
        <w:t>Results</w:t>
      </w:r>
    </w:p>
    <w:p w:rsidR="00B214D4" w:rsidRPr="00CC45FD" w:rsidRDefault="00B214D4" w:rsidP="00922F2D">
      <w:pPr>
        <w:pStyle w:val="Text1"/>
        <w:ind w:left="0"/>
      </w:pPr>
      <w:r w:rsidRPr="00CC45FD">
        <w:t xml:space="preserve">A retrospective series starting in 2000 has been drawn up, the results of which, in physical terms, complement the monetary information available in the economic accounts. </w:t>
      </w:r>
    </w:p>
    <w:p w:rsidR="007B165F" w:rsidRPr="00CC45FD" w:rsidRDefault="00B214D4" w:rsidP="00922F2D">
      <w:pPr>
        <w:pStyle w:val="Text1"/>
        <w:ind w:left="0"/>
      </w:pPr>
      <w:r w:rsidRPr="00CC45FD">
        <w:t xml:space="preserve">The results </w:t>
      </w:r>
      <w:r w:rsidR="00712BF9">
        <w:t xml:space="preserve">that are included in this paper </w:t>
      </w:r>
      <w:r w:rsidRPr="00CC45FD">
        <w:t xml:space="preserve">focus on the most relevant indicators useful for evaluating the political objectives of sustainable development, namely resource productivity and domestic material consumption and its components. They reflect the close link between the increase in material consumption and the domestic extraction of non-metallic minerals and cement consumption, in other words, the construction sector. The indicators in the data for </w:t>
      </w:r>
      <w:r w:rsidR="002E5FB9">
        <w:t>the region</w:t>
      </w:r>
      <w:r w:rsidRPr="00CC45FD">
        <w:t xml:space="preserve"> reflect the considerable effect of the </w:t>
      </w:r>
      <w:r w:rsidR="00712BF9">
        <w:t>real estate</w:t>
      </w:r>
      <w:r w:rsidRPr="00CC45FD">
        <w:t xml:space="preserve"> boom which lasted until 2007 (and, therefore, the construction sector, highly intensive in terms of material consumption) and the subsequent economic crisis in the 2008-2013 period. The start of the recovery of the sector, which took place in 2014, is also reflected in the </w:t>
      </w:r>
      <w:r w:rsidR="002935F8">
        <w:t>rebound</w:t>
      </w:r>
      <w:r w:rsidRPr="00CC45FD">
        <w:t xml:space="preserve"> of consumption and the domestic extraction of non-metallic minerals.</w:t>
      </w:r>
    </w:p>
    <w:p w:rsidR="00794BD2" w:rsidRDefault="00DF3727" w:rsidP="00922F2D">
      <w:pPr>
        <w:pStyle w:val="Text1"/>
        <w:ind w:left="0"/>
      </w:pPr>
      <w:r w:rsidRPr="00DF3727">
        <w:rPr>
          <w:noProof/>
          <w:lang w:val="ca-ES" w:eastAsia="ca-ES"/>
        </w:rPr>
        <w:lastRenderedPageBreak/>
        <w:drawing>
          <wp:inline distT="0" distB="0" distL="0" distR="0">
            <wp:extent cx="2619375" cy="1979705"/>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3827" cy="1998186"/>
                    </a:xfrm>
                    <a:prstGeom prst="rect">
                      <a:avLst/>
                    </a:prstGeom>
                    <a:noFill/>
                    <a:ln>
                      <a:noFill/>
                    </a:ln>
                  </pic:spPr>
                </pic:pic>
              </a:graphicData>
            </a:graphic>
          </wp:inline>
        </w:drawing>
      </w:r>
      <w:r w:rsidR="00F70EA7" w:rsidRPr="00CC45FD">
        <w:t xml:space="preserve"> </w:t>
      </w:r>
      <w:r w:rsidR="00420CF5" w:rsidRPr="00420CF5">
        <w:rPr>
          <w:noProof/>
          <w:lang w:val="ca-ES" w:eastAsia="ca-ES"/>
        </w:rPr>
        <w:drawing>
          <wp:inline distT="0" distB="0" distL="0" distR="0">
            <wp:extent cx="2647950" cy="2016722"/>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4626" cy="2037039"/>
                    </a:xfrm>
                    <a:prstGeom prst="rect">
                      <a:avLst/>
                    </a:prstGeom>
                    <a:noFill/>
                    <a:ln>
                      <a:noFill/>
                    </a:ln>
                  </pic:spPr>
                </pic:pic>
              </a:graphicData>
            </a:graphic>
          </wp:inline>
        </w:drawing>
      </w:r>
    </w:p>
    <w:p w:rsidR="00B00AB6" w:rsidRPr="00CC45FD" w:rsidRDefault="00AE1E73" w:rsidP="00922F2D">
      <w:pPr>
        <w:pStyle w:val="Text1"/>
        <w:ind w:left="0"/>
      </w:pPr>
      <w:r w:rsidRPr="00AE1E73">
        <w:rPr>
          <w:noProof/>
          <w:lang w:val="ca-ES" w:eastAsia="ca-ES"/>
        </w:rPr>
        <w:drawing>
          <wp:inline distT="0" distB="0" distL="0" distR="0">
            <wp:extent cx="2658631" cy="1735216"/>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2696" cy="1744396"/>
                    </a:xfrm>
                    <a:prstGeom prst="rect">
                      <a:avLst/>
                    </a:prstGeom>
                    <a:noFill/>
                    <a:ln>
                      <a:noFill/>
                    </a:ln>
                  </pic:spPr>
                </pic:pic>
              </a:graphicData>
            </a:graphic>
          </wp:inline>
        </w:drawing>
      </w:r>
      <w:r w:rsidR="00B00AB6" w:rsidRPr="00CC45FD">
        <w:t xml:space="preserve"> </w:t>
      </w:r>
      <w:r w:rsidR="00F6566F" w:rsidRPr="00F6566F">
        <w:rPr>
          <w:noProof/>
          <w:lang w:val="ca-ES" w:eastAsia="ca-ES"/>
        </w:rPr>
        <w:drawing>
          <wp:inline distT="0" distB="0" distL="0" distR="0">
            <wp:extent cx="2619375" cy="1708288"/>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726" cy="1739822"/>
                    </a:xfrm>
                    <a:prstGeom prst="rect">
                      <a:avLst/>
                    </a:prstGeom>
                    <a:noFill/>
                    <a:ln>
                      <a:noFill/>
                    </a:ln>
                  </pic:spPr>
                </pic:pic>
              </a:graphicData>
            </a:graphic>
          </wp:inline>
        </w:drawing>
      </w:r>
    </w:p>
    <w:p w:rsidR="00A86310" w:rsidRPr="00CC45FD" w:rsidRDefault="00A86310" w:rsidP="00A86310">
      <w:pPr>
        <w:pStyle w:val="Ttulo1"/>
        <w:rPr>
          <w:b w:val="0"/>
          <w:smallCaps w:val="0"/>
        </w:rPr>
      </w:pPr>
      <w:r w:rsidRPr="00CC45FD">
        <w:rPr>
          <w:b w:val="0"/>
          <w:smallCaps w:val="0"/>
        </w:rPr>
        <w:t xml:space="preserve">These results show the effects of the evolution of the sectoral economic structure on the </w:t>
      </w:r>
      <w:r w:rsidR="000666CB">
        <w:rPr>
          <w:b w:val="0"/>
          <w:smallCaps w:val="0"/>
        </w:rPr>
        <w:t>development</w:t>
      </w:r>
      <w:r w:rsidR="00A1271D">
        <w:rPr>
          <w:b w:val="0"/>
          <w:smallCaps w:val="0"/>
        </w:rPr>
        <w:t xml:space="preserve"> of the MFA indicators. </w:t>
      </w:r>
      <w:r w:rsidR="00A1271D" w:rsidRPr="00A1271D">
        <w:rPr>
          <w:b w:val="0"/>
          <w:smallCaps w:val="0"/>
        </w:rPr>
        <w:t xml:space="preserve">In order to draw conclusions, it appears necessary to separate the effects or the contribution of an improvement in the </w:t>
      </w:r>
      <w:r w:rsidR="00F9396F">
        <w:rPr>
          <w:b w:val="0"/>
          <w:smallCaps w:val="0"/>
        </w:rPr>
        <w:t>resource</w:t>
      </w:r>
      <w:r w:rsidR="00A1271D" w:rsidRPr="00A1271D">
        <w:rPr>
          <w:b w:val="0"/>
          <w:smallCaps w:val="0"/>
        </w:rPr>
        <w:t xml:space="preserve"> productivity or the changes in consumption habits from the effects caused by differences or changes in the sectoral structure of an economy with respect to a greater/lesser influence of intensive sectors on the use of materials.</w:t>
      </w:r>
    </w:p>
    <w:p w:rsidR="00BC6AFE" w:rsidRPr="00CC45FD" w:rsidRDefault="00BC6AFE" w:rsidP="0014738C">
      <w:pPr>
        <w:pStyle w:val="Ttulo1"/>
        <w:numPr>
          <w:ilvl w:val="0"/>
          <w:numId w:val="30"/>
        </w:numPr>
        <w:tabs>
          <w:tab w:val="num" w:pos="480"/>
        </w:tabs>
        <w:ind w:left="480" w:hanging="480"/>
      </w:pPr>
      <w:r w:rsidRPr="00CC45FD">
        <w:t>Conclusions</w:t>
      </w:r>
    </w:p>
    <w:p w:rsidR="00130F2A" w:rsidRPr="00CC45FD" w:rsidRDefault="007A0971" w:rsidP="00130F2A">
      <w:pPr>
        <w:pStyle w:val="Ttulo1"/>
        <w:rPr>
          <w:b w:val="0"/>
          <w:smallCaps w:val="0"/>
        </w:rPr>
      </w:pPr>
      <w:r w:rsidRPr="00CC45FD">
        <w:rPr>
          <w:b w:val="0"/>
          <w:smallCaps w:val="0"/>
        </w:rPr>
        <w:t>In this project it has been necessary to make adaptations to the methodology developed by Eurostat for national economies, given that there is no comparable standardized, harmonized and generalized methodology at a regional level (NUTS2).</w:t>
      </w:r>
    </w:p>
    <w:p w:rsidR="00130F2A" w:rsidRPr="00CC45FD" w:rsidRDefault="00130F2A" w:rsidP="00130F2A">
      <w:pPr>
        <w:pStyle w:val="Ttulo1"/>
        <w:rPr>
          <w:b w:val="0"/>
          <w:smallCaps w:val="0"/>
        </w:rPr>
      </w:pPr>
      <w:r w:rsidRPr="00CC45FD">
        <w:rPr>
          <w:b w:val="0"/>
          <w:smallCaps w:val="0"/>
        </w:rPr>
        <w:t>The main adaptations have consisted of the inclusion of interregional trade according to the means of transport, which has generated the need to converge the different classifications of products/materials available in each source in a common classification, in order to make them compatible with those for international trade. To do so, an analytical classification has been created which includes two components, one related to the degree of production and the other to the type of product/material.</w:t>
      </w:r>
    </w:p>
    <w:p w:rsidR="00130F2A" w:rsidRPr="00CC45FD" w:rsidRDefault="00130F2A" w:rsidP="00130F2A">
      <w:pPr>
        <w:pStyle w:val="Ttulo1"/>
        <w:rPr>
          <w:b w:val="0"/>
          <w:smallCaps w:val="0"/>
        </w:rPr>
      </w:pPr>
      <w:r w:rsidRPr="00CC45FD">
        <w:rPr>
          <w:b w:val="0"/>
          <w:smallCaps w:val="0"/>
        </w:rPr>
        <w:t>As the MFA is a statistic</w:t>
      </w:r>
      <w:r w:rsidR="001D1D9A">
        <w:rPr>
          <w:b w:val="0"/>
          <w:smallCaps w:val="0"/>
        </w:rPr>
        <w:t>al synthesis project</w:t>
      </w:r>
      <w:r w:rsidRPr="00CC45FD">
        <w:rPr>
          <w:b w:val="0"/>
          <w:smallCaps w:val="0"/>
        </w:rPr>
        <w:t xml:space="preserve">, </w:t>
      </w:r>
      <w:r w:rsidR="001D1D9A">
        <w:rPr>
          <w:b w:val="0"/>
          <w:smallCaps w:val="0"/>
        </w:rPr>
        <w:t>it</w:t>
      </w:r>
      <w:r w:rsidRPr="00CC45FD">
        <w:rPr>
          <w:b w:val="0"/>
          <w:smallCaps w:val="0"/>
        </w:rPr>
        <w:t xml:space="preserve"> has also served to detect statistical limitations and shortcomings, which must be addressed in order to complete the physical account balance of the economy. The results obtained until now have enabled us to detect the effects of the sectoral economic structure on the MFA indicators and to show that it is necessary to separate the contribution of these effects with respect to the improvement in the material productivity of the resources and the changes in consumption habits. </w:t>
      </w:r>
    </w:p>
    <w:p w:rsidR="007A0971" w:rsidRPr="00CC45FD" w:rsidRDefault="009D4EA3" w:rsidP="00130F2A">
      <w:pPr>
        <w:pStyle w:val="Ttulo1"/>
        <w:rPr>
          <w:b w:val="0"/>
          <w:smallCaps w:val="0"/>
        </w:rPr>
      </w:pPr>
      <w:r w:rsidRPr="00CC45FD">
        <w:rPr>
          <w:b w:val="0"/>
          <w:smallCaps w:val="0"/>
        </w:rPr>
        <w:t xml:space="preserve">The most immediate steps will consist of establishing the mechanisms permitting progress in the conceptual and interpretative basis of the MFA, as well as the detection of the sectors with key contributions to the improvement of the sustainability of the </w:t>
      </w:r>
      <w:r w:rsidR="008A339F">
        <w:rPr>
          <w:b w:val="0"/>
          <w:smallCaps w:val="0"/>
        </w:rPr>
        <w:t>regional</w:t>
      </w:r>
      <w:r w:rsidRPr="00CC45FD">
        <w:rPr>
          <w:b w:val="0"/>
          <w:smallCaps w:val="0"/>
        </w:rPr>
        <w:t xml:space="preserve"> ec</w:t>
      </w:r>
      <w:r w:rsidR="001D1D9A">
        <w:rPr>
          <w:b w:val="0"/>
          <w:smallCaps w:val="0"/>
        </w:rPr>
        <w:t xml:space="preserve">onomy. </w:t>
      </w:r>
      <w:r w:rsidR="001D1D9A">
        <w:rPr>
          <w:b w:val="0"/>
          <w:smallCaps w:val="0"/>
        </w:rPr>
        <w:lastRenderedPageBreak/>
        <w:t>It is also necessary to think about</w:t>
      </w:r>
      <w:r w:rsidRPr="00CC45FD">
        <w:rPr>
          <w:b w:val="0"/>
          <w:smallCaps w:val="0"/>
        </w:rPr>
        <w:t xml:space="preserve"> the suitability of the territorial comparability between state and regional data and on which magnitudes and indicators permit the establishment of rankings.</w:t>
      </w:r>
    </w:p>
    <w:p w:rsidR="00130F2A" w:rsidRDefault="00130F2A" w:rsidP="00130F2A">
      <w:pPr>
        <w:pStyle w:val="Ttulo1"/>
        <w:rPr>
          <w:b w:val="0"/>
          <w:smallCaps w:val="0"/>
        </w:rPr>
      </w:pPr>
      <w:r w:rsidRPr="00CC45FD">
        <w:rPr>
          <w:b w:val="0"/>
          <w:smallCaps w:val="0"/>
        </w:rPr>
        <w:t xml:space="preserve">The MFA is undoubtedly a useful tool for enhancing a debate on the productive model of </w:t>
      </w:r>
      <w:r w:rsidR="00305F98">
        <w:rPr>
          <w:b w:val="0"/>
          <w:smallCaps w:val="0"/>
        </w:rPr>
        <w:t>the region</w:t>
      </w:r>
      <w:r w:rsidRPr="00CC45FD">
        <w:rPr>
          <w:b w:val="0"/>
          <w:smallCaps w:val="0"/>
        </w:rPr>
        <w:t>, and its regular calculation will be crucial for evaluating economic policies and decision-making related to the efficient use of natural resources and waste prevention.</w:t>
      </w:r>
    </w:p>
    <w:p w:rsidR="004215DC" w:rsidRPr="00130F2A" w:rsidRDefault="004215DC" w:rsidP="00836887">
      <w:pPr>
        <w:pStyle w:val="Ttulo1"/>
        <w:numPr>
          <w:ilvl w:val="0"/>
          <w:numId w:val="30"/>
        </w:numPr>
        <w:tabs>
          <w:tab w:val="num" w:pos="480"/>
        </w:tabs>
        <w:ind w:left="480" w:hanging="480"/>
      </w:pPr>
      <w:r w:rsidRPr="00130F2A">
        <w:t>References</w:t>
      </w:r>
    </w:p>
    <w:p w:rsidR="004215DC" w:rsidRPr="00B21BE8" w:rsidRDefault="004215DC" w:rsidP="004215DC">
      <w:pPr>
        <w:pStyle w:val="Text1"/>
        <w:ind w:left="0"/>
        <w:rPr>
          <w:rFonts w:eastAsiaTheme="minorEastAsia"/>
          <w:szCs w:val="24"/>
          <w:lang w:eastAsia="ja-JP"/>
        </w:rPr>
      </w:pPr>
      <w:r w:rsidRPr="00B21BE8">
        <w:rPr>
          <w:rFonts w:eastAsiaTheme="minorEastAsia"/>
          <w:szCs w:val="24"/>
          <w:lang w:eastAsia="ja-JP"/>
        </w:rPr>
        <w:t>Austrian Federal Ministry of Agriculture, Forestry, ‘Environment and Water Management Resource use in Austria results of the environment accounts at a glance (2016)’.</w:t>
      </w:r>
    </w:p>
    <w:p w:rsidR="004215DC" w:rsidRPr="00B21BE8" w:rsidRDefault="004215DC" w:rsidP="004215DC">
      <w:pPr>
        <w:pStyle w:val="Text1"/>
        <w:ind w:left="0"/>
        <w:rPr>
          <w:rFonts w:eastAsiaTheme="minorEastAsia"/>
          <w:szCs w:val="24"/>
          <w:lang w:val="es-ES_tradnl" w:eastAsia="ja-JP"/>
        </w:rPr>
      </w:pPr>
      <w:r w:rsidRPr="00B21BE8">
        <w:rPr>
          <w:rFonts w:eastAsiaTheme="minorEastAsia"/>
          <w:szCs w:val="24"/>
          <w:lang w:val="es-ES_tradnl" w:eastAsia="ja-JP"/>
        </w:rPr>
        <w:t xml:space="preserve">Carpintero, O. et al. (2015) ‘El Metabolismo Económico Regional Español’. </w:t>
      </w:r>
      <w:r w:rsidRPr="00763FF7">
        <w:rPr>
          <w:rFonts w:eastAsiaTheme="minorEastAsia"/>
          <w:szCs w:val="24"/>
          <w:lang w:eastAsia="ja-JP"/>
        </w:rPr>
        <w:t>Edited by</w:t>
      </w:r>
      <w:r w:rsidRPr="00B21BE8">
        <w:rPr>
          <w:rFonts w:eastAsiaTheme="minorEastAsia"/>
          <w:szCs w:val="24"/>
          <w:lang w:val="es-ES_tradnl" w:eastAsia="ja-JP"/>
        </w:rPr>
        <w:t xml:space="preserve"> O. Carpintero. FUHEM </w:t>
      </w:r>
      <w:proofErr w:type="spellStart"/>
      <w:r w:rsidRPr="00B21BE8">
        <w:rPr>
          <w:rFonts w:eastAsiaTheme="minorEastAsia"/>
          <w:szCs w:val="24"/>
          <w:lang w:val="es-ES_tradnl" w:eastAsia="ja-JP"/>
        </w:rPr>
        <w:t>Ecosocial</w:t>
      </w:r>
      <w:proofErr w:type="spellEnd"/>
      <w:r w:rsidRPr="00B21BE8">
        <w:rPr>
          <w:rFonts w:eastAsiaTheme="minorEastAsia"/>
          <w:szCs w:val="24"/>
          <w:lang w:val="es-ES_tradnl" w:eastAsia="ja-JP"/>
        </w:rPr>
        <w:t>.</w:t>
      </w:r>
    </w:p>
    <w:p w:rsidR="004215DC" w:rsidRPr="00B21BE8" w:rsidRDefault="004215DC" w:rsidP="004215DC">
      <w:pPr>
        <w:pStyle w:val="Text1"/>
        <w:ind w:left="0"/>
        <w:rPr>
          <w:rFonts w:eastAsiaTheme="minorEastAsia"/>
          <w:szCs w:val="24"/>
          <w:lang w:eastAsia="ja-JP"/>
        </w:rPr>
      </w:pPr>
      <w:proofErr w:type="spellStart"/>
      <w:r w:rsidRPr="00B21BE8">
        <w:rPr>
          <w:rFonts w:eastAsiaTheme="minorEastAsia"/>
          <w:szCs w:val="24"/>
          <w:lang w:eastAsia="ja-JP"/>
        </w:rPr>
        <w:t>Cassara</w:t>
      </w:r>
      <w:proofErr w:type="spellEnd"/>
      <w:r w:rsidRPr="00B21BE8">
        <w:rPr>
          <w:rFonts w:eastAsiaTheme="minorEastAsia"/>
          <w:szCs w:val="24"/>
          <w:lang w:eastAsia="ja-JP"/>
        </w:rPr>
        <w:t>, A., et al (2008) ‘Material Flows in the United States: A Physical Accounting of the U.S. Industrial Economy’. World Resources Institute (WRI).</w:t>
      </w:r>
    </w:p>
    <w:p w:rsidR="004215DC" w:rsidRPr="00B21BE8" w:rsidRDefault="004215DC" w:rsidP="004215DC">
      <w:pPr>
        <w:pStyle w:val="Text1"/>
        <w:ind w:left="0"/>
        <w:rPr>
          <w:rFonts w:eastAsiaTheme="minorEastAsia"/>
          <w:szCs w:val="24"/>
          <w:lang w:val="es-ES_tradnl" w:eastAsia="ja-JP"/>
        </w:rPr>
      </w:pPr>
      <w:r w:rsidRPr="00B21BE8">
        <w:rPr>
          <w:rFonts w:eastAsiaTheme="minorEastAsia"/>
          <w:szCs w:val="24"/>
          <w:lang w:val="es-ES_tradnl" w:eastAsia="ja-JP"/>
        </w:rPr>
        <w:t>Departamento de Medio Ambiente y Política Territorial -Gobierno Vasco. ‘Productividad de los recursos de Euskadi. 2013’.</w:t>
      </w:r>
    </w:p>
    <w:p w:rsidR="004215DC" w:rsidRPr="00B21BE8" w:rsidRDefault="004215DC" w:rsidP="004215DC">
      <w:pPr>
        <w:pStyle w:val="Text1"/>
        <w:ind w:left="0"/>
        <w:rPr>
          <w:rFonts w:eastAsiaTheme="minorEastAsia"/>
          <w:szCs w:val="24"/>
          <w:lang w:val="es-ES_tradnl" w:eastAsia="ja-JP"/>
        </w:rPr>
      </w:pPr>
      <w:r w:rsidRPr="00B21BE8">
        <w:rPr>
          <w:rFonts w:eastAsiaTheme="minorEastAsia"/>
          <w:szCs w:val="24"/>
          <w:lang w:val="es-ES_tradnl" w:eastAsia="ja-JP"/>
        </w:rPr>
        <w:t>González Martínez, A. C., et al (2010) 'El flujo de materiales y el desarrollo económico en España: un análisis sobre desmaterialización (1980-2004)'. Revista de la Red Iberoamericana de Economía Ecológica.</w:t>
      </w:r>
    </w:p>
    <w:p w:rsidR="004215DC" w:rsidRPr="00C94A6D" w:rsidRDefault="004215DC" w:rsidP="004215DC">
      <w:pPr>
        <w:pStyle w:val="Text1"/>
        <w:ind w:left="0"/>
        <w:rPr>
          <w:rFonts w:eastAsiaTheme="minorEastAsia"/>
          <w:szCs w:val="24"/>
          <w:lang w:eastAsia="ja-JP"/>
        </w:rPr>
      </w:pPr>
      <w:r w:rsidRPr="00C94A6D">
        <w:rPr>
          <w:rFonts w:eastAsiaTheme="minorEastAsia"/>
          <w:szCs w:val="24"/>
          <w:lang w:eastAsia="ja-JP"/>
        </w:rPr>
        <w:t xml:space="preserve">Eurostat (2001). ‘Economy-wide material flow accounts and derived indicators. A methodological guide. 2001 edition’.  </w:t>
      </w:r>
      <w:r w:rsidR="00D61579" w:rsidRPr="00D61579">
        <w:rPr>
          <w:rFonts w:eastAsiaTheme="minorEastAsia"/>
          <w:szCs w:val="24"/>
          <w:lang w:eastAsia="ja-JP"/>
        </w:rPr>
        <w:t>A</w:t>
      </w:r>
      <w:r w:rsidR="00D61579">
        <w:rPr>
          <w:rFonts w:eastAsiaTheme="minorEastAsia"/>
          <w:szCs w:val="24"/>
          <w:lang w:eastAsia="ja-JP"/>
        </w:rPr>
        <w:t>v</w:t>
      </w:r>
      <w:r w:rsidR="00D61579" w:rsidRPr="00D61579">
        <w:rPr>
          <w:rFonts w:eastAsiaTheme="minorEastAsia"/>
          <w:szCs w:val="24"/>
          <w:lang w:eastAsia="ja-JP"/>
        </w:rPr>
        <w:t>ailable online at</w:t>
      </w:r>
      <w:r w:rsidRPr="00C94A6D">
        <w:rPr>
          <w:rFonts w:eastAsiaTheme="minorEastAsia"/>
          <w:szCs w:val="24"/>
          <w:lang w:eastAsia="ja-JP"/>
        </w:rPr>
        <w:t>:  http://ec.europa.eu/eurostat/web/environment/methodology</w:t>
      </w:r>
    </w:p>
    <w:p w:rsidR="004215DC" w:rsidRPr="00C94A6D" w:rsidRDefault="004215DC" w:rsidP="004215DC">
      <w:pPr>
        <w:pStyle w:val="Text1"/>
        <w:ind w:left="0"/>
        <w:rPr>
          <w:rFonts w:eastAsiaTheme="minorEastAsia"/>
          <w:szCs w:val="24"/>
          <w:lang w:eastAsia="ja-JP"/>
        </w:rPr>
      </w:pPr>
      <w:r w:rsidRPr="00C94A6D">
        <w:rPr>
          <w:rFonts w:eastAsiaTheme="minorEastAsia"/>
          <w:szCs w:val="24"/>
          <w:lang w:eastAsia="ja-JP"/>
        </w:rPr>
        <w:t xml:space="preserve">Eurostat (2013). ‘Economy-wide Material Flow Accounts (EW-MFA). Compilation Guide 2013’. </w:t>
      </w:r>
      <w:r w:rsidR="00D61579">
        <w:rPr>
          <w:rFonts w:eastAsiaTheme="minorEastAsia"/>
          <w:szCs w:val="24"/>
          <w:lang w:eastAsia="ja-JP"/>
        </w:rPr>
        <w:t>A</w:t>
      </w:r>
      <w:r w:rsidR="00D61579" w:rsidRPr="00D61579">
        <w:rPr>
          <w:rFonts w:eastAsiaTheme="minorEastAsia"/>
          <w:szCs w:val="24"/>
          <w:lang w:eastAsia="ja-JP"/>
        </w:rPr>
        <w:t>vailable online at</w:t>
      </w:r>
      <w:r w:rsidRPr="00C94A6D">
        <w:rPr>
          <w:rFonts w:eastAsiaTheme="minorEastAsia"/>
          <w:szCs w:val="24"/>
          <w:lang w:eastAsia="ja-JP"/>
        </w:rPr>
        <w:t xml:space="preserve">: http://ec.europa.eu/eurostat/web/environment/methodology </w:t>
      </w:r>
    </w:p>
    <w:p w:rsidR="004215DC" w:rsidRPr="00C94A6D" w:rsidRDefault="004215DC" w:rsidP="004215DC">
      <w:pPr>
        <w:pStyle w:val="Text1"/>
        <w:ind w:left="0"/>
        <w:rPr>
          <w:rFonts w:eastAsiaTheme="minorEastAsia"/>
          <w:szCs w:val="24"/>
          <w:lang w:eastAsia="ja-JP"/>
        </w:rPr>
      </w:pPr>
      <w:r w:rsidRPr="00C94A6D">
        <w:rPr>
          <w:rFonts w:eastAsiaTheme="minorEastAsia"/>
          <w:szCs w:val="24"/>
          <w:lang w:eastAsia="ja-JP"/>
        </w:rPr>
        <w:t xml:space="preserve">Eurostat (2018). ‘Economy-wide Material Flow Accounts.  Handbook 2018 edition’. </w:t>
      </w:r>
      <w:r w:rsidR="00D61579">
        <w:rPr>
          <w:rFonts w:eastAsiaTheme="minorEastAsia"/>
          <w:szCs w:val="24"/>
          <w:lang w:eastAsia="ja-JP"/>
        </w:rPr>
        <w:t>A</w:t>
      </w:r>
      <w:r w:rsidR="00D61579" w:rsidRPr="00D61579">
        <w:rPr>
          <w:rFonts w:eastAsiaTheme="minorEastAsia"/>
          <w:szCs w:val="24"/>
          <w:lang w:eastAsia="ja-JP"/>
        </w:rPr>
        <w:t>vailable online at</w:t>
      </w:r>
      <w:r w:rsidRPr="00C94A6D">
        <w:rPr>
          <w:rFonts w:eastAsiaTheme="minorEastAsia"/>
          <w:szCs w:val="24"/>
          <w:lang w:eastAsia="ja-JP"/>
        </w:rPr>
        <w:t xml:space="preserve">: http://ec.europa.eu/eurostat/web/environment/methodology </w:t>
      </w:r>
    </w:p>
    <w:p w:rsidR="004215DC" w:rsidRPr="00C94A6D" w:rsidRDefault="004215DC" w:rsidP="004215DC">
      <w:pPr>
        <w:pStyle w:val="Text1"/>
        <w:ind w:left="0"/>
        <w:rPr>
          <w:rFonts w:eastAsiaTheme="minorEastAsia"/>
          <w:szCs w:val="24"/>
          <w:lang w:eastAsia="ja-JP"/>
        </w:rPr>
      </w:pPr>
      <w:r w:rsidRPr="00C94A6D">
        <w:rPr>
          <w:rFonts w:eastAsiaTheme="minorEastAsia"/>
          <w:szCs w:val="24"/>
          <w:lang w:eastAsia="ja-JP"/>
        </w:rPr>
        <w:t>Finnish Environment Institute (SYKE), University of Oulu (2017). ‘Finnish material flow accounts Main results’.</w:t>
      </w:r>
    </w:p>
    <w:p w:rsidR="004215DC" w:rsidRPr="000647D1" w:rsidRDefault="004215DC" w:rsidP="004215DC">
      <w:pPr>
        <w:pStyle w:val="Text1"/>
        <w:ind w:left="0"/>
        <w:rPr>
          <w:rFonts w:eastAsiaTheme="minorEastAsia"/>
          <w:szCs w:val="24"/>
          <w:lang w:val="es-ES_tradnl" w:eastAsia="ja-JP"/>
        </w:rPr>
      </w:pPr>
      <w:r w:rsidRPr="000647D1">
        <w:rPr>
          <w:rFonts w:eastAsiaTheme="minorEastAsia"/>
          <w:szCs w:val="24"/>
          <w:lang w:val="es-ES_tradnl" w:eastAsia="ja-JP"/>
        </w:rPr>
        <w:t xml:space="preserve">INE ‘Cuentas de flujos de materiales Serie 1995-2008, Base 2010’. Disponible en: http://www.ine.es/daco/daco42/ambiente/aguasatelite/metflujos10.pdf </w:t>
      </w:r>
    </w:p>
    <w:p w:rsidR="00143208" w:rsidRPr="00724B46" w:rsidRDefault="00143208" w:rsidP="00143208">
      <w:pPr>
        <w:pStyle w:val="Text1"/>
        <w:ind w:left="0"/>
        <w:rPr>
          <w:rFonts w:eastAsiaTheme="minorEastAsia"/>
          <w:szCs w:val="24"/>
          <w:lang w:val="ca-ES" w:eastAsia="ja-JP"/>
        </w:rPr>
      </w:pPr>
      <w:r w:rsidRPr="00724B46">
        <w:rPr>
          <w:rFonts w:eastAsiaTheme="minorEastAsia"/>
          <w:szCs w:val="24"/>
          <w:lang w:val="ca-ES" w:eastAsia="ja-JP"/>
        </w:rPr>
        <w:t>Sastre, S. (2018) ‘Càlcul i anàlisi dels indicadors de fluxos materials a</w:t>
      </w:r>
      <w:r w:rsidR="009C2EC6">
        <w:rPr>
          <w:rFonts w:eastAsiaTheme="minorEastAsia"/>
          <w:szCs w:val="24"/>
          <w:lang w:val="ca-ES" w:eastAsia="ja-JP"/>
        </w:rPr>
        <w:t xml:space="preserve"> Catalunya</w:t>
      </w:r>
      <w:r w:rsidRPr="00724B46">
        <w:rPr>
          <w:rFonts w:eastAsiaTheme="minorEastAsia"/>
          <w:szCs w:val="24"/>
          <w:lang w:val="ca-ES" w:eastAsia="ja-JP"/>
        </w:rPr>
        <w:t xml:space="preserve">'. Informe </w:t>
      </w:r>
      <w:r w:rsidR="005208A4">
        <w:rPr>
          <w:rFonts w:eastAsiaTheme="minorEastAsia"/>
          <w:szCs w:val="24"/>
          <w:lang w:val="ca-ES" w:eastAsia="ja-JP"/>
        </w:rPr>
        <w:t>per a l’Institut</w:t>
      </w:r>
      <w:r w:rsidRPr="00724B46">
        <w:rPr>
          <w:rFonts w:eastAsiaTheme="minorEastAsia"/>
          <w:szCs w:val="24"/>
          <w:lang w:val="ca-ES" w:eastAsia="ja-JP"/>
        </w:rPr>
        <w:t xml:space="preserve"> d</w:t>
      </w:r>
      <w:r w:rsidR="005208A4">
        <w:rPr>
          <w:rFonts w:eastAsiaTheme="minorEastAsia"/>
          <w:szCs w:val="24"/>
          <w:lang w:val="ca-ES" w:eastAsia="ja-JP"/>
        </w:rPr>
        <w:t>’</w:t>
      </w:r>
      <w:r w:rsidRPr="00724B46">
        <w:rPr>
          <w:rFonts w:eastAsiaTheme="minorEastAsia"/>
          <w:szCs w:val="24"/>
          <w:lang w:val="ca-ES" w:eastAsia="ja-JP"/>
        </w:rPr>
        <w:t xml:space="preserve">Estadística de </w:t>
      </w:r>
      <w:r w:rsidR="009C2EC6">
        <w:rPr>
          <w:rFonts w:eastAsiaTheme="minorEastAsia"/>
          <w:szCs w:val="24"/>
          <w:lang w:val="ca-ES" w:eastAsia="ja-JP"/>
        </w:rPr>
        <w:t>Catalunya</w:t>
      </w:r>
      <w:r w:rsidR="005208A4">
        <w:rPr>
          <w:rFonts w:eastAsiaTheme="minorEastAsia"/>
          <w:szCs w:val="24"/>
          <w:lang w:val="ca-ES" w:eastAsia="ja-JP"/>
        </w:rPr>
        <w:t>.</w:t>
      </w:r>
    </w:p>
    <w:p w:rsidR="004215DC" w:rsidRPr="00C94A6D" w:rsidRDefault="004215DC" w:rsidP="004215DC">
      <w:pPr>
        <w:pStyle w:val="Text1"/>
        <w:ind w:left="0"/>
        <w:rPr>
          <w:rFonts w:eastAsiaTheme="minorEastAsia"/>
          <w:szCs w:val="24"/>
          <w:lang w:eastAsia="ja-JP"/>
        </w:rPr>
      </w:pPr>
      <w:r w:rsidRPr="00C94A6D">
        <w:rPr>
          <w:rFonts w:eastAsiaTheme="minorEastAsia"/>
          <w:szCs w:val="24"/>
          <w:lang w:eastAsia="ja-JP"/>
        </w:rPr>
        <w:t>Reg</w:t>
      </w:r>
      <w:r w:rsidR="009C38AE" w:rsidRPr="00C94A6D">
        <w:rPr>
          <w:rFonts w:eastAsiaTheme="minorEastAsia"/>
          <w:szCs w:val="24"/>
          <w:lang w:eastAsia="ja-JP"/>
        </w:rPr>
        <w:t>ulation</w:t>
      </w:r>
      <w:r w:rsidRPr="00C94A6D">
        <w:rPr>
          <w:rFonts w:eastAsiaTheme="minorEastAsia"/>
          <w:szCs w:val="24"/>
          <w:lang w:eastAsia="ja-JP"/>
        </w:rPr>
        <w:t xml:space="preserve"> (</w:t>
      </w:r>
      <w:r w:rsidR="009C38AE" w:rsidRPr="00C94A6D">
        <w:rPr>
          <w:rFonts w:eastAsiaTheme="minorEastAsia"/>
          <w:szCs w:val="24"/>
          <w:lang w:eastAsia="ja-JP"/>
        </w:rPr>
        <w:t>EU</w:t>
      </w:r>
      <w:r w:rsidRPr="00C94A6D">
        <w:rPr>
          <w:rFonts w:eastAsiaTheme="minorEastAsia"/>
          <w:szCs w:val="24"/>
          <w:lang w:eastAsia="ja-JP"/>
        </w:rPr>
        <w:t xml:space="preserve">) </w:t>
      </w:r>
      <w:r w:rsidR="009C38AE" w:rsidRPr="00C94A6D">
        <w:rPr>
          <w:rFonts w:eastAsiaTheme="minorEastAsia"/>
          <w:szCs w:val="24"/>
          <w:lang w:eastAsia="ja-JP"/>
        </w:rPr>
        <w:t xml:space="preserve">No </w:t>
      </w:r>
      <w:r w:rsidRPr="00C94A6D">
        <w:rPr>
          <w:rFonts w:eastAsiaTheme="minorEastAsia"/>
          <w:szCs w:val="24"/>
          <w:lang w:eastAsia="ja-JP"/>
        </w:rPr>
        <w:t xml:space="preserve">691/2011 </w:t>
      </w:r>
      <w:r w:rsidR="009C38AE" w:rsidRPr="00C94A6D">
        <w:rPr>
          <w:rFonts w:eastAsiaTheme="minorEastAsia"/>
          <w:szCs w:val="24"/>
          <w:lang w:eastAsia="ja-JP"/>
        </w:rPr>
        <w:t>of the European Parliament and of the Council of</w:t>
      </w:r>
      <w:r w:rsidRPr="00C94A6D">
        <w:rPr>
          <w:rFonts w:eastAsiaTheme="minorEastAsia"/>
          <w:szCs w:val="24"/>
          <w:lang w:eastAsia="ja-JP"/>
        </w:rPr>
        <w:t xml:space="preserve"> 6 </w:t>
      </w:r>
      <w:r w:rsidR="009C38AE" w:rsidRPr="00C94A6D">
        <w:rPr>
          <w:rFonts w:eastAsiaTheme="minorEastAsia"/>
          <w:szCs w:val="24"/>
          <w:lang w:eastAsia="ja-JP"/>
        </w:rPr>
        <w:t>J</w:t>
      </w:r>
      <w:r w:rsidRPr="00C94A6D">
        <w:rPr>
          <w:rFonts w:eastAsiaTheme="minorEastAsia"/>
          <w:szCs w:val="24"/>
          <w:lang w:eastAsia="ja-JP"/>
        </w:rPr>
        <w:t>ul</w:t>
      </w:r>
      <w:r w:rsidR="009C38AE" w:rsidRPr="00C94A6D">
        <w:rPr>
          <w:rFonts w:eastAsiaTheme="minorEastAsia"/>
          <w:szCs w:val="24"/>
          <w:lang w:eastAsia="ja-JP"/>
        </w:rPr>
        <w:t>y 2011 on European environmental economic accounts</w:t>
      </w:r>
    </w:p>
    <w:p w:rsidR="004215DC" w:rsidRPr="00C94A6D" w:rsidRDefault="00C52409" w:rsidP="009C38AE">
      <w:pPr>
        <w:pStyle w:val="Text1"/>
        <w:ind w:left="0"/>
        <w:rPr>
          <w:rFonts w:eastAsiaTheme="minorEastAsia"/>
          <w:szCs w:val="24"/>
          <w:lang w:eastAsia="ja-JP"/>
        </w:rPr>
      </w:pPr>
      <w:r w:rsidRPr="00C94A6D">
        <w:rPr>
          <w:rFonts w:eastAsiaTheme="minorEastAsia"/>
          <w:szCs w:val="24"/>
          <w:lang w:eastAsia="ja-JP"/>
        </w:rPr>
        <w:t>Regulation</w:t>
      </w:r>
      <w:r w:rsidR="004215DC" w:rsidRPr="00C94A6D">
        <w:rPr>
          <w:rFonts w:eastAsiaTheme="minorEastAsia"/>
          <w:szCs w:val="24"/>
          <w:lang w:eastAsia="ja-JP"/>
        </w:rPr>
        <w:t xml:space="preserve"> (</w:t>
      </w:r>
      <w:r w:rsidRPr="00C94A6D">
        <w:rPr>
          <w:rFonts w:eastAsiaTheme="minorEastAsia"/>
          <w:szCs w:val="24"/>
          <w:lang w:eastAsia="ja-JP"/>
        </w:rPr>
        <w:t>E</w:t>
      </w:r>
      <w:r w:rsidR="004215DC" w:rsidRPr="00C94A6D">
        <w:rPr>
          <w:rFonts w:eastAsiaTheme="minorEastAsia"/>
          <w:szCs w:val="24"/>
          <w:lang w:eastAsia="ja-JP"/>
        </w:rPr>
        <w:t xml:space="preserve">U) </w:t>
      </w:r>
      <w:r w:rsidR="009C38AE" w:rsidRPr="00C94A6D">
        <w:rPr>
          <w:rFonts w:eastAsiaTheme="minorEastAsia"/>
          <w:szCs w:val="24"/>
          <w:lang w:eastAsia="ja-JP"/>
        </w:rPr>
        <w:t xml:space="preserve">No </w:t>
      </w:r>
      <w:r w:rsidR="004215DC" w:rsidRPr="00C94A6D">
        <w:rPr>
          <w:rFonts w:eastAsiaTheme="minorEastAsia"/>
          <w:szCs w:val="24"/>
          <w:lang w:eastAsia="ja-JP"/>
        </w:rPr>
        <w:t xml:space="preserve">538/2014 </w:t>
      </w:r>
      <w:r w:rsidRPr="00C94A6D">
        <w:rPr>
          <w:rFonts w:eastAsiaTheme="minorEastAsia"/>
          <w:szCs w:val="24"/>
          <w:lang w:eastAsia="ja-JP"/>
        </w:rPr>
        <w:t xml:space="preserve">of the European Parliament and of the Council, of </w:t>
      </w:r>
      <w:r w:rsidR="004215DC" w:rsidRPr="00C94A6D">
        <w:rPr>
          <w:rFonts w:eastAsiaTheme="minorEastAsia"/>
          <w:szCs w:val="24"/>
          <w:lang w:eastAsia="ja-JP"/>
        </w:rPr>
        <w:t>de 1</w:t>
      </w:r>
      <w:r w:rsidRPr="00C94A6D">
        <w:rPr>
          <w:rFonts w:eastAsiaTheme="minorEastAsia"/>
          <w:szCs w:val="24"/>
          <w:lang w:eastAsia="ja-JP"/>
        </w:rPr>
        <w:t>6 April 2014 amending Regulation (EU) No 691</w:t>
      </w:r>
      <w:r w:rsidR="004215DC" w:rsidRPr="00C94A6D">
        <w:rPr>
          <w:rFonts w:eastAsiaTheme="minorEastAsia"/>
          <w:szCs w:val="24"/>
          <w:lang w:eastAsia="ja-JP"/>
        </w:rPr>
        <w:t>/2011</w:t>
      </w:r>
      <w:r w:rsidRPr="00C94A6D">
        <w:rPr>
          <w:rFonts w:eastAsiaTheme="minorEastAsia"/>
          <w:szCs w:val="24"/>
          <w:lang w:eastAsia="ja-JP"/>
        </w:rPr>
        <w:t xml:space="preserve"> on European environmental economic accounts.</w:t>
      </w:r>
    </w:p>
    <w:p w:rsidR="00C52409" w:rsidRDefault="00C52409" w:rsidP="00C52409">
      <w:pPr>
        <w:pStyle w:val="Default"/>
      </w:pPr>
    </w:p>
    <w:sectPr w:rsidR="00C52409" w:rsidSect="00BC6AFE">
      <w:footerReference w:type="default" r:id="rId16"/>
      <w:headerReference w:type="first" r:id="rId17"/>
      <w:footerReference w:type="first" r:id="rId18"/>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377" w:rsidRDefault="00A82377" w:rsidP="00BC6AFE">
      <w:pPr>
        <w:spacing w:after="0"/>
      </w:pPr>
      <w:r>
        <w:separator/>
      </w:r>
    </w:p>
  </w:endnote>
  <w:endnote w:type="continuationSeparator" w:id="0">
    <w:p w:rsidR="00A82377" w:rsidRDefault="00A82377"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Gotham Bold">
    <w:altName w:val="Arial"/>
    <w:panose1 w:val="00000000000000000000"/>
    <w:charset w:val="00"/>
    <w:family w:val="modern"/>
    <w:notTrueType/>
    <w:pitch w:val="variable"/>
    <w:sig w:usb0="00000001" w:usb1="4000005B" w:usb2="00000000" w:usb3="00000000" w:csb0="0000009B" w:csb1="00000000"/>
  </w:font>
  <w:font w:name="EUAlbertina">
    <w:altName w:val="EU Alberti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82" w:rsidRDefault="00D24082">
    <w:pPr>
      <w:pStyle w:val="Piedepgina"/>
      <w:jc w:val="center"/>
    </w:pPr>
    <w:r>
      <w:fldChar w:fldCharType="begin"/>
    </w:r>
    <w:r>
      <w:instrText>PAGE</w:instrText>
    </w:r>
    <w:r>
      <w:fldChar w:fldCharType="separate"/>
    </w:r>
    <w:r w:rsidR="00A854C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82" w:rsidRDefault="00D24082">
    <w:pPr>
      <w:pStyle w:val="Piedepgina"/>
      <w:rPr>
        <w:sz w:val="24"/>
        <w:szCs w:val="24"/>
      </w:rPr>
    </w:pPr>
  </w:p>
  <w:p w:rsidR="00D24082" w:rsidRDefault="00D24082">
    <w:pPr>
      <w:pStyle w:val="Piedepgina"/>
    </w:pPr>
    <w:r>
      <w:t>European Commission, 2920 Luxembourg, LUXEMBOURG - Tel. +352 43011</w:t>
    </w:r>
    <w:r>
      <w:br/>
      <w:t>Office: BECH A2/160 - Tel. direct line +352 4301-+352-4301-35934 - Fax +352 4301-+352-4301-33899</w:t>
    </w:r>
  </w:p>
  <w:p w:rsidR="00D24082" w:rsidRDefault="00D24082">
    <w:pPr>
      <w:pStyle w:val="Piedepgina"/>
    </w:pPr>
  </w:p>
  <w:p w:rsidR="00D24082" w:rsidRDefault="00D24082">
    <w:pPr>
      <w:pStyle w:val="Piedepgina"/>
    </w:pPr>
    <w:r>
      <w:t>http://epp.eurostat.ec.europa.eu</w:t>
    </w:r>
  </w:p>
  <w:p w:rsidR="00D24082" w:rsidRDefault="00D24082">
    <w:pPr>
      <w:pStyle w:val="Piedepgina"/>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377" w:rsidRDefault="00A82377" w:rsidP="00BC6AFE">
      <w:pPr>
        <w:spacing w:after="0"/>
      </w:pPr>
      <w:r>
        <w:separator/>
      </w:r>
    </w:p>
  </w:footnote>
  <w:footnote w:type="continuationSeparator" w:id="0">
    <w:p w:rsidR="00A82377" w:rsidRDefault="00A82377" w:rsidP="00BC6A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82" w:rsidRDefault="00D24082">
    <w:pPr>
      <w:pStyle w:val="Encabezado"/>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3"/>
    <w:multiLevelType w:val="singleLevel"/>
    <w:tmpl w:val="00000003"/>
    <w:name w:val="WW8Num3"/>
    <w:lvl w:ilvl="0">
      <w:start w:val="1"/>
      <w:numFmt w:val="bullet"/>
      <w:pStyle w:val="Referencias"/>
      <w:lvlText w:val=""/>
      <w:lvlJc w:val="left"/>
      <w:pPr>
        <w:tabs>
          <w:tab w:val="num" w:pos="360"/>
        </w:tabs>
        <w:ind w:left="360" w:hanging="360"/>
      </w:pPr>
      <w:rPr>
        <w:rFonts w:ascii="Symbol" w:hAnsi="Symbol" w:cs="Symbol"/>
        <w:color w:val="000000"/>
      </w:rPr>
    </w:lvl>
  </w:abstractNum>
  <w:abstractNum w:abstractNumId="3" w15:restartNumberingAfterBreak="0">
    <w:nsid w:val="055652B5"/>
    <w:multiLevelType w:val="multilevel"/>
    <w:tmpl w:val="B10A6748"/>
    <w:lvl w:ilvl="0">
      <w:start w:val="1"/>
      <w:numFmt w:val="decimal"/>
      <w:pStyle w:val="Listaconnmeros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Listaconvietas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aconvietas3"/>
      <w:lvlText w:val=""/>
      <w:lvlJc w:val="left"/>
      <w:pPr>
        <w:tabs>
          <w:tab w:val="num" w:pos="2199"/>
        </w:tabs>
        <w:ind w:left="2199" w:hanging="283"/>
      </w:pPr>
      <w:rPr>
        <w:rFonts w:ascii="Symbol" w:hAnsi="Symbol"/>
      </w:rPr>
    </w:lvl>
  </w:abstractNum>
  <w:abstractNum w:abstractNumId="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15:restartNumberingAfterBreak="0">
    <w:nsid w:val="2C8D5AD3"/>
    <w:multiLevelType w:val="singleLevel"/>
    <w:tmpl w:val="82EE6B70"/>
    <w:lvl w:ilvl="0">
      <w:start w:val="1"/>
      <w:numFmt w:val="bullet"/>
      <w:pStyle w:val="Listaconvietas2"/>
      <w:lvlText w:val=""/>
      <w:lvlJc w:val="left"/>
      <w:pPr>
        <w:tabs>
          <w:tab w:val="num" w:pos="1360"/>
        </w:tabs>
        <w:ind w:left="1360" w:hanging="283"/>
      </w:pPr>
      <w:rPr>
        <w:rFonts w:ascii="Symbol" w:hAnsi="Symbol"/>
      </w:rPr>
    </w:lvl>
  </w:abstractNum>
  <w:abstractNum w:abstractNumId="9" w15:restartNumberingAfterBreak="0">
    <w:nsid w:val="35DB5FBA"/>
    <w:multiLevelType w:val="hybridMultilevel"/>
    <w:tmpl w:val="63284F6C"/>
    <w:lvl w:ilvl="0" w:tplc="04030005">
      <w:start w:val="1"/>
      <w:numFmt w:val="bullet"/>
      <w:lvlText w:val=""/>
      <w:lvlJc w:val="left"/>
      <w:pPr>
        <w:ind w:left="360" w:hanging="360"/>
      </w:pPr>
      <w:rPr>
        <w:rFonts w:ascii="Wingdings" w:hAnsi="Wingdings" w:hint="default"/>
      </w:rPr>
    </w:lvl>
    <w:lvl w:ilvl="1" w:tplc="5EFE91E0">
      <w:numFmt w:val="bullet"/>
      <w:lvlText w:val="-"/>
      <w:lvlJc w:val="left"/>
      <w:pPr>
        <w:ind w:left="1080" w:hanging="360"/>
      </w:pPr>
      <w:rPr>
        <w:rFonts w:ascii="Times New Roman" w:eastAsia="Times New Roman" w:hAnsi="Times New Roman" w:cs="Times New Roman"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3E2E324C"/>
    <w:multiLevelType w:val="multilevel"/>
    <w:tmpl w:val="C9FA277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1A0466C"/>
    <w:multiLevelType w:val="hybridMultilevel"/>
    <w:tmpl w:val="D576A696"/>
    <w:lvl w:ilvl="0" w:tplc="04030005">
      <w:start w:val="1"/>
      <w:numFmt w:val="bullet"/>
      <w:lvlText w:val=""/>
      <w:lvlJc w:val="left"/>
      <w:pPr>
        <w:ind w:left="360" w:hanging="360"/>
      </w:pPr>
      <w:rPr>
        <w:rFonts w:ascii="Wingdings" w:hAnsi="Wingdings"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3" w15:restartNumberingAfterBreak="0">
    <w:nsid w:val="428415E7"/>
    <w:multiLevelType w:val="multilevel"/>
    <w:tmpl w:val="92100ADA"/>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5481EA4"/>
    <w:multiLevelType w:val="multilevel"/>
    <w:tmpl w:val="28525E6E"/>
    <w:lvl w:ilvl="0">
      <w:start w:val="1"/>
      <w:numFmt w:val="decimal"/>
      <w:pStyle w:val="Listaconnmeros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8860AAB"/>
    <w:multiLevelType w:val="multilevel"/>
    <w:tmpl w:val="E8744BD2"/>
    <w:lvl w:ilvl="0">
      <w:start w:val="1"/>
      <w:numFmt w:val="decimal"/>
      <w:pStyle w:val="Listaconnmeros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A432656"/>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BD0BEC"/>
    <w:multiLevelType w:val="singleLevel"/>
    <w:tmpl w:val="72D6F376"/>
    <w:lvl w:ilvl="0">
      <w:start w:val="1"/>
      <w:numFmt w:val="bullet"/>
      <w:pStyle w:val="Listaconvietas"/>
      <w:lvlText w:val=""/>
      <w:lvlJc w:val="left"/>
      <w:pPr>
        <w:tabs>
          <w:tab w:val="num" w:pos="283"/>
        </w:tabs>
        <w:ind w:left="283" w:hanging="283"/>
      </w:pPr>
      <w:rPr>
        <w:rFonts w:ascii="Symbol" w:hAnsi="Symbol"/>
      </w:rPr>
    </w:lvl>
  </w:abstractNum>
  <w:abstractNum w:abstractNumId="19" w15:restartNumberingAfterBreak="0">
    <w:nsid w:val="5B1C7941"/>
    <w:multiLevelType w:val="hybridMultilevel"/>
    <w:tmpl w:val="2D4AE67C"/>
    <w:lvl w:ilvl="0" w:tplc="1B84DF82">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3" w15:restartNumberingAfterBreak="0">
    <w:nsid w:val="6AA217E5"/>
    <w:multiLevelType w:val="hybridMultilevel"/>
    <w:tmpl w:val="9EA6B60E"/>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5" w15:restartNumberingAfterBreak="0">
    <w:nsid w:val="732E7E71"/>
    <w:multiLevelType w:val="hybridMultilevel"/>
    <w:tmpl w:val="C5A261F2"/>
    <w:lvl w:ilvl="0" w:tplc="996C53A8">
      <w:start w:val="1"/>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758D7906"/>
    <w:multiLevelType w:val="hybridMultilevel"/>
    <w:tmpl w:val="642A330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
  </w:num>
  <w:num w:numId="2">
    <w:abstractNumId w:val="0"/>
  </w:num>
  <w:num w:numId="3">
    <w:abstractNumId w:val="17"/>
  </w:num>
  <w:num w:numId="4">
    <w:abstractNumId w:val="18"/>
  </w:num>
  <w:num w:numId="5">
    <w:abstractNumId w:val="10"/>
  </w:num>
  <w:num w:numId="6">
    <w:abstractNumId w:val="8"/>
  </w:num>
  <w:num w:numId="7">
    <w:abstractNumId w:val="6"/>
  </w:num>
  <w:num w:numId="8">
    <w:abstractNumId w:val="5"/>
  </w:num>
  <w:num w:numId="9">
    <w:abstractNumId w:val="20"/>
  </w:num>
  <w:num w:numId="10">
    <w:abstractNumId w:val="22"/>
  </w:num>
  <w:num w:numId="11">
    <w:abstractNumId w:val="21"/>
  </w:num>
  <w:num w:numId="12">
    <w:abstractNumId w:val="24"/>
  </w:num>
  <w:num w:numId="13">
    <w:abstractNumId w:val="7"/>
  </w:num>
  <w:num w:numId="14">
    <w:abstractNumId w:val="13"/>
  </w:num>
  <w:num w:numId="15">
    <w:abstractNumId w:val="15"/>
  </w:num>
  <w:num w:numId="16">
    <w:abstractNumId w:val="14"/>
  </w:num>
  <w:num w:numId="17">
    <w:abstractNumId w:val="3"/>
  </w:num>
  <w:num w:numId="18">
    <w:abstractNumId w:val="16"/>
  </w:num>
  <w:num w:numId="19">
    <w:abstractNumId w:val="17"/>
  </w:num>
  <w:num w:numId="20">
    <w:abstractNumId w:val="4"/>
  </w:num>
  <w:num w:numId="21">
    <w:abstractNumId w:val="25"/>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9"/>
  </w:num>
  <w:num w:numId="25">
    <w:abstractNumId w:val="2"/>
  </w:num>
  <w:num w:numId="26">
    <w:abstractNumId w:val="26"/>
  </w:num>
  <w:num w:numId="27">
    <w:abstractNumId w:val="17"/>
  </w:num>
  <w:num w:numId="28">
    <w:abstractNumId w:val="17"/>
  </w:num>
  <w:num w:numId="29">
    <w:abstractNumId w:val="9"/>
  </w:num>
  <w:num w:numId="30">
    <w:abstractNumId w:val="11"/>
  </w:num>
  <w:num w:numId="3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F45F39"/>
    <w:rsid w:val="00000453"/>
    <w:rsid w:val="00010675"/>
    <w:rsid w:val="00013D11"/>
    <w:rsid w:val="000238A4"/>
    <w:rsid w:val="00043F1F"/>
    <w:rsid w:val="000502EC"/>
    <w:rsid w:val="00057DFB"/>
    <w:rsid w:val="000642A1"/>
    <w:rsid w:val="000647D1"/>
    <w:rsid w:val="000666CB"/>
    <w:rsid w:val="00072F93"/>
    <w:rsid w:val="00081AB1"/>
    <w:rsid w:val="0009063E"/>
    <w:rsid w:val="000B5F90"/>
    <w:rsid w:val="000D7194"/>
    <w:rsid w:val="000E54DD"/>
    <w:rsid w:val="000F7438"/>
    <w:rsid w:val="000F7752"/>
    <w:rsid w:val="00102FA8"/>
    <w:rsid w:val="00104853"/>
    <w:rsid w:val="0010561F"/>
    <w:rsid w:val="00107AC5"/>
    <w:rsid w:val="00122C46"/>
    <w:rsid w:val="00127067"/>
    <w:rsid w:val="00130F2A"/>
    <w:rsid w:val="00141268"/>
    <w:rsid w:val="00143208"/>
    <w:rsid w:val="0014738C"/>
    <w:rsid w:val="00147742"/>
    <w:rsid w:val="00161599"/>
    <w:rsid w:val="001857CF"/>
    <w:rsid w:val="00193C92"/>
    <w:rsid w:val="00197396"/>
    <w:rsid w:val="001A7CD3"/>
    <w:rsid w:val="001B50CE"/>
    <w:rsid w:val="001D1D9A"/>
    <w:rsid w:val="00200077"/>
    <w:rsid w:val="002012A8"/>
    <w:rsid w:val="00201BC2"/>
    <w:rsid w:val="00215CF5"/>
    <w:rsid w:val="00237B2F"/>
    <w:rsid w:val="00243A2C"/>
    <w:rsid w:val="002657B9"/>
    <w:rsid w:val="002729F2"/>
    <w:rsid w:val="002821AA"/>
    <w:rsid w:val="002863E0"/>
    <w:rsid w:val="002935F8"/>
    <w:rsid w:val="002A123C"/>
    <w:rsid w:val="002A2CA5"/>
    <w:rsid w:val="002B0973"/>
    <w:rsid w:val="002C0F48"/>
    <w:rsid w:val="002D0DC0"/>
    <w:rsid w:val="002D7BA1"/>
    <w:rsid w:val="002E5FB9"/>
    <w:rsid w:val="002F01C8"/>
    <w:rsid w:val="00305F98"/>
    <w:rsid w:val="003275E6"/>
    <w:rsid w:val="00332D6F"/>
    <w:rsid w:val="0034159D"/>
    <w:rsid w:val="00351468"/>
    <w:rsid w:val="003600BC"/>
    <w:rsid w:val="003714CF"/>
    <w:rsid w:val="003773BD"/>
    <w:rsid w:val="0038639C"/>
    <w:rsid w:val="003B3421"/>
    <w:rsid w:val="003B659E"/>
    <w:rsid w:val="003C203D"/>
    <w:rsid w:val="003D30B8"/>
    <w:rsid w:val="00401835"/>
    <w:rsid w:val="00420CF5"/>
    <w:rsid w:val="004215DC"/>
    <w:rsid w:val="00434B06"/>
    <w:rsid w:val="00440184"/>
    <w:rsid w:val="00467BC0"/>
    <w:rsid w:val="00494B1A"/>
    <w:rsid w:val="004A042A"/>
    <w:rsid w:val="004A11C4"/>
    <w:rsid w:val="004C5E6E"/>
    <w:rsid w:val="004E1AE8"/>
    <w:rsid w:val="005009FC"/>
    <w:rsid w:val="00502490"/>
    <w:rsid w:val="005208A4"/>
    <w:rsid w:val="00521C0F"/>
    <w:rsid w:val="00527F15"/>
    <w:rsid w:val="005406D4"/>
    <w:rsid w:val="00546C42"/>
    <w:rsid w:val="00573E28"/>
    <w:rsid w:val="005B11D0"/>
    <w:rsid w:val="005B4EA5"/>
    <w:rsid w:val="005B78A3"/>
    <w:rsid w:val="005D0C02"/>
    <w:rsid w:val="005D680D"/>
    <w:rsid w:val="006179DF"/>
    <w:rsid w:val="006312AF"/>
    <w:rsid w:val="00664461"/>
    <w:rsid w:val="00677514"/>
    <w:rsid w:val="006875D6"/>
    <w:rsid w:val="00696125"/>
    <w:rsid w:val="006A0982"/>
    <w:rsid w:val="006C02B3"/>
    <w:rsid w:val="006C4551"/>
    <w:rsid w:val="006E6225"/>
    <w:rsid w:val="006F24D7"/>
    <w:rsid w:val="006F435A"/>
    <w:rsid w:val="00705DFE"/>
    <w:rsid w:val="00712BF9"/>
    <w:rsid w:val="00714F43"/>
    <w:rsid w:val="00724B46"/>
    <w:rsid w:val="00735857"/>
    <w:rsid w:val="00744F90"/>
    <w:rsid w:val="00760856"/>
    <w:rsid w:val="00760A2B"/>
    <w:rsid w:val="00763FF7"/>
    <w:rsid w:val="007744FF"/>
    <w:rsid w:val="007828EA"/>
    <w:rsid w:val="007854DB"/>
    <w:rsid w:val="00794BD2"/>
    <w:rsid w:val="00795AF4"/>
    <w:rsid w:val="007A0971"/>
    <w:rsid w:val="007B165F"/>
    <w:rsid w:val="007B181C"/>
    <w:rsid w:val="007C0703"/>
    <w:rsid w:val="007C4367"/>
    <w:rsid w:val="007C510C"/>
    <w:rsid w:val="007F26CD"/>
    <w:rsid w:val="007F4DB1"/>
    <w:rsid w:val="008022F1"/>
    <w:rsid w:val="00805532"/>
    <w:rsid w:val="0081668A"/>
    <w:rsid w:val="00820BDC"/>
    <w:rsid w:val="00823E9D"/>
    <w:rsid w:val="00835E1E"/>
    <w:rsid w:val="00836887"/>
    <w:rsid w:val="00843224"/>
    <w:rsid w:val="00855FCF"/>
    <w:rsid w:val="0086390C"/>
    <w:rsid w:val="008847C3"/>
    <w:rsid w:val="00894E0B"/>
    <w:rsid w:val="00895946"/>
    <w:rsid w:val="008A339F"/>
    <w:rsid w:val="008A3986"/>
    <w:rsid w:val="008A75D0"/>
    <w:rsid w:val="008D2085"/>
    <w:rsid w:val="008E29ED"/>
    <w:rsid w:val="008F7139"/>
    <w:rsid w:val="00906811"/>
    <w:rsid w:val="00912A5D"/>
    <w:rsid w:val="00922F2D"/>
    <w:rsid w:val="00923850"/>
    <w:rsid w:val="00933DC8"/>
    <w:rsid w:val="009624C9"/>
    <w:rsid w:val="0098271F"/>
    <w:rsid w:val="009871C8"/>
    <w:rsid w:val="009A41E5"/>
    <w:rsid w:val="009B4EE0"/>
    <w:rsid w:val="009B52C7"/>
    <w:rsid w:val="009B61F8"/>
    <w:rsid w:val="009C1340"/>
    <w:rsid w:val="009C2EC6"/>
    <w:rsid w:val="009C38AE"/>
    <w:rsid w:val="009D4EA3"/>
    <w:rsid w:val="009D69E4"/>
    <w:rsid w:val="009E2671"/>
    <w:rsid w:val="009E3CEF"/>
    <w:rsid w:val="00A04E9E"/>
    <w:rsid w:val="00A1271D"/>
    <w:rsid w:val="00A17E8C"/>
    <w:rsid w:val="00A427EA"/>
    <w:rsid w:val="00A56C6E"/>
    <w:rsid w:val="00A82377"/>
    <w:rsid w:val="00A83CC7"/>
    <w:rsid w:val="00A854C3"/>
    <w:rsid w:val="00A86310"/>
    <w:rsid w:val="00AA70B4"/>
    <w:rsid w:val="00AB4423"/>
    <w:rsid w:val="00AC7FFE"/>
    <w:rsid w:val="00AE1E73"/>
    <w:rsid w:val="00AF64CB"/>
    <w:rsid w:val="00B00AB6"/>
    <w:rsid w:val="00B023B5"/>
    <w:rsid w:val="00B112A6"/>
    <w:rsid w:val="00B1330D"/>
    <w:rsid w:val="00B214D4"/>
    <w:rsid w:val="00B21BE8"/>
    <w:rsid w:val="00B50622"/>
    <w:rsid w:val="00B7376B"/>
    <w:rsid w:val="00B93DCF"/>
    <w:rsid w:val="00B9492F"/>
    <w:rsid w:val="00BC17F5"/>
    <w:rsid w:val="00BC4A06"/>
    <w:rsid w:val="00BC6AFE"/>
    <w:rsid w:val="00BF1D46"/>
    <w:rsid w:val="00C01B4D"/>
    <w:rsid w:val="00C11979"/>
    <w:rsid w:val="00C34E67"/>
    <w:rsid w:val="00C35978"/>
    <w:rsid w:val="00C52409"/>
    <w:rsid w:val="00C620ED"/>
    <w:rsid w:val="00C72F98"/>
    <w:rsid w:val="00C76895"/>
    <w:rsid w:val="00C768CE"/>
    <w:rsid w:val="00C77FA8"/>
    <w:rsid w:val="00C856B7"/>
    <w:rsid w:val="00C8684B"/>
    <w:rsid w:val="00C94A6D"/>
    <w:rsid w:val="00CA7E38"/>
    <w:rsid w:val="00CC0162"/>
    <w:rsid w:val="00CC2E8F"/>
    <w:rsid w:val="00CC45FD"/>
    <w:rsid w:val="00CE1B21"/>
    <w:rsid w:val="00CF3793"/>
    <w:rsid w:val="00CF3E2E"/>
    <w:rsid w:val="00CF663C"/>
    <w:rsid w:val="00D01202"/>
    <w:rsid w:val="00D12F44"/>
    <w:rsid w:val="00D24082"/>
    <w:rsid w:val="00D338F9"/>
    <w:rsid w:val="00D34B7C"/>
    <w:rsid w:val="00D4778F"/>
    <w:rsid w:val="00D52EA1"/>
    <w:rsid w:val="00D61579"/>
    <w:rsid w:val="00D66290"/>
    <w:rsid w:val="00DB601E"/>
    <w:rsid w:val="00DB7A29"/>
    <w:rsid w:val="00DC1EFD"/>
    <w:rsid w:val="00DC71A3"/>
    <w:rsid w:val="00DD496E"/>
    <w:rsid w:val="00DF3727"/>
    <w:rsid w:val="00E02232"/>
    <w:rsid w:val="00E128EE"/>
    <w:rsid w:val="00E26D13"/>
    <w:rsid w:val="00E27504"/>
    <w:rsid w:val="00E36B9D"/>
    <w:rsid w:val="00EE0856"/>
    <w:rsid w:val="00EE55D9"/>
    <w:rsid w:val="00EE56FA"/>
    <w:rsid w:val="00F318A2"/>
    <w:rsid w:val="00F41047"/>
    <w:rsid w:val="00F45F39"/>
    <w:rsid w:val="00F477DA"/>
    <w:rsid w:val="00F63B86"/>
    <w:rsid w:val="00F6566F"/>
    <w:rsid w:val="00F70EA7"/>
    <w:rsid w:val="00F75475"/>
    <w:rsid w:val="00F84BEC"/>
    <w:rsid w:val="00F860C9"/>
    <w:rsid w:val="00F9396F"/>
    <w:rsid w:val="00FB4593"/>
    <w:rsid w:val="00FB45A5"/>
    <w:rsid w:val="00FB4767"/>
    <w:rsid w:val="00FC5A50"/>
    <w:rsid w:val="00FC6C88"/>
    <w:rsid w:val="00FD253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4EE4F29-ACA0-4EAD-8B92-7D364831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s-ES_trad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EA1"/>
    <w:pPr>
      <w:spacing w:after="240"/>
      <w:jc w:val="both"/>
    </w:pPr>
    <w:rPr>
      <w:sz w:val="24"/>
      <w:lang w:eastAsia="en-US"/>
    </w:rPr>
  </w:style>
  <w:style w:type="paragraph" w:styleId="Ttulo1">
    <w:name w:val="heading 1"/>
    <w:basedOn w:val="Normal"/>
    <w:next w:val="Text1"/>
    <w:link w:val="Ttulo1Car"/>
    <w:qFormat/>
    <w:pPr>
      <w:keepNext/>
      <w:spacing w:before="240"/>
      <w:outlineLvl w:val="0"/>
    </w:pPr>
    <w:rPr>
      <w:b/>
      <w:smallCaps/>
    </w:rPr>
  </w:style>
  <w:style w:type="paragraph" w:styleId="Ttulo2">
    <w:name w:val="heading 2"/>
    <w:basedOn w:val="Normal"/>
    <w:next w:val="Text2"/>
    <w:link w:val="Ttulo2Car"/>
    <w:qFormat/>
    <w:pPr>
      <w:keepNext/>
      <w:outlineLvl w:val="1"/>
    </w:pPr>
    <w:rPr>
      <w:b/>
    </w:rPr>
  </w:style>
  <w:style w:type="paragraph" w:styleId="Ttulo3">
    <w:name w:val="heading 3"/>
    <w:basedOn w:val="Normal"/>
    <w:next w:val="Text3"/>
    <w:qFormat/>
    <w:pPr>
      <w:keepNext/>
      <w:outlineLvl w:val="2"/>
    </w:pPr>
    <w:rPr>
      <w:i/>
    </w:rPr>
  </w:style>
  <w:style w:type="paragraph" w:styleId="Ttulo4">
    <w:name w:val="heading 4"/>
    <w:basedOn w:val="Normal"/>
    <w:next w:val="Text4"/>
    <w:qFormat/>
    <w:pPr>
      <w:keepNext/>
      <w:outlineLvl w:val="3"/>
    </w:pPr>
  </w:style>
  <w:style w:type="paragraph" w:styleId="Ttulo5">
    <w:name w:val="heading 5"/>
    <w:basedOn w:val="Normal"/>
    <w:next w:val="Normal"/>
    <w:qFormat/>
    <w:pPr>
      <w:spacing w:before="240" w:after="60"/>
      <w:ind w:left="3332" w:hanging="708"/>
      <w:outlineLvl w:val="4"/>
    </w:pPr>
    <w:rPr>
      <w:rFonts w:ascii="Arial" w:hAnsi="Arial"/>
      <w:sz w:val="22"/>
    </w:rPr>
  </w:style>
  <w:style w:type="paragraph" w:styleId="Ttulo6">
    <w:name w:val="heading 6"/>
    <w:basedOn w:val="Normal"/>
    <w:next w:val="Normal"/>
    <w:qFormat/>
    <w:pPr>
      <w:spacing w:before="240" w:after="60"/>
      <w:ind w:left="4040" w:hanging="708"/>
      <w:outlineLvl w:val="5"/>
    </w:pPr>
    <w:rPr>
      <w:rFonts w:ascii="Arial" w:hAnsi="Arial"/>
      <w:i/>
      <w:sz w:val="22"/>
    </w:rPr>
  </w:style>
  <w:style w:type="paragraph" w:styleId="Ttulo7">
    <w:name w:val="heading 7"/>
    <w:basedOn w:val="Normal"/>
    <w:next w:val="Normal"/>
    <w:qFormat/>
    <w:pPr>
      <w:spacing w:before="240" w:after="60"/>
      <w:ind w:left="4748" w:hanging="708"/>
      <w:outlineLvl w:val="6"/>
    </w:pPr>
    <w:rPr>
      <w:rFonts w:ascii="Arial" w:hAnsi="Arial"/>
      <w:sz w:val="20"/>
    </w:rPr>
  </w:style>
  <w:style w:type="paragraph" w:styleId="Ttulo8">
    <w:name w:val="heading 8"/>
    <w:basedOn w:val="Normal"/>
    <w:next w:val="Normal"/>
    <w:qFormat/>
    <w:pPr>
      <w:spacing w:before="240" w:after="60"/>
      <w:ind w:left="5456" w:hanging="708"/>
      <w:outlineLvl w:val="7"/>
    </w:pPr>
    <w:rPr>
      <w:rFonts w:ascii="Arial" w:hAnsi="Arial"/>
      <w:i/>
      <w:sz w:val="20"/>
    </w:rPr>
  </w:style>
  <w:style w:type="paragraph" w:styleId="Ttulo9">
    <w:name w:val="heading 9"/>
    <w:basedOn w:val="Normal"/>
    <w:next w:val="Normal"/>
    <w:qFormat/>
    <w:pPr>
      <w:spacing w:before="240" w:after="60"/>
      <w:ind w:left="6164" w:hanging="708"/>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qFormat/>
    <w:pPr>
      <w:spacing w:before="120" w:after="120"/>
    </w:pPr>
    <w:rPr>
      <w:b/>
    </w:rPr>
  </w:style>
  <w:style w:type="paragraph" w:styleId="Cierre">
    <w:name w:val="Closing"/>
    <w:basedOn w:val="Normal"/>
    <w:next w:val="Firma"/>
    <w:pPr>
      <w:tabs>
        <w:tab w:val="left" w:pos="5103"/>
      </w:tabs>
      <w:spacing w:before="240"/>
      <w:ind w:left="5103"/>
      <w:jc w:val="left"/>
    </w:pPr>
  </w:style>
  <w:style w:type="paragraph" w:styleId="Firma">
    <w:name w:val="Signature"/>
    <w:basedOn w:val="Normal"/>
    <w:next w:val="Contact"/>
    <w:link w:val="FirmaC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Textocomentario">
    <w:name w:val="annotation text"/>
    <w:basedOn w:val="Normal"/>
    <w:semiHidden/>
    <w:rPr>
      <w:sz w:val="20"/>
    </w:rPr>
  </w:style>
  <w:style w:type="paragraph" w:styleId="Fecha">
    <w:name w:val="Date"/>
    <w:basedOn w:val="Normal"/>
    <w:next w:val="References"/>
    <w:link w:val="FechaC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rPr>
  </w:style>
  <w:style w:type="paragraph" w:styleId="Textonotapie">
    <w:name w:val="footnote text"/>
    <w:basedOn w:val="Normal"/>
    <w:semiHidden/>
    <w:pPr>
      <w:ind w:left="357" w:hanging="357"/>
    </w:pPr>
    <w:rPr>
      <w:sz w:val="20"/>
    </w:rPr>
  </w:style>
  <w:style w:type="paragraph" w:styleId="Encabezado">
    <w:name w:val="header"/>
    <w:basedOn w:val="Normal"/>
    <w:link w:val="EncabezadoCar"/>
    <w:uiPriority w:val="99"/>
    <w:pPr>
      <w:tabs>
        <w:tab w:val="center" w:pos="4153"/>
        <w:tab w:val="right" w:pos="8306"/>
      </w:tabs>
    </w:p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160"/>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160"/>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pPr>
      <w:ind w:left="720"/>
    </w:p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Subttulo">
    <w:name w:val="Subtitle"/>
    <w:basedOn w:val="Normal"/>
    <w:qFormat/>
    <w:pPr>
      <w:spacing w:after="60"/>
      <w:jc w:val="center"/>
      <w:outlineLvl w:val="1"/>
    </w:pPr>
    <w:rPr>
      <w:rFonts w:ascii="Arial" w:hAnsi="Arial"/>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Puesto">
    <w:name w:val="Title"/>
    <w:basedOn w:val="Normal"/>
    <w:qFormat/>
    <w:pPr>
      <w:spacing w:before="240" w:after="60"/>
      <w:jc w:val="center"/>
      <w:outlineLvl w:val="0"/>
    </w:pPr>
    <w:rPr>
      <w:rFonts w:ascii="Arial" w:hAnsi="Arial"/>
      <w:b/>
      <w:kern w:val="28"/>
      <w:sz w:val="32"/>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tulodeTDC">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Hipervnculovisitado">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PiedepginaCar">
    <w:name w:val="Pie de página Car"/>
    <w:link w:val="Piedepgina"/>
    <w:uiPriority w:val="99"/>
    <w:rsid w:val="00BC6AFE"/>
    <w:rPr>
      <w:rFonts w:ascii="Arial" w:hAnsi="Arial"/>
      <w:sz w:val="16"/>
      <w:lang w:eastAsia="en-US"/>
    </w:rPr>
  </w:style>
  <w:style w:type="character" w:customStyle="1" w:styleId="FechaCar">
    <w:name w:val="Fecha Car"/>
    <w:link w:val="Fecha"/>
    <w:uiPriority w:val="99"/>
    <w:rsid w:val="00BC6AFE"/>
    <w:rPr>
      <w:sz w:val="24"/>
      <w:lang w:eastAsia="en-US"/>
    </w:rPr>
  </w:style>
  <w:style w:type="character" w:customStyle="1" w:styleId="FirmaCar">
    <w:name w:val="Firma Car"/>
    <w:link w:val="Firma"/>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EncabezadoCar">
    <w:name w:val="Encabezado Car"/>
    <w:link w:val="Encabezado"/>
    <w:uiPriority w:val="99"/>
    <w:rsid w:val="00BC6AFE"/>
    <w:rPr>
      <w:sz w:val="24"/>
      <w:lang w:eastAsia="en-US"/>
    </w:rPr>
  </w:style>
  <w:style w:type="character" w:customStyle="1" w:styleId="Ttulo2Car">
    <w:name w:val="Título 2 Car"/>
    <w:link w:val="Ttulo2"/>
    <w:rsid w:val="00BC6AFE"/>
    <w:rPr>
      <w:b/>
      <w:sz w:val="24"/>
      <w:lang w:eastAsia="en-US"/>
    </w:rPr>
  </w:style>
  <w:style w:type="character" w:customStyle="1" w:styleId="Ttulo1Car">
    <w:name w:val="Título 1 Car"/>
    <w:link w:val="Ttulo1"/>
    <w:rsid w:val="00BC6AFE"/>
    <w:rPr>
      <w:b/>
      <w:smallCaps/>
      <w:sz w:val="24"/>
      <w:lang w:eastAsia="en-US"/>
    </w:rPr>
  </w:style>
  <w:style w:type="table" w:styleId="Tablaconcuadrcula">
    <w:name w:val="Table Grid"/>
    <w:basedOn w:val="Tablanormal"/>
    <w:uiPriority w:val="3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
    <w:name w:val="Paràgraf"/>
    <w:basedOn w:val="Normal"/>
    <w:link w:val="PargrafCar"/>
    <w:qFormat/>
    <w:rsid w:val="00F45F39"/>
    <w:pPr>
      <w:spacing w:after="120" w:line="360" w:lineRule="auto"/>
    </w:pPr>
    <w:rPr>
      <w:rFonts w:ascii="Arial" w:eastAsia="Calibri" w:hAnsi="Arial" w:cs="Arial"/>
      <w:sz w:val="20"/>
    </w:rPr>
  </w:style>
  <w:style w:type="character" w:customStyle="1" w:styleId="PargrafCar">
    <w:name w:val="Paràgraf Car"/>
    <w:link w:val="Pargraf"/>
    <w:rsid w:val="00F45F39"/>
    <w:rPr>
      <w:rFonts w:ascii="Arial" w:eastAsia="Calibri" w:hAnsi="Arial" w:cs="Arial"/>
      <w:lang w:eastAsia="en-US"/>
    </w:rPr>
  </w:style>
  <w:style w:type="paragraph" w:styleId="Textodeglobo">
    <w:name w:val="Balloon Text"/>
    <w:basedOn w:val="Normal"/>
    <w:link w:val="TextodegloboCar"/>
    <w:uiPriority w:val="99"/>
    <w:semiHidden/>
    <w:unhideWhenUsed/>
    <w:rsid w:val="00F63B86"/>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3B86"/>
    <w:rPr>
      <w:rFonts w:ascii="Segoe UI" w:hAnsi="Segoe UI" w:cs="Segoe UI"/>
      <w:sz w:val="18"/>
      <w:szCs w:val="18"/>
      <w:lang w:val="en-GB" w:eastAsia="en-US"/>
    </w:rPr>
  </w:style>
  <w:style w:type="paragraph" w:styleId="HTMLconformatoprevio">
    <w:name w:val="HTML Preformatted"/>
    <w:basedOn w:val="Normal"/>
    <w:link w:val="HTMLconformatoprevioCar"/>
    <w:uiPriority w:val="99"/>
    <w:semiHidden/>
    <w:unhideWhenUsed/>
    <w:rsid w:val="002729F2"/>
    <w:pPr>
      <w:spacing w:after="0"/>
    </w:pPr>
    <w:rPr>
      <w:rFonts w:ascii="Consolas" w:hAnsi="Consolas" w:cs="Consolas"/>
      <w:sz w:val="20"/>
    </w:rPr>
  </w:style>
  <w:style w:type="character" w:customStyle="1" w:styleId="HTMLconformatoprevioCar">
    <w:name w:val="HTML con formato previo Car"/>
    <w:basedOn w:val="Fuentedeprrafopredeter"/>
    <w:link w:val="HTMLconformatoprevio"/>
    <w:uiPriority w:val="99"/>
    <w:semiHidden/>
    <w:rsid w:val="002729F2"/>
    <w:rPr>
      <w:rFonts w:ascii="Consolas" w:hAnsi="Consolas" w:cs="Consolas"/>
      <w:lang w:val="en-GB" w:eastAsia="en-US"/>
    </w:rPr>
  </w:style>
  <w:style w:type="paragraph" w:styleId="Prrafodelista">
    <w:name w:val="List Paragraph"/>
    <w:basedOn w:val="Normal"/>
    <w:uiPriority w:val="34"/>
    <w:qFormat/>
    <w:rsid w:val="00010675"/>
    <w:pPr>
      <w:ind w:left="720"/>
      <w:contextualSpacing/>
    </w:pPr>
  </w:style>
  <w:style w:type="paragraph" w:customStyle="1" w:styleId="Referencias">
    <w:name w:val="Referencias"/>
    <w:basedOn w:val="Normal"/>
    <w:rsid w:val="00CF663C"/>
    <w:pPr>
      <w:numPr>
        <w:numId w:val="25"/>
      </w:numPr>
      <w:spacing w:after="160" w:line="252" w:lineRule="auto"/>
    </w:pPr>
    <w:rPr>
      <w:rFonts w:asciiTheme="minorHAnsi" w:eastAsiaTheme="minorEastAsia" w:hAnsiTheme="minorHAnsi" w:cstheme="minorBidi"/>
      <w:sz w:val="22"/>
      <w:szCs w:val="18"/>
      <w:lang w:eastAsia="ja-JP"/>
    </w:rPr>
  </w:style>
  <w:style w:type="character" w:styleId="Hipervnculo">
    <w:name w:val="Hyperlink"/>
    <w:basedOn w:val="Fuentedeprrafopredeter"/>
    <w:rsid w:val="00CF663C"/>
    <w:rPr>
      <w:rFonts w:ascii="Arial" w:hAnsi="Arial" w:cs="Arial"/>
      <w:color w:val="0000FF"/>
      <w:sz w:val="22"/>
      <w:u w:val="single"/>
    </w:rPr>
  </w:style>
  <w:style w:type="character" w:customStyle="1" w:styleId="citation">
    <w:name w:val="citation"/>
    <w:basedOn w:val="Fuentedeprrafopredeter"/>
    <w:rsid w:val="00CF663C"/>
  </w:style>
  <w:style w:type="character" w:customStyle="1" w:styleId="TitFigTabCar">
    <w:name w:val="Tit Fig Tab Car"/>
    <w:basedOn w:val="Fuentedeprrafopredeter"/>
    <w:link w:val="TitFigTab"/>
    <w:locked/>
    <w:rsid w:val="007B181C"/>
    <w:rPr>
      <w:rFonts w:ascii="Gotham Bold" w:hAnsi="Gotham Bold"/>
      <w:bCs/>
    </w:rPr>
  </w:style>
  <w:style w:type="paragraph" w:customStyle="1" w:styleId="TitFigTab">
    <w:name w:val="Tit Fig Tab"/>
    <w:basedOn w:val="Normal"/>
    <w:next w:val="Normal"/>
    <w:link w:val="TitFigTabCar"/>
    <w:qFormat/>
    <w:rsid w:val="007B181C"/>
    <w:pPr>
      <w:spacing w:before="200" w:line="288" w:lineRule="auto"/>
      <w:ind w:left="624" w:right="624"/>
      <w:contextualSpacing/>
      <w:jc w:val="center"/>
    </w:pPr>
    <w:rPr>
      <w:rFonts w:ascii="Gotham Bold" w:hAnsi="Gotham Bold"/>
      <w:bCs/>
      <w:sz w:val="20"/>
      <w:lang w:eastAsia="es-ES_tradnl"/>
    </w:rPr>
  </w:style>
  <w:style w:type="character" w:styleId="Refdenotaalfinal">
    <w:name w:val="endnote reference"/>
    <w:basedOn w:val="Fuentedeprrafopredeter"/>
    <w:uiPriority w:val="99"/>
    <w:semiHidden/>
    <w:unhideWhenUsed/>
    <w:rsid w:val="000E54DD"/>
    <w:rPr>
      <w:vertAlign w:val="superscript"/>
    </w:rPr>
  </w:style>
  <w:style w:type="character" w:styleId="Refdenotaalpie">
    <w:name w:val="footnote reference"/>
    <w:basedOn w:val="Fuentedeprrafopredeter"/>
    <w:uiPriority w:val="99"/>
    <w:semiHidden/>
    <w:unhideWhenUsed/>
    <w:rsid w:val="00197396"/>
    <w:rPr>
      <w:vertAlign w:val="superscript"/>
    </w:rPr>
  </w:style>
  <w:style w:type="paragraph" w:customStyle="1" w:styleId="Default">
    <w:name w:val="Default"/>
    <w:rsid w:val="00C52409"/>
    <w:pPr>
      <w:autoSpaceDE w:val="0"/>
      <w:autoSpaceDN w:val="0"/>
      <w:adjustRightInd w:val="0"/>
    </w:pPr>
    <w:rPr>
      <w:rFonts w:ascii="EUAlbertina" w:hAnsi="EUAlbertina" w:cs="EUAlbertina"/>
      <w:color w:val="000000"/>
      <w:sz w:val="24"/>
      <w:szCs w:val="24"/>
      <w:lang w:val="ca-ES"/>
    </w:rPr>
  </w:style>
  <w:style w:type="paragraph" w:customStyle="1" w:styleId="CM1">
    <w:name w:val="CM1"/>
    <w:basedOn w:val="Default"/>
    <w:next w:val="Default"/>
    <w:uiPriority w:val="99"/>
    <w:rsid w:val="009C38AE"/>
    <w:rPr>
      <w:rFonts w:cs="Times New Roman"/>
      <w:color w:val="auto"/>
    </w:rPr>
  </w:style>
  <w:style w:type="paragraph" w:customStyle="1" w:styleId="CM3">
    <w:name w:val="CM3"/>
    <w:basedOn w:val="Default"/>
    <w:next w:val="Default"/>
    <w:uiPriority w:val="99"/>
    <w:rsid w:val="009C38AE"/>
    <w:rPr>
      <w:rFonts w:cs="Times New Roman"/>
      <w:color w:val="auto"/>
    </w:rPr>
  </w:style>
  <w:style w:type="paragraph" w:customStyle="1" w:styleId="CM4">
    <w:name w:val="CM4"/>
    <w:basedOn w:val="Default"/>
    <w:next w:val="Default"/>
    <w:uiPriority w:val="99"/>
    <w:rsid w:val="009C38AE"/>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669">
      <w:bodyDiv w:val="1"/>
      <w:marLeft w:val="0"/>
      <w:marRight w:val="0"/>
      <w:marTop w:val="0"/>
      <w:marBottom w:val="0"/>
      <w:divBdr>
        <w:top w:val="none" w:sz="0" w:space="0" w:color="auto"/>
        <w:left w:val="none" w:sz="0" w:space="0" w:color="auto"/>
        <w:bottom w:val="none" w:sz="0" w:space="0" w:color="auto"/>
        <w:right w:val="none" w:sz="0" w:space="0" w:color="auto"/>
      </w:divBdr>
    </w:div>
    <w:div w:id="1246651500">
      <w:bodyDiv w:val="1"/>
      <w:marLeft w:val="0"/>
      <w:marRight w:val="0"/>
      <w:marTop w:val="0"/>
      <w:marBottom w:val="0"/>
      <w:divBdr>
        <w:top w:val="none" w:sz="0" w:space="0" w:color="auto"/>
        <w:left w:val="none" w:sz="0" w:space="0" w:color="auto"/>
        <w:bottom w:val="none" w:sz="0" w:space="0" w:color="auto"/>
        <w:right w:val="none" w:sz="0" w:space="0" w:color="auto"/>
      </w:divBdr>
    </w:div>
    <w:div w:id="1556548714">
      <w:bodyDiv w:val="1"/>
      <w:marLeft w:val="0"/>
      <w:marRight w:val="0"/>
      <w:marTop w:val="0"/>
      <w:marBottom w:val="0"/>
      <w:divBdr>
        <w:top w:val="none" w:sz="0" w:space="0" w:color="auto"/>
        <w:left w:val="none" w:sz="0" w:space="0" w:color="auto"/>
        <w:bottom w:val="none" w:sz="0" w:space="0" w:color="auto"/>
        <w:right w:val="none" w:sz="0" w:space="0" w:color="auto"/>
      </w:divBdr>
    </w:div>
    <w:div w:id="1745949566">
      <w:bodyDiv w:val="1"/>
      <w:marLeft w:val="0"/>
      <w:marRight w:val="0"/>
      <w:marTop w:val="0"/>
      <w:marBottom w:val="0"/>
      <w:divBdr>
        <w:top w:val="none" w:sz="0" w:space="0" w:color="auto"/>
        <w:left w:val="none" w:sz="0" w:space="0" w:color="auto"/>
        <w:bottom w:val="none" w:sz="0" w:space="0" w:color="auto"/>
        <w:right w:val="none" w:sz="0" w:space="0" w:color="auto"/>
      </w:divBdr>
    </w:div>
    <w:div w:id="184099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acioiCongresos\NTTS_2019\ntts2019abstract_cat.dot"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3.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162AC-773B-4BAB-A035-07FB7E4FB26B}">
  <ds:schemaRefs/>
</ds:datastoreItem>
</file>

<file path=customXml/itemProps2.xml><?xml version="1.0" encoding="utf-8"?>
<ds:datastoreItem xmlns:ds="http://schemas.openxmlformats.org/officeDocument/2006/customXml" ds:itemID="{B406C654-FE0D-4FA5-9C33-13E2F461D7CA}">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B9E11CFD-C105-4934-B53C-2914734CB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ntts2019abstract_cat</Template>
  <TotalTime>1</TotalTime>
  <Pages>4</Pages>
  <Words>1435</Words>
  <Characters>8563</Characters>
  <Application>Microsoft Office Word</Application>
  <DocSecurity>0</DocSecurity>
  <PresentationFormat>Microsoft Word 14.0</PresentationFormat>
  <Lines>71</Lines>
  <Paragraphs>19</Paragraphs>
  <ScaleCrop>false</ScaleCrop>
  <HeadingPairs>
    <vt:vector size="6" baseType="variant">
      <vt:variant>
        <vt:lpstr>Título</vt:lpstr>
      </vt:variant>
      <vt:variant>
        <vt:i4>1</vt:i4>
      </vt:variant>
      <vt:variant>
        <vt:lpstr>Títol</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Suñe Luís</dc:creator>
  <cp:keywords>EL4</cp:keywords>
  <cp:lastModifiedBy>Carme Saborit</cp:lastModifiedBy>
  <cp:revision>4</cp:revision>
  <cp:lastPrinted>2018-10-15T14:35:00Z</cp:lastPrinted>
  <dcterms:created xsi:type="dcterms:W3CDTF">2019-02-27T11:55:00Z</dcterms:created>
  <dcterms:modified xsi:type="dcterms:W3CDTF">2019-02-27T11:56:00Z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