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236" w:rsidRDefault="003C2236" w:rsidP="003C2236">
      <w:pPr>
        <w:jc w:val="center"/>
        <w:rPr>
          <w:b/>
          <w:sz w:val="32"/>
          <w:szCs w:val="32"/>
        </w:rPr>
      </w:pPr>
      <w:r>
        <w:rPr>
          <w:b/>
          <w:sz w:val="32"/>
          <w:szCs w:val="32"/>
        </w:rPr>
        <w:t>Extraction of occupation, competences and qualifications from Internet job offers for official statistics</w:t>
      </w:r>
    </w:p>
    <w:p w:rsidR="003C2236" w:rsidRDefault="003C2236" w:rsidP="003C2236">
      <w:pPr>
        <w:rPr>
          <w:szCs w:val="24"/>
        </w:rPr>
      </w:pPr>
      <w:r>
        <w:rPr>
          <w:b/>
          <w:szCs w:val="24"/>
          <w:u w:val="single"/>
        </w:rPr>
        <w:t>Keywords</w:t>
      </w:r>
      <w:r>
        <w:rPr>
          <w:b/>
          <w:szCs w:val="24"/>
        </w:rPr>
        <w:t>:</w:t>
      </w:r>
      <w:r>
        <w:rPr>
          <w:szCs w:val="24"/>
        </w:rPr>
        <w:t xml:space="preserve"> online data, representativeness, job offer, vacancy.</w:t>
      </w:r>
    </w:p>
    <w:p w:rsidR="002012A8" w:rsidRDefault="002012A8" w:rsidP="002012A8">
      <w:pPr>
        <w:pStyle w:val="Nagwek1"/>
      </w:pPr>
      <w:r>
        <w:t>Introduction</w:t>
      </w:r>
    </w:p>
    <w:p w:rsidR="003C2236" w:rsidRDefault="003C2236" w:rsidP="003C2236">
      <w:r>
        <w:t>There is an increasing need for analysing detailed companies’ demand for workers, that is for occupation, skills or competences and qualifications ([1],[2],[3]). Current surveys conducted by Statistical Offices do not contain information on demand of companies for future workers’ competences or qualifications. One might consider online job offers as support or alternative for surveys on vacancy market. However, these data sources are unstructured and relevant information should be extracted to conduct quality and representativeness assessment and estimation process.</w:t>
      </w:r>
    </w:p>
    <w:p w:rsidR="003C2236" w:rsidRDefault="003C2236" w:rsidP="003C2236">
      <w:r>
        <w:t>Our main contribution is the proposal of an efficient method for analysing Internet job offers in the context of detailed information they contain. The method is based on gathering Internet job offers and analysing them with text mining and machine learning tools. We present caveats behind such a research and propose solutions to them. We apply this method for the Polish vacancy market and compare results with ongoing representative surveys to correct non-probability character of these data.</w:t>
      </w:r>
    </w:p>
    <w:p w:rsidR="003C2236" w:rsidRDefault="003C2236" w:rsidP="003C2236">
      <w:r>
        <w:t>The results are especially important for economists, education sector, and labour market institutions, e.g. for shaping the OECD Skills Strategy [4]. Such detailed information may be used to adjust labour market and education policy, especially directed to reducing the structural unemployment.</w:t>
      </w:r>
    </w:p>
    <w:p w:rsidR="00BC6AFE" w:rsidRDefault="00BC6AFE" w:rsidP="00BC6AFE">
      <w:pPr>
        <w:pStyle w:val="Nagwek1"/>
      </w:pPr>
      <w:r>
        <w:t>Methods</w:t>
      </w:r>
    </w:p>
    <w:p w:rsidR="003C2236" w:rsidRDefault="003C2236" w:rsidP="003C2236">
      <w:r>
        <w:t>We gathered job offers from several vacancy market websites in Poland. These were both country-wide general websites, containing job offers for all sectors and occupations. We chose 25 websites with job offers or aggregators of job offers. We disregarded small local websites because they have a low coverage of job offers containing detailed information we aim to analyse, such as required skills. We chose websites on the basis of Google Trends volume of queries. It is an index of the volume of Google queries by geographic location and category [5].</w:t>
      </w:r>
    </w:p>
    <w:p w:rsidR="003C2236" w:rsidRDefault="003C2236" w:rsidP="003C2236">
      <w:r>
        <w:t xml:space="preserve">We gathered the data using a computer script that automated the procedure. From November 2017 to June 2018 the data have been collected on a monthly basis, at the end of a month. Since July 2018 we also started to gather titles of job offers once every 5 days, while continuing gathering job offers content at the end of a month. </w:t>
      </w:r>
    </w:p>
    <w:p w:rsidR="003C2236" w:rsidRDefault="003C2236" w:rsidP="003C2236">
      <w:r>
        <w:t>Data collection is as follows. At the last day of each month during the studied period, all job offers scraped from the studied websites and stored in a local database in the original HTML format for reproducibility. First, we applied parsing to the data: the data stored in the standard HTML format were converted into plain text. Parsing removes such information as font size, colour, and other formatting tags.</w:t>
      </w:r>
    </w:p>
    <w:p w:rsidR="003C2236" w:rsidRDefault="003C2236" w:rsidP="003C2236">
      <w:r>
        <w:t xml:space="preserve">After parsing, we lemmatized the data, that is, we identified the basic forms of all the words in the text (for example, verbs were transformed to their infinitives while nouns to their nominative cases, singular forms of the first person). For this, we developed a tool based on the Morfologik-stemming-1.9.0 library. For some words forming the competences, this library provides inconsistent lemmatized words. To deal with such </w:t>
      </w:r>
      <w:r>
        <w:lastRenderedPageBreak/>
        <w:t xml:space="preserve">situations that we spotted during the analysis, we created an additional dictionary of exceptions. At this stage, our most important task was to find specific competences in the texts of job offers. Because job offers can contain various words to describe the same trait (occupation, qualification, skill etc.), the algorithm should deal with the situation in which the trait is mentioned in the sentence, but with different words than in the dictionary. To solve this problem, we first prepared a list of occupations, qualifications and skills. We used the European Commission ESCO, ISCO and ISCED classifications. Our approach enables us to obtain data on individual traits (phrases). </w:t>
      </w:r>
      <w:proofErr w:type="spellStart"/>
      <w:r>
        <w:t>Its</w:t>
      </w:r>
      <w:proofErr w:type="spellEnd"/>
      <w:r>
        <w:t xml:space="preserve"> another advantage is that it helps us detect various terms companies use to describe traits, enabling us to increase the dictionary’s size. For this, we created a dictionary of synonyms based on three dictionaries (www.slownik-synonimow.eu, www.synonimy.pl, and sjp.pwn.pl). With a larger dictionary—with more phrases (including colloquial ones) describing competences and their groups—we will obtain more accurate representation of the competences demand in the labour market. Moreover, we also apply several machine learning techniques to predict occupation, qualification, skills etc. based on true labelled data. Knowledge of occupation is crucial as it is the only variable available in both online and Statistics Poland’s survey.</w:t>
      </w:r>
    </w:p>
    <w:p w:rsidR="00BC6AFE" w:rsidRDefault="00BC6AFE" w:rsidP="00BC6AFE">
      <w:pPr>
        <w:pStyle w:val="Nagwek1"/>
      </w:pPr>
      <w:r>
        <w:t>Results</w:t>
      </w:r>
    </w:p>
    <w:p w:rsidR="003C2236" w:rsidRDefault="003C2236" w:rsidP="003C2236">
      <w:r>
        <w:t>Table 1 presents a sample job offer and its treatment. Job offer is classified on the basis of a publication date, Internet portal, that it was published on, and a number. Parsed job offer contains plain text. After lemmatization this text is transformed to a basic form. Final stage is matching the lemmatized dictionary words to the text. In the example we looked for transversal competences from ESCO classification. We found six of them.</w:t>
      </w:r>
    </w:p>
    <w:p w:rsidR="003C2236" w:rsidRDefault="003C2236" w:rsidP="003C2236">
      <w:pPr>
        <w:rPr>
          <w:b/>
        </w:rPr>
      </w:pPr>
      <w:r>
        <w:rPr>
          <w:b/>
        </w:rPr>
        <w:t>Table 1. Sample parsed job offer, lemmatized job offer and identified transversal competences</w:t>
      </w:r>
    </w:p>
    <w:tbl>
      <w:tblPr>
        <w:tblW w:w="9017"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50"/>
        <w:gridCol w:w="3533"/>
        <w:gridCol w:w="3534"/>
      </w:tblGrid>
      <w:tr w:rsidR="003C2236" w:rsidRPr="003C2236" w:rsidTr="00221463">
        <w:trPr>
          <w:trHeight w:val="480"/>
        </w:trPr>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236" w:rsidRPr="003C2236" w:rsidRDefault="003C2236" w:rsidP="003C2236">
            <w:pPr>
              <w:spacing w:after="0"/>
            </w:pPr>
            <w:r w:rsidRPr="003C2236">
              <w:t>Job offer number</w:t>
            </w:r>
          </w:p>
        </w:tc>
        <w:tc>
          <w:tcPr>
            <w:tcW w:w="7067"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3C2236" w:rsidRPr="003C2236" w:rsidRDefault="003C2236" w:rsidP="003C2236">
            <w:pPr>
              <w:spacing w:after="0"/>
            </w:pPr>
            <w:r w:rsidRPr="003C2236">
              <w:t>201801_MoneyOgloszenia/105309.txt</w:t>
            </w:r>
          </w:p>
        </w:tc>
      </w:tr>
      <w:tr w:rsidR="003C2236" w:rsidRPr="00221463" w:rsidTr="00221463">
        <w:trPr>
          <w:trHeight w:val="480"/>
        </w:trPr>
        <w:tc>
          <w:tcPr>
            <w:tcW w:w="19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236" w:rsidRPr="003C2236" w:rsidRDefault="003C2236" w:rsidP="003C2236">
            <w:pPr>
              <w:spacing w:after="0"/>
            </w:pPr>
            <w:r w:rsidRPr="003C2236">
              <w:t>Parsed job offer</w:t>
            </w:r>
          </w:p>
        </w:tc>
        <w:tc>
          <w:tcPr>
            <w:tcW w:w="7067" w:type="dxa"/>
            <w:gridSpan w:val="2"/>
            <w:tcBorders>
              <w:bottom w:val="single" w:sz="8" w:space="0" w:color="000000"/>
              <w:right w:val="single" w:sz="8" w:space="0" w:color="000000"/>
            </w:tcBorders>
            <w:tcMar>
              <w:top w:w="100" w:type="dxa"/>
              <w:left w:w="100" w:type="dxa"/>
              <w:bottom w:w="100" w:type="dxa"/>
              <w:right w:w="100" w:type="dxa"/>
            </w:tcMar>
          </w:tcPr>
          <w:p w:rsidR="003C2236" w:rsidRPr="00221463" w:rsidRDefault="003C2236" w:rsidP="003C2236">
            <w:pPr>
              <w:spacing w:after="0"/>
              <w:rPr>
                <w:lang w:val="pl-PL"/>
              </w:rPr>
            </w:pPr>
            <w:r w:rsidRPr="00221463">
              <w:rPr>
                <w:b/>
                <w:lang w:val="pl-PL"/>
              </w:rPr>
              <w:t>stanowisko</w:t>
            </w:r>
            <w:r w:rsidRPr="00221463">
              <w:rPr>
                <w:lang w:val="pl-PL"/>
              </w:rPr>
              <w:t xml:space="preserve"> [</w:t>
            </w:r>
            <w:proofErr w:type="spellStart"/>
            <w:r w:rsidRPr="00221463">
              <w:rPr>
                <w:b/>
                <w:lang w:val="pl-PL"/>
              </w:rPr>
              <w:t>position</w:t>
            </w:r>
            <w:proofErr w:type="spellEnd"/>
            <w:r w:rsidRPr="00221463">
              <w:rPr>
                <w:lang w:val="pl-PL"/>
              </w:rPr>
              <w:t>] programista net</w:t>
            </w:r>
          </w:p>
          <w:p w:rsidR="003C2236" w:rsidRPr="00221463" w:rsidRDefault="003C2236" w:rsidP="003C2236">
            <w:pPr>
              <w:spacing w:after="0"/>
              <w:rPr>
                <w:lang w:val="pl-PL"/>
              </w:rPr>
            </w:pPr>
            <w:r w:rsidRPr="00221463">
              <w:rPr>
                <w:lang w:val="pl-PL"/>
              </w:rPr>
              <w:t>opis stanowiska [</w:t>
            </w:r>
            <w:proofErr w:type="spellStart"/>
            <w:r w:rsidRPr="00221463">
              <w:rPr>
                <w:lang w:val="pl-PL"/>
              </w:rPr>
              <w:t>description</w:t>
            </w:r>
            <w:proofErr w:type="spellEnd"/>
            <w:r w:rsidRPr="00221463">
              <w:rPr>
                <w:lang w:val="pl-PL"/>
              </w:rPr>
              <w:t xml:space="preserve">] klient portalu </w:t>
            </w:r>
            <w:proofErr w:type="spellStart"/>
            <w:r w:rsidRPr="00221463">
              <w:rPr>
                <w:lang w:val="pl-PL"/>
              </w:rPr>
              <w:t>pracapl</w:t>
            </w:r>
            <w:proofErr w:type="spellEnd"/>
            <w:r w:rsidRPr="00221463">
              <w:rPr>
                <w:lang w:val="pl-PL"/>
              </w:rPr>
              <w:t xml:space="preserve"> programista net modelowanie oraz tworzenie oprogramowania z wykorzystaniem net 40 oraz </w:t>
            </w:r>
            <w:proofErr w:type="spellStart"/>
            <w:r w:rsidRPr="00221463">
              <w:rPr>
                <w:lang w:val="pl-PL"/>
              </w:rPr>
              <w:t>sql</w:t>
            </w:r>
            <w:proofErr w:type="spellEnd"/>
            <w:r w:rsidRPr="00221463">
              <w:rPr>
                <w:lang w:val="pl-PL"/>
              </w:rPr>
              <w:t xml:space="preserve"> </w:t>
            </w:r>
            <w:proofErr w:type="spellStart"/>
            <w:r w:rsidRPr="00221463">
              <w:rPr>
                <w:lang w:val="pl-PL"/>
              </w:rPr>
              <w:t>server</w:t>
            </w:r>
            <w:proofErr w:type="spellEnd"/>
            <w:r w:rsidRPr="00221463">
              <w:rPr>
                <w:lang w:val="pl-PL"/>
              </w:rPr>
              <w:t xml:space="preserve"> 2008</w:t>
            </w:r>
          </w:p>
          <w:p w:rsidR="003C2236" w:rsidRPr="00221463" w:rsidRDefault="003C2236" w:rsidP="003C2236">
            <w:pPr>
              <w:spacing w:after="0"/>
              <w:rPr>
                <w:lang w:val="pl-PL"/>
              </w:rPr>
            </w:pPr>
            <w:r w:rsidRPr="00221463">
              <w:rPr>
                <w:b/>
                <w:lang w:val="pl-PL"/>
              </w:rPr>
              <w:t>wymagania</w:t>
            </w:r>
            <w:r w:rsidRPr="00221463">
              <w:rPr>
                <w:lang w:val="pl-PL"/>
              </w:rPr>
              <w:t xml:space="preserve"> [</w:t>
            </w:r>
            <w:proofErr w:type="spellStart"/>
            <w:r w:rsidRPr="00221463">
              <w:rPr>
                <w:b/>
                <w:lang w:val="pl-PL"/>
              </w:rPr>
              <w:t>requirements</w:t>
            </w:r>
            <w:proofErr w:type="spellEnd"/>
            <w:r w:rsidRPr="00221463">
              <w:rPr>
                <w:lang w:val="pl-PL"/>
              </w:rPr>
              <w:t xml:space="preserve">] doświadczenie w realizacji projektów opartych o </w:t>
            </w:r>
            <w:proofErr w:type="spellStart"/>
            <w:r w:rsidRPr="00221463">
              <w:rPr>
                <w:lang w:val="pl-PL"/>
              </w:rPr>
              <w:t>aspnet</w:t>
            </w:r>
            <w:proofErr w:type="spellEnd"/>
            <w:r w:rsidRPr="00221463">
              <w:rPr>
                <w:lang w:val="pl-PL"/>
              </w:rPr>
              <w:t xml:space="preserve"> </w:t>
            </w:r>
            <w:proofErr w:type="spellStart"/>
            <w:r w:rsidRPr="00221463">
              <w:rPr>
                <w:lang w:val="pl-PL"/>
              </w:rPr>
              <w:t>mvc</w:t>
            </w:r>
            <w:proofErr w:type="spellEnd"/>
            <w:r w:rsidRPr="00221463">
              <w:rPr>
                <w:lang w:val="pl-PL"/>
              </w:rPr>
              <w:t xml:space="preserve"> </w:t>
            </w:r>
            <w:proofErr w:type="spellStart"/>
            <w:r w:rsidRPr="00221463">
              <w:rPr>
                <w:lang w:val="pl-PL"/>
              </w:rPr>
              <w:t>entity</w:t>
            </w:r>
            <w:proofErr w:type="spellEnd"/>
            <w:r w:rsidRPr="00221463">
              <w:rPr>
                <w:lang w:val="pl-PL"/>
              </w:rPr>
              <w:t xml:space="preserve"> </w:t>
            </w:r>
            <w:proofErr w:type="spellStart"/>
            <w:r w:rsidRPr="00221463">
              <w:rPr>
                <w:lang w:val="pl-PL"/>
              </w:rPr>
              <w:t>framework</w:t>
            </w:r>
            <w:proofErr w:type="spellEnd"/>
            <w:r w:rsidRPr="00221463">
              <w:rPr>
                <w:lang w:val="pl-PL"/>
              </w:rPr>
              <w:t xml:space="preserve"> znajomość programowania obiektowego opartego o net 35 lub 40 tworzenia baz danych i zapytań w języku </w:t>
            </w:r>
            <w:proofErr w:type="spellStart"/>
            <w:r w:rsidRPr="00221463">
              <w:rPr>
                <w:lang w:val="pl-PL"/>
              </w:rPr>
              <w:t>tsql</w:t>
            </w:r>
            <w:proofErr w:type="spellEnd"/>
            <w:r w:rsidRPr="00221463">
              <w:rPr>
                <w:lang w:val="pl-PL"/>
              </w:rPr>
              <w:t xml:space="preserve"> bardzo dobra znajomość języka angielskiego zdolność analitycznego myślenia otwartość terminowość kreatywność entuzjazm i samodzielność </w:t>
            </w:r>
          </w:p>
          <w:p w:rsidR="003C2236" w:rsidRPr="00221463" w:rsidRDefault="003C2236" w:rsidP="003C2236">
            <w:pPr>
              <w:spacing w:after="0"/>
              <w:rPr>
                <w:lang w:val="pl-PL"/>
              </w:rPr>
            </w:pPr>
            <w:r w:rsidRPr="00221463">
              <w:rPr>
                <w:b/>
                <w:lang w:val="pl-PL"/>
              </w:rPr>
              <w:t>oferujemy</w:t>
            </w:r>
            <w:r w:rsidRPr="00221463">
              <w:rPr>
                <w:lang w:val="pl-PL"/>
              </w:rPr>
              <w:t xml:space="preserve"> [</w:t>
            </w:r>
            <w:r w:rsidRPr="00221463">
              <w:rPr>
                <w:b/>
                <w:lang w:val="pl-PL"/>
              </w:rPr>
              <w:t xml:space="preserve">we </w:t>
            </w:r>
            <w:proofErr w:type="spellStart"/>
            <w:r w:rsidRPr="00221463">
              <w:rPr>
                <w:b/>
                <w:lang w:val="pl-PL"/>
              </w:rPr>
              <w:t>offer</w:t>
            </w:r>
            <w:proofErr w:type="spellEnd"/>
            <w:r w:rsidRPr="00221463">
              <w:rPr>
                <w:lang w:val="pl-PL"/>
              </w:rPr>
              <w:t>] konkurencyjne wynagrodzenie udział w ambitnych projektach ciągły rozwój umiejętności stabilną formę współpracy liczne szkolenia pracę w wśród wiodących specjalistów na rynku forma kontaktu formularz online</w:t>
            </w:r>
          </w:p>
        </w:tc>
      </w:tr>
      <w:tr w:rsidR="003C2236" w:rsidRPr="00221463" w:rsidTr="00221463">
        <w:trPr>
          <w:trHeight w:val="480"/>
        </w:trPr>
        <w:tc>
          <w:tcPr>
            <w:tcW w:w="19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236" w:rsidRPr="003C2236" w:rsidRDefault="003C2236" w:rsidP="003C2236">
            <w:pPr>
              <w:spacing w:after="0"/>
            </w:pPr>
            <w:r w:rsidRPr="003C2236">
              <w:t>Lemmatized  job offer</w:t>
            </w:r>
          </w:p>
        </w:tc>
        <w:tc>
          <w:tcPr>
            <w:tcW w:w="7067" w:type="dxa"/>
            <w:gridSpan w:val="2"/>
            <w:tcBorders>
              <w:bottom w:val="single" w:sz="8" w:space="0" w:color="000000"/>
              <w:right w:val="single" w:sz="8" w:space="0" w:color="000000"/>
            </w:tcBorders>
            <w:tcMar>
              <w:top w:w="100" w:type="dxa"/>
              <w:left w:w="100" w:type="dxa"/>
              <w:bottom w:w="100" w:type="dxa"/>
              <w:right w:w="100" w:type="dxa"/>
            </w:tcMar>
          </w:tcPr>
          <w:p w:rsidR="003C2236" w:rsidRPr="00221463" w:rsidRDefault="003C2236" w:rsidP="003C2236">
            <w:pPr>
              <w:spacing w:after="0"/>
              <w:rPr>
                <w:lang w:val="pl-PL"/>
              </w:rPr>
            </w:pPr>
            <w:r w:rsidRPr="00221463">
              <w:rPr>
                <w:lang w:val="pl-PL"/>
              </w:rPr>
              <w:t xml:space="preserve">stanowisko programista neta opis stanowisko klient portal programista neta opis stanowisko modelować oraz tworzyć oprogramować z wykorzystać neta oraz wymagać doświadczyć wiek realizacja projekt oprzeć ojciec znajomość programować obiektowy oprzeć ojciec neta lubić tworzyć baza dać i zapytanie wiek język bardzo dobry znajomość język angielski zdolność analityczny myśleć otwartość terminowość </w:t>
            </w:r>
            <w:r w:rsidRPr="00221463">
              <w:rPr>
                <w:lang w:val="pl-PL"/>
              </w:rPr>
              <w:lastRenderedPageBreak/>
              <w:t xml:space="preserve">kreatywność entuzjazm i samodzielność oferować konkurencyjny wynagrodzić </w:t>
            </w:r>
            <w:proofErr w:type="spellStart"/>
            <w:r w:rsidRPr="00221463">
              <w:rPr>
                <w:lang w:val="pl-PL"/>
              </w:rPr>
              <w:t>udziać</w:t>
            </w:r>
            <w:proofErr w:type="spellEnd"/>
            <w:r w:rsidRPr="00221463">
              <w:rPr>
                <w:lang w:val="pl-PL"/>
              </w:rPr>
              <w:t xml:space="preserve"> wiek ambitny projekt ciągły rozwój umiejętność stabilny forma współpraca liczny szkolić praca wiek wśród wieść specjalista na rynek forma kontakt formularz online</w:t>
            </w:r>
          </w:p>
        </w:tc>
      </w:tr>
      <w:tr w:rsidR="00221463" w:rsidRPr="00221463" w:rsidTr="00221463">
        <w:trPr>
          <w:trHeight w:val="555"/>
        </w:trPr>
        <w:tc>
          <w:tcPr>
            <w:tcW w:w="1950" w:type="dxa"/>
            <w:vMerge w:val="restart"/>
            <w:tcBorders>
              <w:left w:val="single" w:sz="8" w:space="0" w:color="000000"/>
              <w:right w:val="single" w:sz="8" w:space="0" w:color="000000"/>
            </w:tcBorders>
            <w:tcMar>
              <w:top w:w="100" w:type="dxa"/>
              <w:left w:w="100" w:type="dxa"/>
              <w:bottom w:w="100" w:type="dxa"/>
              <w:right w:w="100" w:type="dxa"/>
            </w:tcMar>
          </w:tcPr>
          <w:p w:rsidR="00221463" w:rsidRPr="003C2236" w:rsidRDefault="00221463" w:rsidP="003C2236">
            <w:pPr>
              <w:spacing w:after="0"/>
            </w:pPr>
            <w:r w:rsidRPr="003C2236">
              <w:lastRenderedPageBreak/>
              <w:t>Identified transversal competences</w:t>
            </w:r>
          </w:p>
        </w:tc>
        <w:tc>
          <w:tcPr>
            <w:tcW w:w="3533" w:type="dxa"/>
            <w:tcBorders>
              <w:right w:val="single" w:sz="8" w:space="0" w:color="000000"/>
            </w:tcBorders>
            <w:tcMar>
              <w:top w:w="100" w:type="dxa"/>
              <w:left w:w="100" w:type="dxa"/>
              <w:bottom w:w="100" w:type="dxa"/>
              <w:right w:w="100" w:type="dxa"/>
            </w:tcMar>
          </w:tcPr>
          <w:p w:rsidR="00221463" w:rsidRDefault="00221463" w:rsidP="003C2236">
            <w:pPr>
              <w:spacing w:after="0"/>
              <w:rPr>
                <w:lang w:val="pl-PL"/>
              </w:rPr>
            </w:pPr>
            <w:proofErr w:type="spellStart"/>
            <w:r>
              <w:rPr>
                <w:lang w:val="pl-PL"/>
              </w:rPr>
              <w:t>Identified</w:t>
            </w:r>
            <w:proofErr w:type="spellEnd"/>
            <w:r>
              <w:rPr>
                <w:lang w:val="pl-PL"/>
              </w:rPr>
              <w:t xml:space="preserve"> </w:t>
            </w:r>
            <w:proofErr w:type="spellStart"/>
            <w:r>
              <w:rPr>
                <w:lang w:val="pl-PL"/>
              </w:rPr>
              <w:t>phrases</w:t>
            </w:r>
            <w:proofErr w:type="spellEnd"/>
          </w:p>
        </w:tc>
        <w:tc>
          <w:tcPr>
            <w:tcW w:w="3534" w:type="dxa"/>
            <w:tcBorders>
              <w:right w:val="single" w:sz="8" w:space="0" w:color="000000"/>
            </w:tcBorders>
          </w:tcPr>
          <w:p w:rsidR="00221463" w:rsidRPr="00221463" w:rsidRDefault="00221463" w:rsidP="003C2236">
            <w:pPr>
              <w:spacing w:after="0"/>
              <w:rPr>
                <w:lang w:val="pl-PL"/>
              </w:rPr>
            </w:pPr>
            <w:proofErr w:type="spellStart"/>
            <w:r w:rsidRPr="00221463">
              <w:rPr>
                <w:lang w:val="pl-PL"/>
              </w:rPr>
              <w:t>Assigned</w:t>
            </w:r>
            <w:proofErr w:type="spellEnd"/>
            <w:r w:rsidRPr="00221463">
              <w:rPr>
                <w:lang w:val="pl-PL"/>
              </w:rPr>
              <w:t xml:space="preserve"> to </w:t>
            </w:r>
            <w:proofErr w:type="spellStart"/>
            <w:r w:rsidRPr="00221463">
              <w:rPr>
                <w:lang w:val="pl-PL"/>
              </w:rPr>
              <w:t>competences</w:t>
            </w:r>
            <w:proofErr w:type="spellEnd"/>
          </w:p>
        </w:tc>
      </w:tr>
      <w:tr w:rsidR="00221463" w:rsidRPr="00221463" w:rsidTr="004F2DA2">
        <w:trPr>
          <w:trHeight w:val="1102"/>
        </w:trPr>
        <w:tc>
          <w:tcPr>
            <w:tcW w:w="195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221463" w:rsidRPr="00221463" w:rsidRDefault="00221463" w:rsidP="003C2236">
            <w:pPr>
              <w:spacing w:after="0"/>
              <w:rPr>
                <w:lang w:val="pl-PL"/>
              </w:rPr>
            </w:pPr>
          </w:p>
        </w:tc>
        <w:tc>
          <w:tcPr>
            <w:tcW w:w="3533" w:type="dxa"/>
            <w:tcBorders>
              <w:bottom w:val="single" w:sz="8" w:space="0" w:color="000000"/>
              <w:right w:val="single" w:sz="8" w:space="0" w:color="000000"/>
            </w:tcBorders>
            <w:tcMar>
              <w:top w:w="100" w:type="dxa"/>
              <w:left w:w="100" w:type="dxa"/>
              <w:bottom w:w="100" w:type="dxa"/>
              <w:right w:w="100" w:type="dxa"/>
            </w:tcMar>
          </w:tcPr>
          <w:p w:rsidR="00221463" w:rsidRPr="00221463" w:rsidRDefault="00221463" w:rsidP="00221463">
            <w:pPr>
              <w:spacing w:after="0"/>
              <w:rPr>
                <w:lang w:val="pl-PL"/>
              </w:rPr>
            </w:pPr>
            <w:r w:rsidRPr="00221463">
              <w:rPr>
                <w:lang w:val="pl-PL"/>
              </w:rPr>
              <w:t>angielski</w:t>
            </w:r>
          </w:p>
          <w:p w:rsidR="00221463" w:rsidRPr="00221463" w:rsidRDefault="00221463" w:rsidP="00221463">
            <w:pPr>
              <w:spacing w:after="0"/>
              <w:rPr>
                <w:lang w:val="pl-PL"/>
              </w:rPr>
            </w:pPr>
            <w:r w:rsidRPr="00221463">
              <w:rPr>
                <w:lang w:val="pl-PL"/>
              </w:rPr>
              <w:t>entuzjazm</w:t>
            </w:r>
          </w:p>
          <w:p w:rsidR="00221463" w:rsidRDefault="00221463" w:rsidP="00221463">
            <w:pPr>
              <w:spacing w:after="0"/>
              <w:rPr>
                <w:lang w:val="pl-PL"/>
              </w:rPr>
            </w:pPr>
            <w:r w:rsidRPr="00221463">
              <w:rPr>
                <w:lang w:val="pl-PL"/>
              </w:rPr>
              <w:t>analityczny myśleć</w:t>
            </w:r>
          </w:p>
          <w:p w:rsidR="00221463" w:rsidRPr="00221463" w:rsidRDefault="00221463" w:rsidP="00221463">
            <w:pPr>
              <w:spacing w:after="0"/>
              <w:rPr>
                <w:lang w:val="pl-PL"/>
              </w:rPr>
            </w:pPr>
            <w:r w:rsidRPr="00221463">
              <w:rPr>
                <w:lang w:val="pl-PL"/>
              </w:rPr>
              <w:t>kreatywność</w:t>
            </w:r>
          </w:p>
          <w:p w:rsidR="00221463" w:rsidRPr="00221463" w:rsidRDefault="00221463" w:rsidP="00221463">
            <w:pPr>
              <w:spacing w:after="0"/>
              <w:rPr>
                <w:lang w:val="pl-PL"/>
              </w:rPr>
            </w:pPr>
            <w:r w:rsidRPr="00221463">
              <w:rPr>
                <w:lang w:val="pl-PL"/>
              </w:rPr>
              <w:t>terminowość</w:t>
            </w:r>
          </w:p>
          <w:p w:rsidR="00221463" w:rsidRDefault="00221463" w:rsidP="00221463">
            <w:pPr>
              <w:spacing w:after="0"/>
              <w:rPr>
                <w:lang w:val="pl-PL"/>
              </w:rPr>
            </w:pPr>
            <w:r w:rsidRPr="00221463">
              <w:rPr>
                <w:lang w:val="pl-PL"/>
              </w:rPr>
              <w:t>samodzielność</w:t>
            </w:r>
          </w:p>
        </w:tc>
        <w:tc>
          <w:tcPr>
            <w:tcW w:w="3534" w:type="dxa"/>
            <w:tcBorders>
              <w:bottom w:val="single" w:sz="8" w:space="0" w:color="000000"/>
              <w:right w:val="single" w:sz="8" w:space="0" w:color="000000"/>
            </w:tcBorders>
          </w:tcPr>
          <w:p w:rsidR="00221463" w:rsidRPr="00221463" w:rsidRDefault="00221463" w:rsidP="003C2236">
            <w:pPr>
              <w:spacing w:after="0"/>
            </w:pPr>
            <w:r w:rsidRPr="00221463">
              <w:t>English language</w:t>
            </w:r>
          </w:p>
          <w:p w:rsidR="00221463" w:rsidRPr="00221463" w:rsidRDefault="00221463" w:rsidP="003C2236">
            <w:pPr>
              <w:spacing w:after="0"/>
            </w:pPr>
            <w:r w:rsidRPr="00221463">
              <w:t>Show enthusiasm</w:t>
            </w:r>
          </w:p>
          <w:p w:rsidR="00221463" w:rsidRPr="00221463" w:rsidRDefault="00221463" w:rsidP="003C2236">
            <w:pPr>
              <w:spacing w:after="0"/>
            </w:pPr>
            <w:r w:rsidRPr="00221463">
              <w:t>Examine evidence</w:t>
            </w:r>
          </w:p>
          <w:p w:rsidR="00221463" w:rsidRDefault="00221463" w:rsidP="003C2236">
            <w:pPr>
              <w:spacing w:after="0"/>
            </w:pPr>
            <w:r>
              <w:t>Generate new ideas</w:t>
            </w:r>
          </w:p>
          <w:p w:rsidR="00221463" w:rsidRDefault="00221463" w:rsidP="003C2236">
            <w:pPr>
              <w:spacing w:after="0"/>
            </w:pPr>
            <w:r>
              <w:t>Meet commitments</w:t>
            </w:r>
          </w:p>
          <w:p w:rsidR="00221463" w:rsidRPr="00221463" w:rsidRDefault="00221463" w:rsidP="003C2236">
            <w:pPr>
              <w:spacing w:after="0"/>
            </w:pPr>
            <w:r>
              <w:t>Work independently</w:t>
            </w:r>
          </w:p>
        </w:tc>
      </w:tr>
    </w:tbl>
    <w:p w:rsidR="003C2236" w:rsidRPr="00221463" w:rsidRDefault="003C2236" w:rsidP="003C2236"/>
    <w:p w:rsidR="003C2236" w:rsidRDefault="003C2236" w:rsidP="003C2236">
      <w:r>
        <w:t>After classifying each job offer according to</w:t>
      </w:r>
      <w:bookmarkStart w:id="0" w:name="_GoBack"/>
      <w:bookmarkEnd w:id="0"/>
      <w:r>
        <w:t xml:space="preserve"> phrases, we can show the aggregated results. Table 2 presents an excerpt from the classification of transversal competences. It shows competences, their groups and some descriptive statistics on the number of competences per job offer throughout analysed period. Then, estimation process consists of model-assisted estimators (e.g. calibration, LASSO).</w:t>
      </w:r>
    </w:p>
    <w:p w:rsidR="003C2236" w:rsidRDefault="003C2236" w:rsidP="003C2236">
      <w:r>
        <w:rPr>
          <w:b/>
        </w:rPr>
        <w:t>Table 2. An excerpt from the final classification of transversal competences</w:t>
      </w:r>
    </w:p>
    <w:tbl>
      <w:tblPr>
        <w:tblW w:w="8870" w:type="dxa"/>
        <w:tblInd w:w="100" w:type="dxa"/>
        <w:tblBorders>
          <w:top w:val="nil"/>
          <w:left w:val="nil"/>
          <w:bottom w:val="nil"/>
          <w:right w:val="nil"/>
          <w:insideH w:val="nil"/>
          <w:insideV w:val="nil"/>
        </w:tblBorders>
        <w:tblLook w:val="0600" w:firstRow="0" w:lastRow="0" w:firstColumn="0" w:lastColumn="0" w:noHBand="1" w:noVBand="1"/>
      </w:tblPr>
      <w:tblGrid>
        <w:gridCol w:w="633"/>
        <w:gridCol w:w="447"/>
        <w:gridCol w:w="721"/>
        <w:gridCol w:w="680"/>
        <w:gridCol w:w="2609"/>
        <w:gridCol w:w="756"/>
        <w:gridCol w:w="756"/>
        <w:gridCol w:w="756"/>
        <w:gridCol w:w="756"/>
        <w:gridCol w:w="756"/>
      </w:tblGrid>
      <w:tr w:rsidR="003C2236" w:rsidRPr="003C2236" w:rsidTr="003C2236">
        <w:trPr>
          <w:trHeight w:val="140"/>
        </w:trPr>
        <w:tc>
          <w:tcPr>
            <w:tcW w:w="0" w:type="auto"/>
            <w:gridSpan w:val="2"/>
            <w:tcBorders>
              <w:top w:val="single" w:sz="8" w:space="0" w:color="000000"/>
              <w:bottom w:val="single" w:sz="8" w:space="0" w:color="000000"/>
            </w:tcBorders>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Category</w:t>
            </w:r>
          </w:p>
        </w:tc>
        <w:tc>
          <w:tcPr>
            <w:tcW w:w="0" w:type="auto"/>
            <w:tcBorders>
              <w:top w:val="single" w:sz="8" w:space="0" w:color="000000"/>
              <w:bottom w:val="single" w:sz="8" w:space="0" w:color="000000"/>
            </w:tcBorders>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Class</w:t>
            </w:r>
          </w:p>
        </w:tc>
        <w:tc>
          <w:tcPr>
            <w:tcW w:w="3289" w:type="dxa"/>
            <w:gridSpan w:val="2"/>
            <w:tcBorders>
              <w:top w:val="single" w:sz="8" w:space="0" w:color="000000"/>
              <w:bottom w:val="single" w:sz="8" w:space="0" w:color="000000"/>
            </w:tcBorders>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Competences</w:t>
            </w:r>
          </w:p>
        </w:tc>
        <w:tc>
          <w:tcPr>
            <w:tcW w:w="0" w:type="auto"/>
            <w:tcBorders>
              <w:top w:val="single" w:sz="8" w:space="0" w:color="000000"/>
              <w:bottom w:val="single" w:sz="8" w:space="0" w:color="000000"/>
            </w:tcBorders>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Mean</w:t>
            </w:r>
          </w:p>
        </w:tc>
        <w:tc>
          <w:tcPr>
            <w:tcW w:w="0" w:type="auto"/>
            <w:tcBorders>
              <w:top w:val="single" w:sz="8" w:space="0" w:color="000000"/>
              <w:bottom w:val="single" w:sz="8" w:space="0" w:color="000000"/>
            </w:tcBorders>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Min</w:t>
            </w:r>
          </w:p>
        </w:tc>
        <w:tc>
          <w:tcPr>
            <w:tcW w:w="0" w:type="auto"/>
            <w:tcBorders>
              <w:top w:val="single" w:sz="8" w:space="0" w:color="000000"/>
              <w:bottom w:val="single" w:sz="8" w:space="0" w:color="000000"/>
            </w:tcBorders>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Max</w:t>
            </w:r>
          </w:p>
        </w:tc>
        <w:tc>
          <w:tcPr>
            <w:tcW w:w="0" w:type="auto"/>
            <w:tcBorders>
              <w:top w:val="single" w:sz="8" w:space="0" w:color="000000"/>
              <w:bottom w:val="single" w:sz="8" w:space="0" w:color="000000"/>
            </w:tcBorders>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First</w:t>
            </w:r>
          </w:p>
        </w:tc>
        <w:tc>
          <w:tcPr>
            <w:tcW w:w="0" w:type="auto"/>
            <w:tcBorders>
              <w:top w:val="single" w:sz="8" w:space="0" w:color="000000"/>
              <w:bottom w:val="single" w:sz="8" w:space="0" w:color="000000"/>
            </w:tcBorders>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Last</w:t>
            </w:r>
          </w:p>
        </w:tc>
      </w:tr>
      <w:tr w:rsidR="003C2236" w:rsidRPr="003C2236" w:rsidTr="003C2236">
        <w:trPr>
          <w:trHeight w:val="460"/>
        </w:trPr>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IV</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2</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p>
        </w:tc>
        <w:tc>
          <w:tcPr>
            <w:tcW w:w="2609" w:type="dxa"/>
            <w:shd w:val="clear" w:color="auto" w:fill="auto"/>
            <w:tcMar>
              <w:top w:w="100" w:type="dxa"/>
              <w:left w:w="100" w:type="dxa"/>
              <w:bottom w:w="100" w:type="dxa"/>
              <w:right w:w="100" w:type="dxa"/>
            </w:tcMar>
          </w:tcPr>
          <w:p w:rsidR="003C2236" w:rsidRPr="003C2236" w:rsidRDefault="003C2236" w:rsidP="003C2236">
            <w:pPr>
              <w:spacing w:after="0"/>
            </w:pPr>
            <w:r w:rsidRPr="003C2236">
              <w:fldChar w:fldCharType="begin"/>
            </w:r>
            <w:r w:rsidRPr="003C2236">
              <w:instrText xml:space="preserve"> HYPERLINK "https://ec.europa.eu/esco/portal/concept?lang=en&amp;concept=http%3A%2F%2Fdata.europa.eu%2Fesco%2Fskill%2F367189&amp;conceptScheme=http%3A%2F%2Fdata.europa.eu%2Fesco%2FConceptScheme%2FESCO_Skills" </w:instrText>
            </w:r>
            <w:r w:rsidRPr="003C2236">
              <w:fldChar w:fldCharType="separate"/>
            </w:r>
            <w:r w:rsidRPr="003C2236">
              <w:t>Verbal communication</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fldChar w:fldCharType="end"/>
            </w:r>
            <w:r w:rsidRPr="003C2236">
              <w:t>0.49</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0.39</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0.57</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0.40</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0.47</w:t>
            </w:r>
          </w:p>
        </w:tc>
      </w:tr>
      <w:tr w:rsidR="003C2236" w:rsidRPr="003C2236" w:rsidTr="003C2236">
        <w:trPr>
          <w:trHeight w:val="460"/>
        </w:trPr>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IV</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2.1</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p>
        </w:tc>
        <w:tc>
          <w:tcPr>
            <w:tcW w:w="2609" w:type="dxa"/>
            <w:shd w:val="clear" w:color="auto" w:fill="auto"/>
            <w:tcMar>
              <w:top w:w="100" w:type="dxa"/>
              <w:left w:w="100" w:type="dxa"/>
              <w:bottom w:w="100" w:type="dxa"/>
              <w:right w:w="100" w:type="dxa"/>
            </w:tcMar>
          </w:tcPr>
          <w:p w:rsidR="003C2236" w:rsidRPr="003C2236" w:rsidRDefault="003C2236" w:rsidP="003C2236">
            <w:pPr>
              <w:spacing w:after="0"/>
            </w:pPr>
            <w:r w:rsidRPr="003C2236">
              <w:fldChar w:fldCharType="begin"/>
            </w:r>
            <w:r w:rsidRPr="003C2236">
              <w:instrText xml:space="preserve"> HYPERLINK "https://ec.europa.eu/esco/portal/concept?lang=en&amp;concept=http%3A%2F%2Fdata.europa.eu%2Fesco%2Fskill%2F367169&amp;conceptScheme=http%3A%2F%2Fdata.europa.eu%2Fesco%2FConceptScheme%2FESCO_Skills" </w:instrText>
            </w:r>
            <w:r w:rsidRPr="003C2236">
              <w:fldChar w:fldCharType="separate"/>
            </w:r>
            <w:r w:rsidRPr="003C2236">
              <w:t>Spoken production</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fldChar w:fldCharType="end"/>
            </w:r>
            <w:r w:rsidRPr="003C2236">
              <w:t>0.22</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0.17</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0.27</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0.17</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0.21</w:t>
            </w:r>
          </w:p>
        </w:tc>
      </w:tr>
      <w:tr w:rsidR="003C2236" w:rsidRPr="003C2236" w:rsidTr="003C2236">
        <w:trPr>
          <w:trHeight w:val="460"/>
        </w:trPr>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IV</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2.1.1</w:t>
            </w:r>
          </w:p>
        </w:tc>
        <w:tc>
          <w:tcPr>
            <w:tcW w:w="2609" w:type="dxa"/>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fldChar w:fldCharType="begin"/>
            </w:r>
            <w:r w:rsidRPr="003C2236">
              <w:instrText xml:space="preserve"> HYPERLINK "https://ec.europa.eu/esco/portal/concept?lang=en&amp;concept=http%3A%2F%2Fdata.europa.eu%2Fesco%2Fskill%2F367347&amp;conceptScheme=http%3A%2F%2Fdata.europa.eu%2Fesco%2FConceptScheme%2FESCO_Skills" </w:instrText>
            </w:r>
            <w:r w:rsidRPr="003C2236">
              <w:fldChar w:fldCharType="separate"/>
            </w:r>
            <w:r w:rsidRPr="003C2236">
              <w:t>Presentation techniques</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fldChar w:fldCharType="end"/>
            </w:r>
            <w:r w:rsidRPr="003C2236">
              <w:t>0.04</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0.03</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0.05</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0.03</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0.03</w:t>
            </w:r>
          </w:p>
        </w:tc>
      </w:tr>
      <w:tr w:rsidR="003C2236" w:rsidRPr="003C2236" w:rsidTr="003C2236">
        <w:trPr>
          <w:trHeight w:val="460"/>
        </w:trPr>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IV</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2.2</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p>
        </w:tc>
        <w:tc>
          <w:tcPr>
            <w:tcW w:w="2609" w:type="dxa"/>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fldChar w:fldCharType="begin"/>
            </w:r>
            <w:r w:rsidRPr="003C2236">
              <w:instrText xml:space="preserve"> HYPERLINK "https://ec.europa.eu/esco/portal/concept?lang=en&amp;concept=http%3A%2F%2Fdata.europa.eu%2Fesco%2Fskill%2F367171&amp;conceptScheme=http%3A%2F%2Fdata.europa.eu%2Fesco%2FConceptScheme%2FESCO_Skills" </w:instrText>
            </w:r>
            <w:r w:rsidRPr="003C2236">
              <w:fldChar w:fldCharType="separate"/>
            </w:r>
            <w:r w:rsidRPr="003C2236">
              <w:t>Spoken interaction</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fldChar w:fldCharType="end"/>
            </w:r>
            <w:r w:rsidRPr="003C2236">
              <w:t>0.27</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0.22</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0.32</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0.23</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0.26</w:t>
            </w:r>
          </w:p>
        </w:tc>
      </w:tr>
      <w:tr w:rsidR="003C2236" w:rsidRPr="003C2236" w:rsidTr="003C2236">
        <w:trPr>
          <w:trHeight w:val="460"/>
        </w:trPr>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IV</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2.2.1</w:t>
            </w:r>
          </w:p>
        </w:tc>
        <w:tc>
          <w:tcPr>
            <w:tcW w:w="2609" w:type="dxa"/>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fldChar w:fldCharType="begin"/>
            </w:r>
            <w:r w:rsidRPr="003C2236">
              <w:instrText xml:space="preserve"> HYPERLINK "https://ec.europa.eu/esco/portal/concept?lang=en&amp;concept=http%3A%2F%2Fdata.europa.eu%2Fesco%2Fskill%2F367261&amp;conceptScheme=http%3A%2F%2Fdata.europa.eu%2Fesco%2FConceptScheme%2FESCO_Skills" </w:instrText>
            </w:r>
            <w:r w:rsidRPr="003C2236">
              <w:fldChar w:fldCharType="separate"/>
            </w:r>
            <w:r w:rsidRPr="003C2236">
              <w:t>Debating techniques</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fldChar w:fldCharType="end"/>
            </w:r>
            <w:r w:rsidRPr="003C2236">
              <w:t>0</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w:t>
            </w:r>
          </w:p>
        </w:tc>
      </w:tr>
      <w:tr w:rsidR="003C2236" w:rsidRPr="003C2236" w:rsidTr="003C2236">
        <w:trPr>
          <w:trHeight w:val="460"/>
        </w:trPr>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IV</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2.2.2</w:t>
            </w:r>
          </w:p>
        </w:tc>
        <w:tc>
          <w:tcPr>
            <w:tcW w:w="2609" w:type="dxa"/>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fldChar w:fldCharType="begin"/>
            </w:r>
            <w:r w:rsidRPr="003C2236">
              <w:instrText xml:space="preserve"> HYPERLINK "https://ec.europa.eu/esco/portal/concept?lang=en&amp;concept=http%3A%2F%2Fdata.europa.eu%2Fesco%2Fskill%2F367254&amp;conceptScheme=http%3A%2F%2Fdata.europa.eu%2Fesco%2FConceptScheme%2FESCO_Skills" </w:instrText>
            </w:r>
            <w:r w:rsidRPr="003C2236">
              <w:fldChar w:fldCharType="separate"/>
            </w:r>
            <w:r w:rsidRPr="003C2236">
              <w:t>Interrogating</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fldChar w:fldCharType="end"/>
            </w:r>
            <w:r w:rsidRPr="003C2236">
              <w:t>&lt;0.01</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&lt;0.01</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&lt;0.01</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&lt;0.01</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&lt;0.01</w:t>
            </w:r>
          </w:p>
        </w:tc>
      </w:tr>
      <w:tr w:rsidR="003C2236" w:rsidRPr="003C2236" w:rsidTr="003C2236">
        <w:trPr>
          <w:trHeight w:val="460"/>
        </w:trPr>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IV</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2.2.3</w:t>
            </w:r>
          </w:p>
        </w:tc>
        <w:tc>
          <w:tcPr>
            <w:tcW w:w="2609" w:type="dxa"/>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fldChar w:fldCharType="begin"/>
            </w:r>
            <w:r w:rsidRPr="003C2236">
              <w:instrText xml:space="preserve"> HYPERLINK "https://ec.europa.eu/esco/portal/concept?lang=en&amp;concept=http%3A%2F%2Fdata.europa.eu%2Fesco%2Fskill%2F367291&amp;conceptScheme=http%3A%2F%2Fdata.europa.eu%2Fesco%2FConceptScheme%2FESCO_Skills" </w:instrText>
            </w:r>
            <w:r w:rsidRPr="003C2236">
              <w:fldChar w:fldCharType="separate"/>
            </w:r>
            <w:r w:rsidRPr="003C2236">
              <w:t>Persuading</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fldChar w:fldCharType="end"/>
            </w:r>
            <w:r w:rsidRPr="003C2236">
              <w:t>&lt;0.01</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&lt;0.01</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&lt;0.01</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&lt;0.01</w:t>
            </w:r>
          </w:p>
        </w:tc>
        <w:tc>
          <w:tcPr>
            <w:tcW w:w="0" w:type="auto"/>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&lt;0.01</w:t>
            </w:r>
          </w:p>
        </w:tc>
      </w:tr>
      <w:tr w:rsidR="003C2236" w:rsidRPr="003C2236" w:rsidTr="003C2236">
        <w:trPr>
          <w:trHeight w:val="460"/>
        </w:trPr>
        <w:tc>
          <w:tcPr>
            <w:tcW w:w="0" w:type="auto"/>
            <w:tcBorders>
              <w:bottom w:val="single" w:sz="4" w:space="0" w:color="auto"/>
            </w:tcBorders>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IV</w:t>
            </w:r>
          </w:p>
        </w:tc>
        <w:tc>
          <w:tcPr>
            <w:tcW w:w="0" w:type="auto"/>
            <w:tcBorders>
              <w:bottom w:val="single" w:sz="4" w:space="0" w:color="auto"/>
            </w:tcBorders>
            <w:shd w:val="clear" w:color="auto" w:fill="auto"/>
            <w:tcMar>
              <w:top w:w="100" w:type="dxa"/>
              <w:left w:w="100" w:type="dxa"/>
              <w:bottom w:w="100" w:type="dxa"/>
              <w:right w:w="100" w:type="dxa"/>
            </w:tcMar>
            <w:vAlign w:val="bottom"/>
          </w:tcPr>
          <w:p w:rsidR="003C2236" w:rsidRPr="003C2236" w:rsidRDefault="003C2236" w:rsidP="003C2236">
            <w:pPr>
              <w:spacing w:after="0"/>
            </w:pPr>
          </w:p>
        </w:tc>
        <w:tc>
          <w:tcPr>
            <w:tcW w:w="0" w:type="auto"/>
            <w:tcBorders>
              <w:bottom w:val="single" w:sz="4" w:space="0" w:color="auto"/>
            </w:tcBorders>
            <w:shd w:val="clear" w:color="auto" w:fill="auto"/>
            <w:tcMar>
              <w:top w:w="100" w:type="dxa"/>
              <w:left w:w="100" w:type="dxa"/>
              <w:bottom w:w="100" w:type="dxa"/>
              <w:right w:w="100" w:type="dxa"/>
            </w:tcMar>
            <w:vAlign w:val="bottom"/>
          </w:tcPr>
          <w:p w:rsidR="003C2236" w:rsidRPr="003C2236" w:rsidRDefault="003C2236" w:rsidP="003C2236">
            <w:pPr>
              <w:spacing w:after="0"/>
            </w:pPr>
          </w:p>
        </w:tc>
        <w:tc>
          <w:tcPr>
            <w:tcW w:w="0" w:type="auto"/>
            <w:tcBorders>
              <w:bottom w:val="single" w:sz="4" w:space="0" w:color="auto"/>
            </w:tcBorders>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2.2.4</w:t>
            </w:r>
          </w:p>
        </w:tc>
        <w:tc>
          <w:tcPr>
            <w:tcW w:w="2609" w:type="dxa"/>
            <w:tcBorders>
              <w:bottom w:val="single" w:sz="4" w:space="0" w:color="auto"/>
            </w:tcBorders>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fldChar w:fldCharType="begin"/>
            </w:r>
            <w:r w:rsidRPr="003C2236">
              <w:instrText xml:space="preserve"> HYPERLINK "https://ec.europa.eu/esco/portal/concept?lang=en&amp;concept=http%3A%2F%2Fdata.europa.eu%2Fesco%2Fskill%2F367274&amp;conceptScheme=http%3A%2F%2Fdata.europa.eu%2Fesco%2FConceptScheme%2FESCO_Skills" </w:instrText>
            </w:r>
            <w:r w:rsidRPr="003C2236">
              <w:fldChar w:fldCharType="separate"/>
            </w:r>
            <w:r w:rsidRPr="003C2236">
              <w:t>Negotiating</w:t>
            </w:r>
          </w:p>
        </w:tc>
        <w:tc>
          <w:tcPr>
            <w:tcW w:w="0" w:type="auto"/>
            <w:tcBorders>
              <w:bottom w:val="single" w:sz="4" w:space="0" w:color="auto"/>
            </w:tcBorders>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fldChar w:fldCharType="end"/>
            </w:r>
            <w:r w:rsidRPr="003C2236">
              <w:t>0.09</w:t>
            </w:r>
          </w:p>
        </w:tc>
        <w:tc>
          <w:tcPr>
            <w:tcW w:w="0" w:type="auto"/>
            <w:tcBorders>
              <w:bottom w:val="single" w:sz="4" w:space="0" w:color="auto"/>
            </w:tcBorders>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0.07</w:t>
            </w:r>
          </w:p>
        </w:tc>
        <w:tc>
          <w:tcPr>
            <w:tcW w:w="0" w:type="auto"/>
            <w:tcBorders>
              <w:bottom w:val="single" w:sz="4" w:space="0" w:color="auto"/>
            </w:tcBorders>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0.12</w:t>
            </w:r>
          </w:p>
        </w:tc>
        <w:tc>
          <w:tcPr>
            <w:tcW w:w="0" w:type="auto"/>
            <w:tcBorders>
              <w:bottom w:val="single" w:sz="4" w:space="0" w:color="auto"/>
            </w:tcBorders>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0.08</w:t>
            </w:r>
          </w:p>
        </w:tc>
        <w:tc>
          <w:tcPr>
            <w:tcW w:w="0" w:type="auto"/>
            <w:tcBorders>
              <w:bottom w:val="single" w:sz="4" w:space="0" w:color="auto"/>
            </w:tcBorders>
            <w:shd w:val="clear" w:color="auto" w:fill="auto"/>
            <w:tcMar>
              <w:top w:w="100" w:type="dxa"/>
              <w:left w:w="100" w:type="dxa"/>
              <w:bottom w:w="100" w:type="dxa"/>
              <w:right w:w="100" w:type="dxa"/>
            </w:tcMar>
            <w:vAlign w:val="bottom"/>
          </w:tcPr>
          <w:p w:rsidR="003C2236" w:rsidRPr="003C2236" w:rsidRDefault="003C2236" w:rsidP="003C2236">
            <w:pPr>
              <w:spacing w:after="0"/>
            </w:pPr>
            <w:r w:rsidRPr="003C2236">
              <w:t>0.09</w:t>
            </w:r>
          </w:p>
        </w:tc>
      </w:tr>
    </w:tbl>
    <w:p w:rsidR="003C2236" w:rsidRDefault="003C2236" w:rsidP="003C2236"/>
    <w:p w:rsidR="003C2236" w:rsidRDefault="003C2236" w:rsidP="003C2236">
      <w:r>
        <w:t>Figure 1 shows the most popular transversal competences that companies require from their future workers according to Internet job offers.</w:t>
      </w:r>
    </w:p>
    <w:p w:rsidR="003C2236" w:rsidRDefault="007154BC" w:rsidP="003C2236">
      <w:pPr>
        <w:rPr>
          <w:b/>
        </w:rPr>
      </w:pPr>
      <w:r>
        <w:rPr>
          <w:b/>
          <w:noProof/>
          <w:lang w:val="pl-PL" w:eastAsia="pl-PL"/>
        </w:rPr>
        <w:lastRenderedPageBreak/>
        <w:drawing>
          <wp:inline distT="0" distB="0" distL="0" distR="0" wp14:anchorId="48E05A93">
            <wp:extent cx="4944110" cy="3602990"/>
            <wp:effectExtent l="0" t="0" r="889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4110" cy="3602990"/>
                    </a:xfrm>
                    <a:prstGeom prst="rect">
                      <a:avLst/>
                    </a:prstGeom>
                    <a:noFill/>
                  </pic:spPr>
                </pic:pic>
              </a:graphicData>
            </a:graphic>
          </wp:inline>
        </w:drawing>
      </w:r>
    </w:p>
    <w:p w:rsidR="003C2236" w:rsidRDefault="003C2236" w:rsidP="003C2236">
      <w:pPr>
        <w:rPr>
          <w:b/>
          <w:szCs w:val="24"/>
        </w:rPr>
      </w:pPr>
      <w:r>
        <w:rPr>
          <w:b/>
        </w:rPr>
        <w:t>Figure 1. The number (per job offer) of the most frequent competences (with their categories)</w:t>
      </w:r>
    </w:p>
    <w:p w:rsidR="00BC6AFE" w:rsidRDefault="00BC6AFE" w:rsidP="00BC6AFE">
      <w:pPr>
        <w:pStyle w:val="Nagwek1"/>
      </w:pPr>
      <w:r>
        <w:t>Conclusions</w:t>
      </w:r>
    </w:p>
    <w:p w:rsidR="003C2236" w:rsidRDefault="003C2236" w:rsidP="003C2236">
      <w:r>
        <w:t>For job seekers, as well as employment and educational institutions, the up-to-date information about employers’ detailed demands might be helpful. That is why we decided to propose a method of the analysis of demand for occupations, qualifications and competences at a macroeconomic scope by using machine learning techniques and methods to reduce bias using model-assisted estimators. Based on collecting and analysing Internet job offers throughout a long period of time, the method makes it possible to analyse the detailed companies demand with a relatively low cost.</w:t>
      </w:r>
    </w:p>
    <w:p w:rsidR="00BC6AFE" w:rsidRDefault="00BC6AFE" w:rsidP="009B4EE0">
      <w:pPr>
        <w:pStyle w:val="Nagwek1"/>
        <w:numPr>
          <w:ilvl w:val="0"/>
          <w:numId w:val="0"/>
        </w:numPr>
        <w:ind w:left="480" w:hanging="480"/>
      </w:pPr>
      <w:r>
        <w:t>References</w:t>
      </w:r>
    </w:p>
    <w:p w:rsidR="003C2236" w:rsidRPr="003C2236" w:rsidRDefault="003C2236" w:rsidP="003C2236">
      <w:pPr>
        <w:pStyle w:val="Text1"/>
        <w:ind w:left="357" w:hanging="357"/>
      </w:pPr>
      <w:r w:rsidRPr="003C2236">
        <w:t xml:space="preserve">[1] D. Deming, The Growing Importance of Social Skills on the </w:t>
      </w:r>
      <w:proofErr w:type="spellStart"/>
      <w:r w:rsidRPr="003C2236">
        <w:t>Labor</w:t>
      </w:r>
      <w:proofErr w:type="spellEnd"/>
      <w:r w:rsidRPr="003C2236">
        <w:t xml:space="preserve"> Market, </w:t>
      </w:r>
      <w:proofErr w:type="spellStart"/>
      <w:r w:rsidRPr="003C2236">
        <w:t>Quaterly</w:t>
      </w:r>
      <w:proofErr w:type="spellEnd"/>
      <w:r w:rsidRPr="003C2236">
        <w:t xml:space="preserve"> Journal of Economics 132 (2017), 1593–1640.</w:t>
      </w:r>
    </w:p>
    <w:p w:rsidR="003C2236" w:rsidRPr="003C2236" w:rsidRDefault="003C2236" w:rsidP="003C2236">
      <w:pPr>
        <w:pStyle w:val="Text1"/>
        <w:ind w:left="357" w:hanging="357"/>
      </w:pPr>
      <w:r w:rsidRPr="003C2236">
        <w:t xml:space="preserve">[2] D. Deming, L. Kahn, Skill requirements across firms and </w:t>
      </w:r>
      <w:proofErr w:type="spellStart"/>
      <w:r w:rsidRPr="003C2236">
        <w:t>labor</w:t>
      </w:r>
      <w:proofErr w:type="spellEnd"/>
      <w:r w:rsidRPr="003C2236">
        <w:t xml:space="preserve"> markets: evidence from job postings for professionals, NBER Working Paper 23328 (2017). Available at:</w:t>
      </w:r>
      <w:hyperlink r:id="rId13">
        <w:r w:rsidRPr="003C2236">
          <w:t xml:space="preserve"> </w:t>
        </w:r>
      </w:hyperlink>
      <w:hyperlink r:id="rId14">
        <w:r w:rsidRPr="003C2236">
          <w:t>http://www.nber.org/papers/w23328</w:t>
        </w:r>
      </w:hyperlink>
      <w:r w:rsidRPr="003C2236">
        <w:t xml:space="preserve"> (accessed 20.06.2018).</w:t>
      </w:r>
    </w:p>
    <w:p w:rsidR="003C2236" w:rsidRPr="003C2236" w:rsidRDefault="003C2236" w:rsidP="003C2236">
      <w:pPr>
        <w:pStyle w:val="Text1"/>
        <w:ind w:left="357" w:hanging="357"/>
      </w:pPr>
      <w:r w:rsidRPr="003C2236">
        <w:t xml:space="preserve">[3] B. </w:t>
      </w:r>
      <w:proofErr w:type="spellStart"/>
      <w:r w:rsidRPr="003C2236">
        <w:t>Hershbein</w:t>
      </w:r>
      <w:proofErr w:type="spellEnd"/>
      <w:r w:rsidRPr="003C2236">
        <w:t>, L. Kahn, Do recessions accelerate routine-biased technological change? Evidence from vacancy posting, Employment Research 24 (2017), 1-4.</w:t>
      </w:r>
    </w:p>
    <w:p w:rsidR="003C2236" w:rsidRPr="003C2236" w:rsidRDefault="003C2236" w:rsidP="003C2236">
      <w:pPr>
        <w:pStyle w:val="Text1"/>
        <w:ind w:left="357" w:hanging="357"/>
      </w:pPr>
      <w:r w:rsidRPr="003C2236">
        <w:t>[4] OECD, Towards an OECD Skills Strategy, OECD (2011). Available at:</w:t>
      </w:r>
      <w:hyperlink r:id="rId15">
        <w:r w:rsidRPr="003C2236">
          <w:t xml:space="preserve"> </w:t>
        </w:r>
      </w:hyperlink>
      <w:hyperlink r:id="rId16">
        <w:r w:rsidRPr="003C2236">
          <w:t>http://www.oecd.org/education/47769000.pdf</w:t>
        </w:r>
      </w:hyperlink>
      <w:r w:rsidRPr="003C2236">
        <w:t xml:space="preserve"> (accessed 20.06.2018).</w:t>
      </w:r>
    </w:p>
    <w:p w:rsidR="00BC6AFE" w:rsidRPr="003C2236" w:rsidRDefault="003C2236" w:rsidP="003C2236">
      <w:pPr>
        <w:pStyle w:val="Text1"/>
        <w:ind w:left="357" w:hanging="357"/>
      </w:pPr>
      <w:r w:rsidRPr="003C2236">
        <w:t xml:space="preserve">[5] H. Choi, H. Varian, Predicting the Present with Google Trends (2009). Available at </w:t>
      </w:r>
      <w:hyperlink r:id="rId17">
        <w:r w:rsidRPr="003C2236">
          <w:t>https://www.google.com/googleblogs/pdfs/google_predicting_the_present.pdf</w:t>
        </w:r>
      </w:hyperlink>
      <w:r w:rsidRPr="003C2236">
        <w:t xml:space="preserve"> (accessed 31.07.2018).</w:t>
      </w:r>
    </w:p>
    <w:sectPr w:rsidR="00BC6AFE" w:rsidRPr="003C2236" w:rsidSect="00BC6AFE">
      <w:footerReference w:type="default" r:id="rId18"/>
      <w:headerReference w:type="first" r:id="rId19"/>
      <w:footerReference w:type="first" r:id="rId20"/>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236" w:rsidRDefault="003C2236" w:rsidP="00BC6AFE">
      <w:pPr>
        <w:spacing w:after="0"/>
      </w:pPr>
      <w:r>
        <w:separator/>
      </w:r>
    </w:p>
  </w:endnote>
  <w:endnote w:type="continuationSeparator" w:id="0">
    <w:p w:rsidR="003C2236" w:rsidRDefault="003C2236"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Stopka"/>
      <w:jc w:val="center"/>
    </w:pPr>
    <w:r>
      <w:fldChar w:fldCharType="begin"/>
    </w:r>
    <w:r>
      <w:instrText>PAGE</w:instrText>
    </w:r>
    <w:r>
      <w:fldChar w:fldCharType="separate"/>
    </w:r>
    <w:r w:rsidR="0022146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Stopka"/>
      <w:rPr>
        <w:sz w:val="24"/>
        <w:szCs w:val="24"/>
      </w:rPr>
    </w:pPr>
  </w:p>
  <w:p w:rsidR="00D24082" w:rsidRDefault="00D24082">
    <w:pPr>
      <w:pStyle w:val="Stopka"/>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Stopka"/>
    </w:pPr>
  </w:p>
  <w:p w:rsidR="00D24082" w:rsidRDefault="00D24082">
    <w:pPr>
      <w:pStyle w:val="Stopka"/>
    </w:pPr>
    <w:r>
      <w:t>http://epp.eurostat.ec.europa.eu</w:t>
    </w:r>
  </w:p>
  <w:p w:rsidR="00D24082" w:rsidRDefault="00D24082">
    <w:pPr>
      <w:pStyle w:val="Stopk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236" w:rsidRDefault="003C2236" w:rsidP="00BC6AFE">
      <w:pPr>
        <w:spacing w:after="0"/>
      </w:pPr>
      <w:r>
        <w:separator/>
      </w:r>
    </w:p>
  </w:footnote>
  <w:footnote w:type="continuationSeparator" w:id="0">
    <w:p w:rsidR="003C2236" w:rsidRDefault="003C2236"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Nagwek"/>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anumerowan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stapunktowana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apunktowana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apunktowana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anumerowan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stanumerowan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080"/>
        </w:tabs>
        <w:ind w:left="1080" w:hanging="600"/>
      </w:pPr>
    </w:lvl>
    <w:lvl w:ilvl="2">
      <w:start w:val="1"/>
      <w:numFmt w:val="decimal"/>
      <w:pStyle w:val="Nagwek3"/>
      <w:lvlText w:val="%1.%2.%3."/>
      <w:lvlJc w:val="left"/>
      <w:pPr>
        <w:tabs>
          <w:tab w:val="num" w:pos="1920"/>
        </w:tabs>
        <w:ind w:left="1920" w:hanging="840"/>
      </w:pPr>
    </w:lvl>
    <w:lvl w:ilvl="3">
      <w:start w:val="1"/>
      <w:numFmt w:val="decimal"/>
      <w:pStyle w:val="Nagwek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stapunktowana"/>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3C2236"/>
    <w:rsid w:val="000642A1"/>
    <w:rsid w:val="000F7438"/>
    <w:rsid w:val="00127067"/>
    <w:rsid w:val="001857CF"/>
    <w:rsid w:val="001B50CE"/>
    <w:rsid w:val="002012A8"/>
    <w:rsid w:val="00221463"/>
    <w:rsid w:val="00243A2C"/>
    <w:rsid w:val="00332D6F"/>
    <w:rsid w:val="003C2236"/>
    <w:rsid w:val="003D30B8"/>
    <w:rsid w:val="00573E28"/>
    <w:rsid w:val="005B4EA5"/>
    <w:rsid w:val="006312AF"/>
    <w:rsid w:val="006875D6"/>
    <w:rsid w:val="007154BC"/>
    <w:rsid w:val="00820BDC"/>
    <w:rsid w:val="008847C3"/>
    <w:rsid w:val="008851F7"/>
    <w:rsid w:val="008A75D0"/>
    <w:rsid w:val="008E29ED"/>
    <w:rsid w:val="00923850"/>
    <w:rsid w:val="009A41E5"/>
    <w:rsid w:val="009B4EE0"/>
    <w:rsid w:val="00A17E8C"/>
    <w:rsid w:val="00AB4423"/>
    <w:rsid w:val="00B9492F"/>
    <w:rsid w:val="00BC17F5"/>
    <w:rsid w:val="00BC6AFE"/>
    <w:rsid w:val="00D24082"/>
    <w:rsid w:val="00D52EA1"/>
    <w:rsid w:val="00DB6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D52EA1"/>
    <w:pPr>
      <w:spacing w:after="240"/>
      <w:jc w:val="both"/>
    </w:pPr>
    <w:rPr>
      <w:sz w:val="24"/>
      <w:lang w:val="en-GB" w:eastAsia="en-US"/>
    </w:rPr>
  </w:style>
  <w:style w:type="paragraph" w:styleId="Nagwek1">
    <w:name w:val="heading 1"/>
    <w:basedOn w:val="Normalny"/>
    <w:next w:val="Text1"/>
    <w:link w:val="Nagwek1Znak"/>
    <w:qFormat/>
    <w:pPr>
      <w:keepNext/>
      <w:numPr>
        <w:numId w:val="3"/>
      </w:numPr>
      <w:spacing w:before="240"/>
      <w:outlineLvl w:val="0"/>
    </w:pPr>
    <w:rPr>
      <w:b/>
      <w:smallCaps/>
    </w:rPr>
  </w:style>
  <w:style w:type="paragraph" w:styleId="Nagwek2">
    <w:name w:val="heading 2"/>
    <w:basedOn w:val="Normalny"/>
    <w:next w:val="Text2"/>
    <w:link w:val="Nagwek2Znak"/>
    <w:qFormat/>
    <w:pPr>
      <w:keepNext/>
      <w:numPr>
        <w:ilvl w:val="1"/>
        <w:numId w:val="3"/>
      </w:numPr>
      <w:outlineLvl w:val="1"/>
    </w:pPr>
    <w:rPr>
      <w:b/>
    </w:rPr>
  </w:style>
  <w:style w:type="paragraph" w:styleId="Nagwek3">
    <w:name w:val="heading 3"/>
    <w:basedOn w:val="Normalny"/>
    <w:next w:val="Text3"/>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qFormat/>
    <w:pPr>
      <w:spacing w:before="240" w:after="60"/>
      <w:ind w:left="3332" w:hanging="708"/>
      <w:outlineLvl w:val="4"/>
    </w:pPr>
    <w:rPr>
      <w:rFonts w:ascii="Arial" w:hAnsi="Arial"/>
      <w:sz w:val="22"/>
    </w:rPr>
  </w:style>
  <w:style w:type="paragraph" w:styleId="Nagwek6">
    <w:name w:val="heading 6"/>
    <w:basedOn w:val="Normalny"/>
    <w:next w:val="Normalny"/>
    <w:qFormat/>
    <w:pPr>
      <w:spacing w:before="240" w:after="60"/>
      <w:ind w:left="4040" w:hanging="708"/>
      <w:outlineLvl w:val="5"/>
    </w:pPr>
    <w:rPr>
      <w:rFonts w:ascii="Arial" w:hAnsi="Arial"/>
      <w:i/>
      <w:sz w:val="22"/>
    </w:rPr>
  </w:style>
  <w:style w:type="paragraph" w:styleId="Nagwek7">
    <w:name w:val="heading 7"/>
    <w:basedOn w:val="Normalny"/>
    <w:next w:val="Normalny"/>
    <w:qFormat/>
    <w:pPr>
      <w:spacing w:before="240" w:after="60"/>
      <w:ind w:left="4748" w:hanging="708"/>
      <w:outlineLvl w:val="6"/>
    </w:pPr>
    <w:rPr>
      <w:rFonts w:ascii="Arial" w:hAnsi="Arial"/>
      <w:sz w:val="20"/>
    </w:rPr>
  </w:style>
  <w:style w:type="paragraph" w:styleId="Nagwek8">
    <w:name w:val="heading 8"/>
    <w:basedOn w:val="Normalny"/>
    <w:next w:val="Normalny"/>
    <w:qFormat/>
    <w:pPr>
      <w:spacing w:before="240" w:after="60"/>
      <w:ind w:left="5456" w:hanging="708"/>
      <w:outlineLvl w:val="7"/>
    </w:pPr>
    <w:rPr>
      <w:rFonts w:ascii="Arial" w:hAnsi="Arial"/>
      <w:i/>
      <w:sz w:val="20"/>
    </w:rPr>
  </w:style>
  <w:style w:type="paragraph" w:styleId="Nagwek9">
    <w:name w:val="heading 9"/>
    <w:basedOn w:val="Normalny"/>
    <w:next w:val="Normalny"/>
    <w:qFormat/>
    <w:pPr>
      <w:spacing w:before="240" w:after="60"/>
      <w:ind w:left="6164" w:hanging="708"/>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160"/>
      </w:tabs>
      <w:ind w:left="1077"/>
    </w:pPr>
  </w:style>
  <w:style w:type="paragraph" w:customStyle="1" w:styleId="Text3">
    <w:name w:val="Text 3"/>
    <w:basedOn w:val="Normalny"/>
    <w:pPr>
      <w:tabs>
        <w:tab w:val="left" w:pos="2302"/>
      </w:tabs>
      <w:ind w:left="1916"/>
    </w:pPr>
  </w:style>
  <w:style w:type="paragraph" w:customStyle="1" w:styleId="Text4">
    <w:name w:val="Text 4"/>
    <w:basedOn w:val="Normalny"/>
    <w:pPr>
      <w:ind w:left="2880"/>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qFormat/>
    <w:pPr>
      <w:spacing w:before="120" w:after="120"/>
    </w:pPr>
    <w:rPr>
      <w:b/>
    </w:rPr>
  </w:style>
  <w:style w:type="paragraph" w:styleId="Zwrotpoegnalny">
    <w:name w:val="Closing"/>
    <w:basedOn w:val="Normalny"/>
    <w:next w:val="Podpis"/>
    <w:pPr>
      <w:tabs>
        <w:tab w:val="left" w:pos="5103"/>
      </w:tabs>
      <w:spacing w:before="240"/>
      <w:ind w:left="5103"/>
      <w:jc w:val="left"/>
    </w:pPr>
  </w:style>
  <w:style w:type="paragraph" w:styleId="Podpis">
    <w:name w:val="Signature"/>
    <w:basedOn w:val="Normalny"/>
    <w:next w:val="Contact"/>
    <w:link w:val="PodpisZnak"/>
    <w:uiPriority w:val="99"/>
    <w:pPr>
      <w:tabs>
        <w:tab w:val="left" w:pos="5103"/>
      </w:tabs>
      <w:spacing w:before="1200" w:after="0"/>
      <w:ind w:left="5103"/>
      <w:jc w:val="center"/>
    </w:pPr>
  </w:style>
  <w:style w:type="paragraph" w:customStyle="1" w:styleId="Enclosures">
    <w:name w:val="Enclosures"/>
    <w:basedOn w:val="Normalny"/>
    <w:next w:val="Participants"/>
    <w:pPr>
      <w:keepNext/>
      <w:keepLines/>
      <w:tabs>
        <w:tab w:val="left" w:pos="5670"/>
      </w:tabs>
      <w:spacing w:before="480" w:after="0"/>
      <w:ind w:left="1985" w:hanging="1985"/>
      <w:jc w:val="left"/>
    </w:pPr>
  </w:style>
  <w:style w:type="paragraph" w:customStyle="1" w:styleId="Participants">
    <w:name w:val="Participants"/>
    <w:basedOn w:val="Normalny"/>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ny"/>
    <w:next w:val="Normalny"/>
    <w:pPr>
      <w:tabs>
        <w:tab w:val="left" w:pos="2552"/>
        <w:tab w:val="left" w:pos="2835"/>
        <w:tab w:val="left" w:pos="5670"/>
        <w:tab w:val="left" w:pos="6379"/>
        <w:tab w:val="left" w:pos="6804"/>
      </w:tabs>
      <w:spacing w:before="480" w:after="0"/>
      <w:ind w:left="1985" w:hanging="1985"/>
      <w:jc w:val="left"/>
    </w:pPr>
  </w:style>
  <w:style w:type="paragraph" w:styleId="Tekstkomentarza">
    <w:name w:val="annotation text"/>
    <w:basedOn w:val="Normalny"/>
    <w:semiHidden/>
    <w:rPr>
      <w:sz w:val="20"/>
    </w:rPr>
  </w:style>
  <w:style w:type="paragraph" w:styleId="Data">
    <w:name w:val="Date"/>
    <w:basedOn w:val="Normalny"/>
    <w:next w:val="References"/>
    <w:link w:val="DataZnak"/>
    <w:uiPriority w:val="99"/>
    <w:pPr>
      <w:spacing w:after="0"/>
      <w:ind w:left="5103" w:right="-567"/>
      <w:jc w:val="left"/>
    </w:pPr>
  </w:style>
  <w:style w:type="paragraph" w:customStyle="1" w:styleId="References">
    <w:name w:val="References"/>
    <w:basedOn w:val="Normalny"/>
    <w:next w:val="AddressTR"/>
    <w:uiPriority w:val="99"/>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Contact"/>
    <w:pPr>
      <w:tabs>
        <w:tab w:val="left" w:pos="5103"/>
      </w:tabs>
      <w:spacing w:before="1200" w:after="0"/>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rPr>
  </w:style>
  <w:style w:type="paragraph" w:styleId="Tekstprzypisudolnego">
    <w:name w:val="footnote text"/>
    <w:basedOn w:val="Normalny"/>
    <w:semiHidden/>
    <w:pPr>
      <w:ind w:left="357" w:hanging="357"/>
    </w:pPr>
    <w:rPr>
      <w:sz w:val="20"/>
    </w:rPr>
  </w:style>
  <w:style w:type="paragraph" w:styleId="Nagwek">
    <w:name w:val="header"/>
    <w:basedOn w:val="Normalny"/>
    <w:link w:val="NagwekZnak"/>
    <w:uiPriority w:val="99"/>
    <w:pPr>
      <w:tabs>
        <w:tab w:val="center" w:pos="4153"/>
        <w:tab w:val="right" w:pos="8306"/>
      </w:tabs>
    </w:p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160"/>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160"/>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pPr>
      <w:ind w:left="720"/>
    </w:p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tytu">
    <w:name w:val="Subtitle"/>
    <w:basedOn w:val="Normalny"/>
    <w:qFormat/>
    <w:pPr>
      <w:spacing w:after="60"/>
      <w:jc w:val="center"/>
      <w:outlineLvl w:val="1"/>
    </w:pPr>
    <w:rPr>
      <w:rFonts w:ascii="Arial" w:hAnsi="Arial"/>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qFormat/>
    <w:pPr>
      <w:spacing w:before="240" w:after="60"/>
      <w:jc w:val="center"/>
      <w:outlineLvl w:val="0"/>
    </w:pPr>
    <w:rPr>
      <w:rFonts w:ascii="Arial" w:hAnsi="Arial"/>
      <w:b/>
      <w:kern w:val="28"/>
      <w:sz w:val="32"/>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gwekspisutreci">
    <w:name w:val="TOC Heading"/>
    <w:basedOn w:val="Normalny"/>
    <w:next w:val="Normalny"/>
    <w:qFormat/>
    <w:pPr>
      <w:keepNext/>
      <w:spacing w:before="240"/>
      <w:jc w:val="center"/>
    </w:pPr>
    <w:rPr>
      <w:b/>
    </w:rPr>
  </w:style>
  <w:style w:type="paragraph" w:customStyle="1" w:styleId="Contact">
    <w:name w:val="Contact"/>
    <w:basedOn w:val="Normalny"/>
    <w:next w:val="Enclosures"/>
    <w:uiPriority w:val="99"/>
    <w:pPr>
      <w:spacing w:before="480" w:after="0"/>
      <w:ind w:left="567" w:hanging="567"/>
      <w:jc w:val="left"/>
    </w:pPr>
  </w:style>
  <w:style w:type="paragraph" w:customStyle="1" w:styleId="DisclaimerNotice">
    <w:name w:val="Disclaimer Notice"/>
    <w:basedOn w:val="Normalny"/>
    <w:next w:val="AddressTR"/>
    <w:pPr>
      <w:ind w:left="5103"/>
      <w:jc w:val="left"/>
    </w:pPr>
    <w:rPr>
      <w:i/>
      <w:sz w:val="20"/>
    </w:rPr>
  </w:style>
  <w:style w:type="paragraph" w:customStyle="1" w:styleId="Disclaimer">
    <w:name w:val="Disclaimer"/>
    <w:basedOn w:val="Normalny"/>
    <w:pPr>
      <w:keepLines/>
      <w:pBdr>
        <w:top w:val="single" w:sz="4" w:space="1" w:color="auto"/>
      </w:pBdr>
      <w:spacing w:before="480" w:after="0"/>
    </w:pPr>
    <w:rPr>
      <w:i/>
    </w:rPr>
  </w:style>
  <w:style w:type="character" w:styleId="UyteHipercze">
    <w:name w:val="FollowedHyperlink"/>
    <w:rPr>
      <w:color w:val="800080"/>
      <w:u w:val="single"/>
    </w:rPr>
  </w:style>
  <w:style w:type="paragraph" w:customStyle="1" w:styleId="DisclaimerSJ">
    <w:name w:val="Disclaimer_SJ"/>
    <w:basedOn w:val="Normalny"/>
    <w:next w:val="Normalny"/>
    <w:pPr>
      <w:spacing w:after="0"/>
    </w:pPr>
    <w:rPr>
      <w:rFonts w:ascii="Arial" w:hAnsi="Arial"/>
      <w:b/>
      <w:sz w:val="16"/>
    </w:rPr>
  </w:style>
  <w:style w:type="paragraph" w:customStyle="1" w:styleId="Designator">
    <w:name w:val="Designator"/>
    <w:basedOn w:val="Normalny"/>
    <w:pPr>
      <w:spacing w:after="0"/>
      <w:jc w:val="center"/>
    </w:pPr>
    <w:rPr>
      <w:b/>
      <w:caps/>
      <w:sz w:val="32"/>
    </w:rPr>
  </w:style>
  <w:style w:type="paragraph" w:customStyle="1" w:styleId="Releasable">
    <w:name w:val="Releasable"/>
    <w:basedOn w:val="Normalny"/>
    <w:qFormat/>
    <w:pPr>
      <w:spacing w:after="0"/>
      <w:jc w:val="center"/>
    </w:pPr>
    <w:rPr>
      <w:b/>
      <w:caps/>
      <w:sz w:val="32"/>
      <w:lang w:val="de-DE"/>
    </w:rPr>
  </w:style>
  <w:style w:type="paragraph" w:customStyle="1" w:styleId="RUE">
    <w:name w:val="RUE"/>
    <w:basedOn w:val="Normalny"/>
    <w:pPr>
      <w:spacing w:after="0"/>
      <w:jc w:val="center"/>
    </w:pPr>
    <w:rPr>
      <w:b/>
      <w:caps/>
      <w:sz w:val="32"/>
      <w:bdr w:val="single" w:sz="18" w:space="0" w:color="auto"/>
      <w:lang w:val="de-DE"/>
    </w:rPr>
  </w:style>
  <w:style w:type="paragraph" w:customStyle="1" w:styleId="ConfidentialUE">
    <w:name w:val="Confidential UE"/>
    <w:basedOn w:val="Normalny"/>
    <w:pPr>
      <w:spacing w:after="0"/>
      <w:jc w:val="center"/>
    </w:pPr>
    <w:rPr>
      <w:b/>
      <w:caps/>
      <w:sz w:val="32"/>
      <w:bdr w:val="single" w:sz="18" w:space="0" w:color="auto"/>
    </w:rPr>
  </w:style>
  <w:style w:type="paragraph" w:customStyle="1" w:styleId="TrsSecretUE">
    <w:name w:val="Très Secret UE"/>
    <w:basedOn w:val="Normalny"/>
    <w:pPr>
      <w:spacing w:after="0"/>
      <w:jc w:val="center"/>
    </w:pPr>
    <w:rPr>
      <w:b/>
      <w:caps/>
      <w:color w:val="FF0000"/>
      <w:sz w:val="32"/>
      <w:bdr w:val="single" w:sz="18" w:space="0" w:color="FF0000"/>
    </w:rPr>
  </w:style>
  <w:style w:type="paragraph" w:customStyle="1" w:styleId="SecretUE">
    <w:name w:val="Secret UE"/>
    <w:basedOn w:val="Normalny"/>
    <w:pPr>
      <w:spacing w:after="0"/>
      <w:jc w:val="center"/>
    </w:pPr>
    <w:rPr>
      <w:b/>
      <w:caps/>
      <w:color w:val="FF0000"/>
      <w:sz w:val="32"/>
      <w:bdr w:val="single" w:sz="18" w:space="0" w:color="FF0000"/>
    </w:rPr>
  </w:style>
  <w:style w:type="character" w:customStyle="1" w:styleId="StopkaZnak">
    <w:name w:val="Stopka Znak"/>
    <w:link w:val="Stopka"/>
    <w:uiPriority w:val="99"/>
    <w:rsid w:val="00BC6AFE"/>
    <w:rPr>
      <w:rFonts w:ascii="Arial" w:hAnsi="Arial"/>
      <w:sz w:val="16"/>
      <w:lang w:eastAsia="en-US"/>
    </w:rPr>
  </w:style>
  <w:style w:type="character" w:customStyle="1" w:styleId="DataZnak">
    <w:name w:val="Data Znak"/>
    <w:link w:val="Data"/>
    <w:uiPriority w:val="99"/>
    <w:rsid w:val="00BC6AFE"/>
    <w:rPr>
      <w:sz w:val="24"/>
      <w:lang w:eastAsia="en-US"/>
    </w:rPr>
  </w:style>
  <w:style w:type="character" w:customStyle="1" w:styleId="PodpisZnak">
    <w:name w:val="Podpis Znak"/>
    <w:link w:val="Podpis"/>
    <w:uiPriority w:val="99"/>
    <w:rsid w:val="00BC6AFE"/>
    <w:rPr>
      <w:sz w:val="24"/>
      <w:lang w:eastAsia="en-US"/>
    </w:rPr>
  </w:style>
  <w:style w:type="paragraph" w:customStyle="1" w:styleId="ZCom">
    <w:name w:val="Z_Com"/>
    <w:basedOn w:val="Normalny"/>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NagwekZnak">
    <w:name w:val="Nagłówek Znak"/>
    <w:link w:val="Nagwek"/>
    <w:uiPriority w:val="99"/>
    <w:rsid w:val="00BC6AFE"/>
    <w:rPr>
      <w:sz w:val="24"/>
      <w:lang w:eastAsia="en-US"/>
    </w:rPr>
  </w:style>
  <w:style w:type="character" w:customStyle="1" w:styleId="Nagwek2Znak">
    <w:name w:val="Nagłówek 2 Znak"/>
    <w:link w:val="Nagwek2"/>
    <w:rsid w:val="00BC6AFE"/>
    <w:rPr>
      <w:b/>
      <w:sz w:val="24"/>
      <w:lang w:eastAsia="en-US"/>
    </w:rPr>
  </w:style>
  <w:style w:type="character" w:customStyle="1" w:styleId="Nagwek1Znak">
    <w:name w:val="Nagłówek 1 Znak"/>
    <w:link w:val="Nagwek1"/>
    <w:rsid w:val="00BC6AFE"/>
    <w:rPr>
      <w:b/>
      <w:smallCaps/>
      <w:sz w:val="24"/>
      <w:lang w:eastAsia="en-US"/>
    </w:rPr>
  </w:style>
  <w:style w:type="table" w:styleId="Tabela-Siatka">
    <w:name w:val="Table Grid"/>
    <w:basedOn w:val="Standardowy"/>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851F7"/>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8851F7"/>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D52EA1"/>
    <w:pPr>
      <w:spacing w:after="240"/>
      <w:jc w:val="both"/>
    </w:pPr>
    <w:rPr>
      <w:sz w:val="24"/>
      <w:lang w:val="en-GB" w:eastAsia="en-US"/>
    </w:rPr>
  </w:style>
  <w:style w:type="paragraph" w:styleId="Nagwek1">
    <w:name w:val="heading 1"/>
    <w:basedOn w:val="Normalny"/>
    <w:next w:val="Text1"/>
    <w:link w:val="Nagwek1Znak"/>
    <w:qFormat/>
    <w:pPr>
      <w:keepNext/>
      <w:numPr>
        <w:numId w:val="3"/>
      </w:numPr>
      <w:spacing w:before="240"/>
      <w:outlineLvl w:val="0"/>
    </w:pPr>
    <w:rPr>
      <w:b/>
      <w:smallCaps/>
    </w:rPr>
  </w:style>
  <w:style w:type="paragraph" w:styleId="Nagwek2">
    <w:name w:val="heading 2"/>
    <w:basedOn w:val="Normalny"/>
    <w:next w:val="Text2"/>
    <w:link w:val="Nagwek2Znak"/>
    <w:qFormat/>
    <w:pPr>
      <w:keepNext/>
      <w:numPr>
        <w:ilvl w:val="1"/>
        <w:numId w:val="3"/>
      </w:numPr>
      <w:outlineLvl w:val="1"/>
    </w:pPr>
    <w:rPr>
      <w:b/>
    </w:rPr>
  </w:style>
  <w:style w:type="paragraph" w:styleId="Nagwek3">
    <w:name w:val="heading 3"/>
    <w:basedOn w:val="Normalny"/>
    <w:next w:val="Text3"/>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qFormat/>
    <w:pPr>
      <w:spacing w:before="240" w:after="60"/>
      <w:ind w:left="3332" w:hanging="708"/>
      <w:outlineLvl w:val="4"/>
    </w:pPr>
    <w:rPr>
      <w:rFonts w:ascii="Arial" w:hAnsi="Arial"/>
      <w:sz w:val="22"/>
    </w:rPr>
  </w:style>
  <w:style w:type="paragraph" w:styleId="Nagwek6">
    <w:name w:val="heading 6"/>
    <w:basedOn w:val="Normalny"/>
    <w:next w:val="Normalny"/>
    <w:qFormat/>
    <w:pPr>
      <w:spacing w:before="240" w:after="60"/>
      <w:ind w:left="4040" w:hanging="708"/>
      <w:outlineLvl w:val="5"/>
    </w:pPr>
    <w:rPr>
      <w:rFonts w:ascii="Arial" w:hAnsi="Arial"/>
      <w:i/>
      <w:sz w:val="22"/>
    </w:rPr>
  </w:style>
  <w:style w:type="paragraph" w:styleId="Nagwek7">
    <w:name w:val="heading 7"/>
    <w:basedOn w:val="Normalny"/>
    <w:next w:val="Normalny"/>
    <w:qFormat/>
    <w:pPr>
      <w:spacing w:before="240" w:after="60"/>
      <w:ind w:left="4748" w:hanging="708"/>
      <w:outlineLvl w:val="6"/>
    </w:pPr>
    <w:rPr>
      <w:rFonts w:ascii="Arial" w:hAnsi="Arial"/>
      <w:sz w:val="20"/>
    </w:rPr>
  </w:style>
  <w:style w:type="paragraph" w:styleId="Nagwek8">
    <w:name w:val="heading 8"/>
    <w:basedOn w:val="Normalny"/>
    <w:next w:val="Normalny"/>
    <w:qFormat/>
    <w:pPr>
      <w:spacing w:before="240" w:after="60"/>
      <w:ind w:left="5456" w:hanging="708"/>
      <w:outlineLvl w:val="7"/>
    </w:pPr>
    <w:rPr>
      <w:rFonts w:ascii="Arial" w:hAnsi="Arial"/>
      <w:i/>
      <w:sz w:val="20"/>
    </w:rPr>
  </w:style>
  <w:style w:type="paragraph" w:styleId="Nagwek9">
    <w:name w:val="heading 9"/>
    <w:basedOn w:val="Normalny"/>
    <w:next w:val="Normalny"/>
    <w:qFormat/>
    <w:pPr>
      <w:spacing w:before="240" w:after="60"/>
      <w:ind w:left="6164" w:hanging="708"/>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160"/>
      </w:tabs>
      <w:ind w:left="1077"/>
    </w:pPr>
  </w:style>
  <w:style w:type="paragraph" w:customStyle="1" w:styleId="Text3">
    <w:name w:val="Text 3"/>
    <w:basedOn w:val="Normalny"/>
    <w:pPr>
      <w:tabs>
        <w:tab w:val="left" w:pos="2302"/>
      </w:tabs>
      <w:ind w:left="1916"/>
    </w:pPr>
  </w:style>
  <w:style w:type="paragraph" w:customStyle="1" w:styleId="Text4">
    <w:name w:val="Text 4"/>
    <w:basedOn w:val="Normalny"/>
    <w:pPr>
      <w:ind w:left="2880"/>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qFormat/>
    <w:pPr>
      <w:spacing w:before="120" w:after="120"/>
    </w:pPr>
    <w:rPr>
      <w:b/>
    </w:rPr>
  </w:style>
  <w:style w:type="paragraph" w:styleId="Zwrotpoegnalny">
    <w:name w:val="Closing"/>
    <w:basedOn w:val="Normalny"/>
    <w:next w:val="Podpis"/>
    <w:pPr>
      <w:tabs>
        <w:tab w:val="left" w:pos="5103"/>
      </w:tabs>
      <w:spacing w:before="240"/>
      <w:ind w:left="5103"/>
      <w:jc w:val="left"/>
    </w:pPr>
  </w:style>
  <w:style w:type="paragraph" w:styleId="Podpis">
    <w:name w:val="Signature"/>
    <w:basedOn w:val="Normalny"/>
    <w:next w:val="Contact"/>
    <w:link w:val="PodpisZnak"/>
    <w:uiPriority w:val="99"/>
    <w:pPr>
      <w:tabs>
        <w:tab w:val="left" w:pos="5103"/>
      </w:tabs>
      <w:spacing w:before="1200" w:after="0"/>
      <w:ind w:left="5103"/>
      <w:jc w:val="center"/>
    </w:pPr>
  </w:style>
  <w:style w:type="paragraph" w:customStyle="1" w:styleId="Enclosures">
    <w:name w:val="Enclosures"/>
    <w:basedOn w:val="Normalny"/>
    <w:next w:val="Participants"/>
    <w:pPr>
      <w:keepNext/>
      <w:keepLines/>
      <w:tabs>
        <w:tab w:val="left" w:pos="5670"/>
      </w:tabs>
      <w:spacing w:before="480" w:after="0"/>
      <w:ind w:left="1985" w:hanging="1985"/>
      <w:jc w:val="left"/>
    </w:pPr>
  </w:style>
  <w:style w:type="paragraph" w:customStyle="1" w:styleId="Participants">
    <w:name w:val="Participants"/>
    <w:basedOn w:val="Normalny"/>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ny"/>
    <w:next w:val="Normalny"/>
    <w:pPr>
      <w:tabs>
        <w:tab w:val="left" w:pos="2552"/>
        <w:tab w:val="left" w:pos="2835"/>
        <w:tab w:val="left" w:pos="5670"/>
        <w:tab w:val="left" w:pos="6379"/>
        <w:tab w:val="left" w:pos="6804"/>
      </w:tabs>
      <w:spacing w:before="480" w:after="0"/>
      <w:ind w:left="1985" w:hanging="1985"/>
      <w:jc w:val="left"/>
    </w:pPr>
  </w:style>
  <w:style w:type="paragraph" w:styleId="Tekstkomentarza">
    <w:name w:val="annotation text"/>
    <w:basedOn w:val="Normalny"/>
    <w:semiHidden/>
    <w:rPr>
      <w:sz w:val="20"/>
    </w:rPr>
  </w:style>
  <w:style w:type="paragraph" w:styleId="Data">
    <w:name w:val="Date"/>
    <w:basedOn w:val="Normalny"/>
    <w:next w:val="References"/>
    <w:link w:val="DataZnak"/>
    <w:uiPriority w:val="99"/>
    <w:pPr>
      <w:spacing w:after="0"/>
      <w:ind w:left="5103" w:right="-567"/>
      <w:jc w:val="left"/>
    </w:pPr>
  </w:style>
  <w:style w:type="paragraph" w:customStyle="1" w:styleId="References">
    <w:name w:val="References"/>
    <w:basedOn w:val="Normalny"/>
    <w:next w:val="AddressTR"/>
    <w:uiPriority w:val="99"/>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Contact"/>
    <w:pPr>
      <w:tabs>
        <w:tab w:val="left" w:pos="5103"/>
      </w:tabs>
      <w:spacing w:before="1200" w:after="0"/>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rPr>
  </w:style>
  <w:style w:type="paragraph" w:styleId="Tekstprzypisudolnego">
    <w:name w:val="footnote text"/>
    <w:basedOn w:val="Normalny"/>
    <w:semiHidden/>
    <w:pPr>
      <w:ind w:left="357" w:hanging="357"/>
    </w:pPr>
    <w:rPr>
      <w:sz w:val="20"/>
    </w:rPr>
  </w:style>
  <w:style w:type="paragraph" w:styleId="Nagwek">
    <w:name w:val="header"/>
    <w:basedOn w:val="Normalny"/>
    <w:link w:val="NagwekZnak"/>
    <w:uiPriority w:val="99"/>
    <w:pPr>
      <w:tabs>
        <w:tab w:val="center" w:pos="4153"/>
        <w:tab w:val="right" w:pos="8306"/>
      </w:tabs>
    </w:p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160"/>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160"/>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pPr>
      <w:ind w:left="720"/>
    </w:p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tytu">
    <w:name w:val="Subtitle"/>
    <w:basedOn w:val="Normalny"/>
    <w:qFormat/>
    <w:pPr>
      <w:spacing w:after="60"/>
      <w:jc w:val="center"/>
      <w:outlineLvl w:val="1"/>
    </w:pPr>
    <w:rPr>
      <w:rFonts w:ascii="Arial" w:hAnsi="Arial"/>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qFormat/>
    <w:pPr>
      <w:spacing w:before="240" w:after="60"/>
      <w:jc w:val="center"/>
      <w:outlineLvl w:val="0"/>
    </w:pPr>
    <w:rPr>
      <w:rFonts w:ascii="Arial" w:hAnsi="Arial"/>
      <w:b/>
      <w:kern w:val="28"/>
      <w:sz w:val="32"/>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gwekspisutreci">
    <w:name w:val="TOC Heading"/>
    <w:basedOn w:val="Normalny"/>
    <w:next w:val="Normalny"/>
    <w:qFormat/>
    <w:pPr>
      <w:keepNext/>
      <w:spacing w:before="240"/>
      <w:jc w:val="center"/>
    </w:pPr>
    <w:rPr>
      <w:b/>
    </w:rPr>
  </w:style>
  <w:style w:type="paragraph" w:customStyle="1" w:styleId="Contact">
    <w:name w:val="Contact"/>
    <w:basedOn w:val="Normalny"/>
    <w:next w:val="Enclosures"/>
    <w:uiPriority w:val="99"/>
    <w:pPr>
      <w:spacing w:before="480" w:after="0"/>
      <w:ind w:left="567" w:hanging="567"/>
      <w:jc w:val="left"/>
    </w:pPr>
  </w:style>
  <w:style w:type="paragraph" w:customStyle="1" w:styleId="DisclaimerNotice">
    <w:name w:val="Disclaimer Notice"/>
    <w:basedOn w:val="Normalny"/>
    <w:next w:val="AddressTR"/>
    <w:pPr>
      <w:ind w:left="5103"/>
      <w:jc w:val="left"/>
    </w:pPr>
    <w:rPr>
      <w:i/>
      <w:sz w:val="20"/>
    </w:rPr>
  </w:style>
  <w:style w:type="paragraph" w:customStyle="1" w:styleId="Disclaimer">
    <w:name w:val="Disclaimer"/>
    <w:basedOn w:val="Normalny"/>
    <w:pPr>
      <w:keepLines/>
      <w:pBdr>
        <w:top w:val="single" w:sz="4" w:space="1" w:color="auto"/>
      </w:pBdr>
      <w:spacing w:before="480" w:after="0"/>
    </w:pPr>
    <w:rPr>
      <w:i/>
    </w:rPr>
  </w:style>
  <w:style w:type="character" w:styleId="UyteHipercze">
    <w:name w:val="FollowedHyperlink"/>
    <w:rPr>
      <w:color w:val="800080"/>
      <w:u w:val="single"/>
    </w:rPr>
  </w:style>
  <w:style w:type="paragraph" w:customStyle="1" w:styleId="DisclaimerSJ">
    <w:name w:val="Disclaimer_SJ"/>
    <w:basedOn w:val="Normalny"/>
    <w:next w:val="Normalny"/>
    <w:pPr>
      <w:spacing w:after="0"/>
    </w:pPr>
    <w:rPr>
      <w:rFonts w:ascii="Arial" w:hAnsi="Arial"/>
      <w:b/>
      <w:sz w:val="16"/>
    </w:rPr>
  </w:style>
  <w:style w:type="paragraph" w:customStyle="1" w:styleId="Designator">
    <w:name w:val="Designator"/>
    <w:basedOn w:val="Normalny"/>
    <w:pPr>
      <w:spacing w:after="0"/>
      <w:jc w:val="center"/>
    </w:pPr>
    <w:rPr>
      <w:b/>
      <w:caps/>
      <w:sz w:val="32"/>
    </w:rPr>
  </w:style>
  <w:style w:type="paragraph" w:customStyle="1" w:styleId="Releasable">
    <w:name w:val="Releasable"/>
    <w:basedOn w:val="Normalny"/>
    <w:qFormat/>
    <w:pPr>
      <w:spacing w:after="0"/>
      <w:jc w:val="center"/>
    </w:pPr>
    <w:rPr>
      <w:b/>
      <w:caps/>
      <w:sz w:val="32"/>
      <w:lang w:val="de-DE"/>
    </w:rPr>
  </w:style>
  <w:style w:type="paragraph" w:customStyle="1" w:styleId="RUE">
    <w:name w:val="RUE"/>
    <w:basedOn w:val="Normalny"/>
    <w:pPr>
      <w:spacing w:after="0"/>
      <w:jc w:val="center"/>
    </w:pPr>
    <w:rPr>
      <w:b/>
      <w:caps/>
      <w:sz w:val="32"/>
      <w:bdr w:val="single" w:sz="18" w:space="0" w:color="auto"/>
      <w:lang w:val="de-DE"/>
    </w:rPr>
  </w:style>
  <w:style w:type="paragraph" w:customStyle="1" w:styleId="ConfidentialUE">
    <w:name w:val="Confidential UE"/>
    <w:basedOn w:val="Normalny"/>
    <w:pPr>
      <w:spacing w:after="0"/>
      <w:jc w:val="center"/>
    </w:pPr>
    <w:rPr>
      <w:b/>
      <w:caps/>
      <w:sz w:val="32"/>
      <w:bdr w:val="single" w:sz="18" w:space="0" w:color="auto"/>
    </w:rPr>
  </w:style>
  <w:style w:type="paragraph" w:customStyle="1" w:styleId="TrsSecretUE">
    <w:name w:val="Très Secret UE"/>
    <w:basedOn w:val="Normalny"/>
    <w:pPr>
      <w:spacing w:after="0"/>
      <w:jc w:val="center"/>
    </w:pPr>
    <w:rPr>
      <w:b/>
      <w:caps/>
      <w:color w:val="FF0000"/>
      <w:sz w:val="32"/>
      <w:bdr w:val="single" w:sz="18" w:space="0" w:color="FF0000"/>
    </w:rPr>
  </w:style>
  <w:style w:type="paragraph" w:customStyle="1" w:styleId="SecretUE">
    <w:name w:val="Secret UE"/>
    <w:basedOn w:val="Normalny"/>
    <w:pPr>
      <w:spacing w:after="0"/>
      <w:jc w:val="center"/>
    </w:pPr>
    <w:rPr>
      <w:b/>
      <w:caps/>
      <w:color w:val="FF0000"/>
      <w:sz w:val="32"/>
      <w:bdr w:val="single" w:sz="18" w:space="0" w:color="FF0000"/>
    </w:rPr>
  </w:style>
  <w:style w:type="character" w:customStyle="1" w:styleId="StopkaZnak">
    <w:name w:val="Stopka Znak"/>
    <w:link w:val="Stopka"/>
    <w:uiPriority w:val="99"/>
    <w:rsid w:val="00BC6AFE"/>
    <w:rPr>
      <w:rFonts w:ascii="Arial" w:hAnsi="Arial"/>
      <w:sz w:val="16"/>
      <w:lang w:eastAsia="en-US"/>
    </w:rPr>
  </w:style>
  <w:style w:type="character" w:customStyle="1" w:styleId="DataZnak">
    <w:name w:val="Data Znak"/>
    <w:link w:val="Data"/>
    <w:uiPriority w:val="99"/>
    <w:rsid w:val="00BC6AFE"/>
    <w:rPr>
      <w:sz w:val="24"/>
      <w:lang w:eastAsia="en-US"/>
    </w:rPr>
  </w:style>
  <w:style w:type="character" w:customStyle="1" w:styleId="PodpisZnak">
    <w:name w:val="Podpis Znak"/>
    <w:link w:val="Podpis"/>
    <w:uiPriority w:val="99"/>
    <w:rsid w:val="00BC6AFE"/>
    <w:rPr>
      <w:sz w:val="24"/>
      <w:lang w:eastAsia="en-US"/>
    </w:rPr>
  </w:style>
  <w:style w:type="paragraph" w:customStyle="1" w:styleId="ZCom">
    <w:name w:val="Z_Com"/>
    <w:basedOn w:val="Normalny"/>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NagwekZnak">
    <w:name w:val="Nagłówek Znak"/>
    <w:link w:val="Nagwek"/>
    <w:uiPriority w:val="99"/>
    <w:rsid w:val="00BC6AFE"/>
    <w:rPr>
      <w:sz w:val="24"/>
      <w:lang w:eastAsia="en-US"/>
    </w:rPr>
  </w:style>
  <w:style w:type="character" w:customStyle="1" w:styleId="Nagwek2Znak">
    <w:name w:val="Nagłówek 2 Znak"/>
    <w:link w:val="Nagwek2"/>
    <w:rsid w:val="00BC6AFE"/>
    <w:rPr>
      <w:b/>
      <w:sz w:val="24"/>
      <w:lang w:eastAsia="en-US"/>
    </w:rPr>
  </w:style>
  <w:style w:type="character" w:customStyle="1" w:styleId="Nagwek1Znak">
    <w:name w:val="Nagłówek 1 Znak"/>
    <w:link w:val="Nagwek1"/>
    <w:rsid w:val="00BC6AFE"/>
    <w:rPr>
      <w:b/>
      <w:smallCaps/>
      <w:sz w:val="24"/>
      <w:lang w:eastAsia="en-US"/>
    </w:rPr>
  </w:style>
  <w:style w:type="table" w:styleId="Tabela-Siatka">
    <w:name w:val="Table Grid"/>
    <w:basedOn w:val="Standardowy"/>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851F7"/>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8851F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ber.org/papers/w2332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google.com/googleblogs/pdfs/google_predicting_the_present.pdf" TargetMode="External"/><Relationship Id="rId2" Type="http://schemas.openxmlformats.org/officeDocument/2006/relationships/customXml" Target="../customXml/item2.xml"/><Relationship Id="rId16" Type="http://schemas.openxmlformats.org/officeDocument/2006/relationships/hyperlink" Target="http://www.oecd.org/education/47769000.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oecd.org/education/47769000.pdf"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ber.org/papers/w23328"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ezrobocie%20strukturalne\projekt%20Dialog\realizacja%20papiery\umowy%20i%20dzie&#322;a\zadanie%205\wyjazd%20NTTS\extraction%20occupation%20competences.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CEEB3738-7985-4511-B1A4-A6925AFF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extraction occupation competences</Template>
  <TotalTime>16</TotalTime>
  <Pages>4</Pages>
  <Words>1389</Words>
  <Characters>10192</Characters>
  <Application>Microsoft Office Word</Application>
  <DocSecurity>0</DocSecurity>
  <PresentationFormat>Microsoft Word 14.0</PresentationFormat>
  <Lines>84</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ra109</dc:creator>
  <cp:keywords>EL4</cp:keywords>
  <cp:lastModifiedBy>ra109</cp:lastModifiedBy>
  <cp:revision>3</cp:revision>
  <cp:lastPrinted>2018-05-29T10:06:00Z</cp:lastPrinted>
  <dcterms:created xsi:type="dcterms:W3CDTF">2018-10-15T15:36:00Z</dcterms:created>
  <dcterms:modified xsi:type="dcterms:W3CDTF">2018-10-15T16:00:00Z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