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598" w:rsidRDefault="00017598" w:rsidP="00E22F33">
      <w:pPr>
        <w:pStyle w:val="Title"/>
        <w:rPr>
          <w:lang w:val="en-US"/>
        </w:rPr>
      </w:pPr>
      <w:bookmarkStart w:id="0" w:name="_GoBack"/>
      <w:bookmarkEnd w:id="0"/>
    </w:p>
    <w:p w:rsidR="00E22F33" w:rsidRPr="00E22F33" w:rsidRDefault="00E22F33" w:rsidP="00E22F33">
      <w:pPr>
        <w:pStyle w:val="Title"/>
        <w:rPr>
          <w:highlight w:val="yellow"/>
          <w:lang w:val="en-US"/>
        </w:rPr>
      </w:pPr>
      <w:r w:rsidRPr="00E22F33">
        <w:rPr>
          <w:lang w:val="en-US"/>
        </w:rPr>
        <w:t xml:space="preserve">Big Data on Vessel Traffic: An Innovative </w:t>
      </w:r>
      <w:r w:rsidRPr="00E22F33">
        <w:rPr>
          <w:lang w:val="en-US"/>
        </w:rPr>
        <w:br/>
        <w:t>Approach to Nowcast Trade Flows in Real-Time</w:t>
      </w:r>
    </w:p>
    <w:p w:rsidR="00E22F33" w:rsidRDefault="00E22F33" w:rsidP="00243A2C">
      <w:pPr>
        <w:rPr>
          <w:b/>
          <w:u w:val="single"/>
        </w:rPr>
      </w:pPr>
    </w:p>
    <w:p w:rsidR="00243A2C" w:rsidRDefault="00243A2C" w:rsidP="00243A2C">
      <w:r w:rsidRPr="00243A2C">
        <w:rPr>
          <w:b/>
          <w:u w:val="single"/>
        </w:rPr>
        <w:t>Keywords</w:t>
      </w:r>
      <w:r w:rsidRPr="00243A2C">
        <w:rPr>
          <w:b/>
        </w:rPr>
        <w:t>:</w:t>
      </w:r>
      <w:r>
        <w:t xml:space="preserve"> </w:t>
      </w:r>
      <w:r w:rsidR="00E22F33" w:rsidRPr="00E22F33">
        <w:t>Big Data, Trade Statistics, Automatic Identification System (AIS), Vessel Traffic</w:t>
      </w:r>
      <w:r w:rsidR="001B50CE" w:rsidRPr="00E22F33">
        <w:t>.</w:t>
      </w:r>
    </w:p>
    <w:p w:rsidR="002012A8" w:rsidRDefault="002012A8" w:rsidP="002012A8">
      <w:pPr>
        <w:pStyle w:val="Heading1"/>
      </w:pPr>
      <w:r>
        <w:t>Introduction</w:t>
      </w:r>
    </w:p>
    <w:p w:rsidR="00E22F33" w:rsidRDefault="008069DF" w:rsidP="008069DF">
      <w:pPr>
        <w:pStyle w:val="Text1"/>
        <w:ind w:left="0"/>
      </w:pPr>
      <w:r w:rsidRPr="008069DF">
        <w:t>Maritime transpor</w:t>
      </w:r>
      <w:r>
        <w:t>t is at the core of world trade.</w:t>
      </w:r>
      <w:r w:rsidRPr="008069DF">
        <w:t xml:space="preserve"> Over 80 percent of global merchandise trade by volume and more than 70 percent of its value is carried by the international shipping industry. </w:t>
      </w:r>
      <w:r>
        <w:t xml:space="preserve">Nowadays, cargo traffic </w:t>
      </w:r>
      <w:r w:rsidRPr="008069DF">
        <w:t xml:space="preserve">can be tracked in real time. Cargo ships are equipped with a device that periodically emits a </w:t>
      </w:r>
      <w:r>
        <w:t xml:space="preserve">radio </w:t>
      </w:r>
      <w:r w:rsidRPr="008069DF">
        <w:t>signal (Automatic Identification System message, or AIS) which contains information on the vessel’s location, speed, destination, dra</w:t>
      </w:r>
      <w:r w:rsidR="00B74DCE">
        <w:t>ught</w:t>
      </w:r>
      <w:r w:rsidRPr="008069DF">
        <w:t xml:space="preserve">, etc. </w:t>
      </w:r>
      <w:r>
        <w:t xml:space="preserve">In this paper, we </w:t>
      </w:r>
      <w:r w:rsidR="00E22F33" w:rsidRPr="006A1058">
        <w:t xml:space="preserve">show that </w:t>
      </w:r>
      <w:r>
        <w:t xml:space="preserve">big data on </w:t>
      </w:r>
      <w:r w:rsidR="00E22F33" w:rsidRPr="006A1058">
        <w:t xml:space="preserve">vessel traffic can be used </w:t>
      </w:r>
      <w:r w:rsidR="00E22F33">
        <w:t xml:space="preserve">to </w:t>
      </w:r>
      <w:r>
        <w:t xml:space="preserve">nowcast </w:t>
      </w:r>
      <w:r w:rsidR="00E22F33" w:rsidRPr="006A1058">
        <w:t xml:space="preserve">trade </w:t>
      </w:r>
      <w:r>
        <w:t xml:space="preserve">flows </w:t>
      </w:r>
      <w:r w:rsidR="00E22F33">
        <w:t>of countries</w:t>
      </w:r>
      <w:r>
        <w:t xml:space="preserve"> with large shares of </w:t>
      </w:r>
      <w:r w:rsidR="00017598">
        <w:t>imported goods by sea</w:t>
      </w:r>
      <w:r>
        <w:t xml:space="preserve">. </w:t>
      </w:r>
      <w:r w:rsidR="00E22F33" w:rsidRPr="006A1058">
        <w:t xml:space="preserve">We use Malta as a benchmark case to show the usability of our approach and compare our results to the official trade </w:t>
      </w:r>
      <w:r w:rsidR="00B75D47">
        <w:t xml:space="preserve">statistics </w:t>
      </w:r>
      <w:r w:rsidR="00E22F33" w:rsidRPr="006A1058">
        <w:t xml:space="preserve">and </w:t>
      </w:r>
      <w:r w:rsidR="00E22F33">
        <w:t xml:space="preserve">maritime </w:t>
      </w:r>
      <w:r w:rsidR="00E22F33" w:rsidRPr="006A1058">
        <w:t xml:space="preserve">statistics </w:t>
      </w:r>
      <w:r w:rsidR="00B75D47">
        <w:t xml:space="preserve">disseminated by </w:t>
      </w:r>
      <w:r w:rsidR="00E22F33" w:rsidRPr="006A1058">
        <w:t>Eurostat.</w:t>
      </w:r>
      <w:r w:rsidR="00E22F33">
        <w:t xml:space="preserve"> </w:t>
      </w:r>
    </w:p>
    <w:p w:rsidR="00BC6AFE" w:rsidRDefault="00BC6AFE" w:rsidP="00BC6AFE">
      <w:pPr>
        <w:pStyle w:val="Heading1"/>
      </w:pPr>
      <w:r>
        <w:t>Methods</w:t>
      </w:r>
    </w:p>
    <w:p w:rsidR="00E22F33" w:rsidRDefault="00E22F33" w:rsidP="00E22F33">
      <w:pPr>
        <w:pStyle w:val="Text1"/>
        <w:ind w:left="0"/>
      </w:pPr>
      <w:r>
        <w:t xml:space="preserve">We develop indicators on maritime traffic and trade </w:t>
      </w:r>
      <w:r w:rsidR="00437580">
        <w:t xml:space="preserve">activity </w:t>
      </w:r>
      <w:r>
        <w:t xml:space="preserve">based on port calls. Data on port calls track arrivals and departures of vessels based on their positions. We use a two-step approach to derive these indicators. First, we filter the port calls data to eliminate duplications, vessels in transit, and </w:t>
      </w:r>
      <w:r w:rsidR="00437580">
        <w:t xml:space="preserve">cargo ships that are expected to </w:t>
      </w:r>
      <w:r w:rsidR="00437580" w:rsidRPr="00437580">
        <w:t>generate trade activity by unloading and loading goods in the port.</w:t>
      </w:r>
      <w:r w:rsidR="00437580">
        <w:t xml:space="preserve"> </w:t>
      </w:r>
      <w:r>
        <w:t xml:space="preserve">Our filter is designed to identify unique arrivals of cargo ships in ports. Second, we calculate </w:t>
      </w:r>
      <w:r w:rsidR="00120F43">
        <w:t>high-frequency</w:t>
      </w:r>
      <w:r>
        <w:t xml:space="preserve"> indicators of </w:t>
      </w:r>
      <w:r w:rsidR="00120F43">
        <w:t xml:space="preserve">vessel traffic activity </w:t>
      </w:r>
      <w:r w:rsidR="003E66CA">
        <w:t xml:space="preserve">on the filtered ships </w:t>
      </w:r>
      <w:r w:rsidR="00120F43">
        <w:t>aggregating static and voyage-related information contained in the port call data</w:t>
      </w:r>
      <w:r>
        <w:t xml:space="preserve">. </w:t>
      </w:r>
      <w:r w:rsidR="00ED5A16">
        <w:t>We calculate two indicators of vessel traffic: (</w:t>
      </w:r>
      <w:proofErr w:type="spellStart"/>
      <w:r w:rsidR="00ED5A16">
        <w:t>i</w:t>
      </w:r>
      <w:proofErr w:type="spellEnd"/>
      <w:r w:rsidR="00ED5A16">
        <w:t>) the</w:t>
      </w:r>
      <w:r w:rsidR="00ED5A16" w:rsidRPr="00ED5A16">
        <w:t xml:space="preserve"> </w:t>
      </w:r>
      <w:r w:rsidR="00ED5A16" w:rsidRPr="00ED5A16">
        <w:rPr>
          <w:i/>
        </w:rPr>
        <w:t xml:space="preserve">cargo number </w:t>
      </w:r>
      <w:r w:rsidR="00ED5A16">
        <w:t xml:space="preserve">indicator, which </w:t>
      </w:r>
      <w:r w:rsidR="00ED5A16" w:rsidRPr="00ED5A16">
        <w:t>coun</w:t>
      </w:r>
      <w:r w:rsidR="00ED5A16">
        <w:t xml:space="preserve">ts the number of incoming ships; and (ii) the </w:t>
      </w:r>
      <w:r w:rsidR="00ED5A16" w:rsidRPr="00ED5A16">
        <w:rPr>
          <w:i/>
        </w:rPr>
        <w:t>cargo load</w:t>
      </w:r>
      <w:r w:rsidR="00ED5A16">
        <w:t xml:space="preserve"> indicator, which combines </w:t>
      </w:r>
      <w:r w:rsidR="00ED5A16" w:rsidRPr="00ED5A16">
        <w:t>information on the ship’s deadweight tonnage and draught reported in AIS messages</w:t>
      </w:r>
      <w:r w:rsidR="00ED5A16">
        <w:t>.</w:t>
      </w:r>
    </w:p>
    <w:p w:rsidR="00BC6AFE" w:rsidRDefault="00BC6AFE" w:rsidP="00BC6AFE">
      <w:pPr>
        <w:pStyle w:val="Heading1"/>
      </w:pPr>
      <w:r>
        <w:t>Results</w:t>
      </w:r>
    </w:p>
    <w:p w:rsidR="00F945BB" w:rsidRDefault="008876D7" w:rsidP="00F945BB">
      <w:pPr>
        <w:spacing w:after="120"/>
      </w:pPr>
      <w:r>
        <w:t xml:space="preserve">We verify the </w:t>
      </w:r>
      <w:r w:rsidR="00F945BB">
        <w:t xml:space="preserve">quality of </w:t>
      </w:r>
      <w:r>
        <w:t xml:space="preserve">our </w:t>
      </w:r>
      <w:r w:rsidR="00F945BB">
        <w:t>indicators through comparison with official trade and maritime statistics. The results of this comparison indicate that:</w:t>
      </w:r>
    </w:p>
    <w:p w:rsidR="00F945BB" w:rsidRDefault="00F945BB" w:rsidP="00F945BB">
      <w:pPr>
        <w:pStyle w:val="ListBullet"/>
      </w:pPr>
      <w:r>
        <w:t>The cargo number indicator shows a larger number of ships with respect to data available from official port statistics</w:t>
      </w:r>
      <w:r w:rsidR="00935897">
        <w:t>, while following the same trends</w:t>
      </w:r>
      <w:r>
        <w:t xml:space="preserve">. We interpret this finding as a sign of exhaustive coverage of commercial vessels using port calls based on AIS. </w:t>
      </w:r>
    </w:p>
    <w:p w:rsidR="00F945BB" w:rsidRDefault="00F945BB" w:rsidP="00F945BB">
      <w:pPr>
        <w:pStyle w:val="ListBullet"/>
      </w:pPr>
      <w:r>
        <w:t>The cargo load indicator appears to be a good proxy of Malta’s trade volumes</w:t>
      </w:r>
      <w:r w:rsidR="00ED5A16">
        <w:t xml:space="preserve"> (Figure 1)</w:t>
      </w:r>
      <w:r>
        <w:t xml:space="preserve">. </w:t>
      </w:r>
      <w:r w:rsidR="00ED5A16">
        <w:t>Our</w:t>
      </w:r>
      <w:r>
        <w:t xml:space="preserve"> indicator detects very well the large peak of trade activity in mid-2016, and the subsequent deceleration in the next months. </w:t>
      </w:r>
    </w:p>
    <w:p w:rsidR="00F945BB" w:rsidRDefault="00F945BB" w:rsidP="00F945BB">
      <w:pPr>
        <w:pStyle w:val="ListBullet"/>
      </w:pPr>
      <w:r>
        <w:t xml:space="preserve">The cargo load indicator does not seem to provide a good distribution of trade by partner country. For the specific case of Malta, port call data record directions of trade based </w:t>
      </w:r>
      <w:r>
        <w:lastRenderedPageBreak/>
        <w:t xml:space="preserve">on shipping routes rather than countries of origin and destination. Better results can be achieved by combining port call data around the world to track the full journey of ships.  </w:t>
      </w:r>
    </w:p>
    <w:p w:rsidR="00C86C35" w:rsidRDefault="001E1E14" w:rsidP="00C86C35">
      <w:pPr>
        <w:pStyle w:val="Text1"/>
        <w:spacing w:after="120"/>
        <w:ind w:left="475"/>
        <w:jc w:val="center"/>
        <w:rPr>
          <w:b/>
          <w:bCs/>
          <w:lang w:val="en-US"/>
        </w:rPr>
      </w:pPr>
      <w:r w:rsidRPr="001E1E14">
        <w:rPr>
          <w:b/>
        </w:rPr>
        <w:t xml:space="preserve">Figure 1. </w:t>
      </w:r>
      <w:r w:rsidR="00C86C35">
        <w:rPr>
          <w:b/>
          <w:bCs/>
          <w:lang w:val="en-US"/>
        </w:rPr>
        <w:t xml:space="preserve">AIS-based </w:t>
      </w:r>
      <w:r w:rsidR="00C86C35" w:rsidRPr="00C86C35">
        <w:rPr>
          <w:b/>
          <w:bCs/>
          <w:lang w:val="en-US"/>
        </w:rPr>
        <w:t xml:space="preserve">Indicator Highly Correlated with Official Trade Volume </w:t>
      </w:r>
    </w:p>
    <w:p w:rsidR="00E22F33" w:rsidRPr="00C86C35" w:rsidRDefault="00C86C35" w:rsidP="00C86C35">
      <w:pPr>
        <w:pStyle w:val="Text1"/>
        <w:jc w:val="center"/>
        <w:rPr>
          <w:lang w:val="en-US"/>
        </w:rPr>
      </w:pPr>
      <w:r w:rsidRPr="00C86C35">
        <w:rPr>
          <w:i/>
          <w:sz w:val="22"/>
          <w:lang w:val="en-US"/>
        </w:rPr>
        <w:t>(Cargo load indicator versus official trade volume index, 2016=100. Period: 2015-18)</w:t>
      </w:r>
      <w:r w:rsidRPr="00C86C35">
        <w:rPr>
          <w:sz w:val="22"/>
        </w:rPr>
        <w:t xml:space="preserve"> </w:t>
      </w:r>
      <w:r w:rsidR="00B707AB" w:rsidRPr="00B707AB">
        <w:rPr>
          <w:noProof/>
        </w:rPr>
        <w:drawing>
          <wp:inline distT="0" distB="0" distL="0" distR="0" wp14:anchorId="6BB8F44B" wp14:editId="361124A6">
            <wp:extent cx="5227320" cy="3215640"/>
            <wp:effectExtent l="0" t="0" r="0" b="0"/>
            <wp:docPr id="1" name="Chart 1">
              <a:extLst xmlns:a="http://schemas.openxmlformats.org/drawingml/2006/main">
                <a:ext uri="{FF2B5EF4-FFF2-40B4-BE49-F238E27FC236}">
                  <a16:creationId xmlns:a16="http://schemas.microsoft.com/office/drawing/2014/main" id="{C1FAEFB0-8323-4F07-8B59-A6CE7D9465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6AFE" w:rsidRDefault="00BC6AFE" w:rsidP="00BC6AFE">
      <w:pPr>
        <w:pStyle w:val="Heading1"/>
      </w:pPr>
      <w:r>
        <w:t>Conclusions</w:t>
      </w:r>
    </w:p>
    <w:p w:rsidR="00010847" w:rsidRPr="00010847" w:rsidRDefault="008069DF" w:rsidP="008069DF">
      <w:r w:rsidRPr="006A1058">
        <w:t xml:space="preserve">We show that vessel traffic data </w:t>
      </w:r>
      <w:r>
        <w:t>based on Automatic Identification System (</w:t>
      </w:r>
      <w:r w:rsidRPr="006A1058">
        <w:t>AIS</w:t>
      </w:r>
      <w:r>
        <w:t>)</w:t>
      </w:r>
      <w:r w:rsidRPr="006A1058">
        <w:t xml:space="preserve"> can be used </w:t>
      </w:r>
      <w:r>
        <w:t xml:space="preserve">to </w:t>
      </w:r>
      <w:r w:rsidR="00B74DCE">
        <w:t xml:space="preserve">nowcast </w:t>
      </w:r>
      <w:r w:rsidRPr="006A1058">
        <w:t xml:space="preserve">trade </w:t>
      </w:r>
      <w:r>
        <w:t>activity</w:t>
      </w:r>
      <w:r w:rsidRPr="006A1058">
        <w:t xml:space="preserve">. Provided that the challenges associated with “port call” data can be overcome through appropriate filtering techniques, these emerging </w:t>
      </w:r>
      <w:r>
        <w:t xml:space="preserve">“big </w:t>
      </w:r>
      <w:r w:rsidRPr="006A1058">
        <w:t>data</w:t>
      </w:r>
      <w:r>
        <w:t>” on vessel positions</w:t>
      </w:r>
      <w:r w:rsidRPr="006A1058">
        <w:t xml:space="preserve"> could allow statistical agencies to supplement existing data sources</w:t>
      </w:r>
      <w:r>
        <w:t xml:space="preserve"> on trade and </w:t>
      </w:r>
      <w:r w:rsidRPr="006A1058">
        <w:t xml:space="preserve">introduce new statistics that are </w:t>
      </w:r>
      <w:r w:rsidR="00B74DCE">
        <w:t xml:space="preserve">more granular (port-by-port) and more timely </w:t>
      </w:r>
      <w:r w:rsidRPr="006A1058">
        <w:t>(</w:t>
      </w:r>
      <w:r w:rsidR="00B74DCE">
        <w:t>practically real-time</w:t>
      </w:r>
      <w:r w:rsidRPr="006A1058">
        <w:t xml:space="preserve">), </w:t>
      </w:r>
      <w:r w:rsidR="00B74DCE">
        <w:t>offer</w:t>
      </w:r>
      <w:r w:rsidR="007C7009">
        <w:t>ing</w:t>
      </w:r>
      <w:r w:rsidR="00B74DCE">
        <w:t xml:space="preserve"> an innovative way to nowcast trade activity in volume terms</w:t>
      </w:r>
      <w:r w:rsidRPr="006A1058">
        <w:t>.</w:t>
      </w:r>
      <w:r>
        <w:t xml:space="preserve"> </w:t>
      </w:r>
    </w:p>
    <w:p w:rsidR="00BC6AFE" w:rsidRDefault="00BC6AFE" w:rsidP="009B4EE0">
      <w:pPr>
        <w:pStyle w:val="Heading1"/>
        <w:numPr>
          <w:ilvl w:val="0"/>
          <w:numId w:val="0"/>
        </w:numPr>
        <w:ind w:left="480" w:hanging="480"/>
      </w:pPr>
      <w:r>
        <w:t>References</w:t>
      </w:r>
    </w:p>
    <w:p w:rsidR="00F945BB" w:rsidRDefault="00F945BB" w:rsidP="00F945BB">
      <w:pPr>
        <w:pStyle w:val="Text1"/>
        <w:numPr>
          <w:ilvl w:val="0"/>
          <w:numId w:val="20"/>
        </w:numPr>
      </w:pPr>
      <w:r>
        <w:t>Arslanalp, S., M. Marini, and P. Tumbarello. 2019. “Big Data on Vessel Traffic for Nowcasting Trade Flows in Real-Time,” IMF Working Paper 2019 (forthcoming)</w:t>
      </w:r>
    </w:p>
    <w:p w:rsidR="00E22F33" w:rsidRDefault="00E22F33" w:rsidP="00E22F33">
      <w:pPr>
        <w:pStyle w:val="Text1"/>
        <w:numPr>
          <w:ilvl w:val="0"/>
          <w:numId w:val="20"/>
        </w:numPr>
      </w:pPr>
      <w:r>
        <w:t xml:space="preserve">de Wit, T., A. </w:t>
      </w:r>
      <w:proofErr w:type="spellStart"/>
      <w:r>
        <w:t>Consten</w:t>
      </w:r>
      <w:proofErr w:type="spellEnd"/>
      <w:r>
        <w:t xml:space="preserve">, M. Puts, C. </w:t>
      </w:r>
      <w:proofErr w:type="spellStart"/>
      <w:r>
        <w:t>Pierrakou</w:t>
      </w:r>
      <w:proofErr w:type="spellEnd"/>
      <w:r>
        <w:t xml:space="preserve">, M. Bis, A. </w:t>
      </w:r>
      <w:proofErr w:type="spellStart"/>
      <w:r>
        <w:t>Bilska</w:t>
      </w:r>
      <w:proofErr w:type="spellEnd"/>
      <w:r>
        <w:t xml:space="preserve">, O. </w:t>
      </w:r>
      <w:proofErr w:type="spellStart"/>
      <w:r>
        <w:t>Grondal</w:t>
      </w:r>
      <w:proofErr w:type="spellEnd"/>
      <w:r>
        <w:t xml:space="preserve">, and O. </w:t>
      </w:r>
      <w:proofErr w:type="spellStart"/>
      <w:r>
        <w:t>Langsrud</w:t>
      </w:r>
      <w:proofErr w:type="spellEnd"/>
      <w:r>
        <w:t xml:space="preserve">. 2017. “Deriving port visits and linking data from maritime statistics </w:t>
      </w:r>
      <w:r w:rsidRPr="00E22F33">
        <w:t>with AIS-data” European Statistical System, Big Data Deliverable 4.2.</w:t>
      </w:r>
    </w:p>
    <w:p w:rsidR="00E22F33" w:rsidRPr="00E22F33" w:rsidRDefault="00E22F33" w:rsidP="00E22F33">
      <w:pPr>
        <w:pStyle w:val="Text1"/>
        <w:numPr>
          <w:ilvl w:val="0"/>
          <w:numId w:val="20"/>
        </w:numPr>
      </w:pPr>
      <w:r w:rsidRPr="00E22F33">
        <w:t>IMF. 2017. “Big Data: Potential, Challenges and Statistical Implications,” Staff Discussion</w:t>
      </w:r>
      <w:r>
        <w:t xml:space="preserve"> Note prepared by C. Hammer, D. C. Kostroch, G. Quiros. Washington, DC</w:t>
      </w:r>
    </w:p>
    <w:p w:rsidR="00E22F33" w:rsidRDefault="00E22F33" w:rsidP="00E22F33">
      <w:pPr>
        <w:pStyle w:val="Text1"/>
        <w:numPr>
          <w:ilvl w:val="0"/>
          <w:numId w:val="20"/>
        </w:numPr>
      </w:pPr>
      <w:proofErr w:type="spellStart"/>
      <w:r>
        <w:t>Spiliopoulos</w:t>
      </w:r>
      <w:proofErr w:type="spellEnd"/>
      <w:r>
        <w:t xml:space="preserve"> G., D. Zissis, K. </w:t>
      </w:r>
      <w:proofErr w:type="spellStart"/>
      <w:r>
        <w:t>Chatzikokolakis</w:t>
      </w:r>
      <w:proofErr w:type="spellEnd"/>
      <w:r>
        <w:t>. 2017. “A big data driven approach to extracting global trade patterns” Marine Traffic Research</w:t>
      </w:r>
    </w:p>
    <w:sectPr w:rsidR="00E22F33" w:rsidSect="00BC6AFE">
      <w:footerReference w:type="default" r:id="rId12"/>
      <w:headerReference w:type="first" r:id="rId13"/>
      <w:footerReference w:type="first" r:id="rId14"/>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0B8" w:rsidRDefault="003D30B8" w:rsidP="00BC6AFE">
      <w:pPr>
        <w:spacing w:after="0"/>
      </w:pPr>
      <w:r>
        <w:separator/>
      </w:r>
    </w:p>
  </w:endnote>
  <w:endnote w:type="continuationSeparator" w:id="0">
    <w:p w:rsidR="003D30B8" w:rsidRDefault="003D30B8"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082" w:rsidRDefault="00D24082">
    <w:pPr>
      <w:pStyle w:val="Footer"/>
      <w:jc w:val="center"/>
    </w:pPr>
    <w:r>
      <w:fldChar w:fldCharType="begin"/>
    </w:r>
    <w:r>
      <w:instrText>PAGE</w:instrText>
    </w:r>
    <w:r>
      <w:fldChar w:fldCharType="separate"/>
    </w:r>
    <w:r w:rsidR="00AB442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0B8" w:rsidRDefault="003D30B8" w:rsidP="00BC6AFE">
      <w:pPr>
        <w:spacing w:after="0"/>
      </w:pPr>
      <w:r>
        <w:separator/>
      </w:r>
    </w:p>
  </w:footnote>
  <w:footnote w:type="continuationSeparator" w:id="0">
    <w:p w:rsidR="003D30B8" w:rsidRDefault="003D30B8"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8E29ED"/>
    <w:rsid w:val="00010847"/>
    <w:rsid w:val="00017598"/>
    <w:rsid w:val="000642A1"/>
    <w:rsid w:val="000F7438"/>
    <w:rsid w:val="00120F43"/>
    <w:rsid w:val="00127067"/>
    <w:rsid w:val="001857CF"/>
    <w:rsid w:val="001B50CE"/>
    <w:rsid w:val="001E1E14"/>
    <w:rsid w:val="002012A8"/>
    <w:rsid w:val="00243A2C"/>
    <w:rsid w:val="00332D6F"/>
    <w:rsid w:val="003D30B8"/>
    <w:rsid w:val="003E66CA"/>
    <w:rsid w:val="00437580"/>
    <w:rsid w:val="00573E28"/>
    <w:rsid w:val="005B4EA5"/>
    <w:rsid w:val="006312AF"/>
    <w:rsid w:val="006875D6"/>
    <w:rsid w:val="00736B88"/>
    <w:rsid w:val="007C7009"/>
    <w:rsid w:val="008069DF"/>
    <w:rsid w:val="00820BDC"/>
    <w:rsid w:val="008847C3"/>
    <w:rsid w:val="008876D7"/>
    <w:rsid w:val="008A75D0"/>
    <w:rsid w:val="008E29ED"/>
    <w:rsid w:val="00923850"/>
    <w:rsid w:val="00935897"/>
    <w:rsid w:val="009A41E5"/>
    <w:rsid w:val="009B4EE0"/>
    <w:rsid w:val="00A17E8C"/>
    <w:rsid w:val="00AB4423"/>
    <w:rsid w:val="00B707AB"/>
    <w:rsid w:val="00B74DCE"/>
    <w:rsid w:val="00B75D47"/>
    <w:rsid w:val="00B9492F"/>
    <w:rsid w:val="00BC17F5"/>
    <w:rsid w:val="00BC6AFE"/>
    <w:rsid w:val="00C86C35"/>
    <w:rsid w:val="00D24082"/>
    <w:rsid w:val="00D52EA1"/>
    <w:rsid w:val="00DB601E"/>
    <w:rsid w:val="00E22F33"/>
    <w:rsid w:val="00ED5A16"/>
    <w:rsid w:val="00F9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5FC75B5B-53B8-4806-969D-7B4A7921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A1"/>
    <w:pPr>
      <w:spacing w:after="240"/>
      <w:jc w:val="both"/>
    </w:pPr>
    <w:rPr>
      <w:sz w:val="24"/>
      <w:lang w:val="en-GB"/>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5D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D47"/>
    <w:rPr>
      <w:rFonts w:ascii="Segoe UI" w:hAnsi="Segoe UI" w:cs="Segoe UI"/>
      <w:sz w:val="18"/>
      <w:szCs w:val="18"/>
      <w:lang w:val="en-GB"/>
    </w:rPr>
  </w:style>
  <w:style w:type="paragraph" w:styleId="NormalWeb">
    <w:name w:val="Normal (Web)"/>
    <w:basedOn w:val="Normal"/>
    <w:uiPriority w:val="99"/>
    <w:semiHidden/>
    <w:unhideWhenUsed/>
    <w:rsid w:val="00C86C35"/>
    <w:pPr>
      <w:spacing w:before="100" w:beforeAutospacing="1" w:after="100" w:afterAutospacing="1"/>
      <w:jc w:val="left"/>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03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file:///\\data4\users10\mmarini\My%20Documents\IMF\SR\Research\Big%20data\Trade\WP\Charts\Figure_5_6_9_Malta_AISFinal.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292008736757099"/>
          <c:y val="3.459280267691657E-2"/>
          <c:w val="0.86476609292649054"/>
          <c:h val="0.82992094886243484"/>
        </c:manualLayout>
      </c:layout>
      <c:lineChart>
        <c:grouping val="standard"/>
        <c:varyColors val="0"/>
        <c:ser>
          <c:idx val="0"/>
          <c:order val="0"/>
          <c:tx>
            <c:v>Official</c:v>
          </c:tx>
          <c:marker>
            <c:symbol val="none"/>
          </c:marker>
          <c:cat>
            <c:numRef>
              <c:f>'total indicators'!$B$52:$AW$52</c:f>
              <c:numCache>
                <c:formatCode>mmm\-yy</c:formatCode>
                <c:ptCount val="48"/>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pt idx="36">
                  <c:v>43101</c:v>
                </c:pt>
                <c:pt idx="37">
                  <c:v>43132</c:v>
                </c:pt>
                <c:pt idx="38">
                  <c:v>43160</c:v>
                </c:pt>
                <c:pt idx="39">
                  <c:v>43191</c:v>
                </c:pt>
                <c:pt idx="40">
                  <c:v>43221</c:v>
                </c:pt>
                <c:pt idx="41">
                  <c:v>43252</c:v>
                </c:pt>
                <c:pt idx="42">
                  <c:v>43282</c:v>
                </c:pt>
                <c:pt idx="43">
                  <c:v>43313</c:v>
                </c:pt>
                <c:pt idx="44">
                  <c:v>43344</c:v>
                </c:pt>
                <c:pt idx="45">
                  <c:v>43374</c:v>
                </c:pt>
                <c:pt idx="46">
                  <c:v>43405</c:v>
                </c:pt>
                <c:pt idx="47">
                  <c:v>43435</c:v>
                </c:pt>
              </c:numCache>
            </c:numRef>
          </c:cat>
          <c:val>
            <c:numRef>
              <c:f>'total indicators'!$B$53:$AW$53</c:f>
              <c:numCache>
                <c:formatCode>0.0</c:formatCode>
                <c:ptCount val="48"/>
                <c:pt idx="0">
                  <c:v>82.823557279483623</c:v>
                </c:pt>
                <c:pt idx="1">
                  <c:v>88.188789861723862</c:v>
                </c:pt>
                <c:pt idx="2">
                  <c:v>98.741598318183151</c:v>
                </c:pt>
                <c:pt idx="3">
                  <c:v>97.983596363959379</c:v>
                </c:pt>
                <c:pt idx="4">
                  <c:v>97.533532703638997</c:v>
                </c:pt>
                <c:pt idx="5">
                  <c:v>94.537056228348106</c:v>
                </c:pt>
                <c:pt idx="6">
                  <c:v>86.151659609747426</c:v>
                </c:pt>
                <c:pt idx="7">
                  <c:v>80.845645930180908</c:v>
                </c:pt>
                <c:pt idx="8">
                  <c:v>77.114855061735724</c:v>
                </c:pt>
                <c:pt idx="9">
                  <c:v>80.573238977881743</c:v>
                </c:pt>
                <c:pt idx="10">
                  <c:v>77.908388357563737</c:v>
                </c:pt>
                <c:pt idx="11">
                  <c:v>75.634382494892378</c:v>
                </c:pt>
                <c:pt idx="12">
                  <c:v>91.280016581292756</c:v>
                </c:pt>
                <c:pt idx="13">
                  <c:v>107.26912030320079</c:v>
                </c:pt>
                <c:pt idx="14">
                  <c:v>114.84913984543867</c:v>
                </c:pt>
                <c:pt idx="15">
                  <c:v>106.81905664288041</c:v>
                </c:pt>
                <c:pt idx="16">
                  <c:v>103.49095431261659</c:v>
                </c:pt>
                <c:pt idx="17">
                  <c:v>121.32768779794512</c:v>
                </c:pt>
                <c:pt idx="18">
                  <c:v>111.46181861250113</c:v>
                </c:pt>
                <c:pt idx="19">
                  <c:v>100.198383323957</c:v>
                </c:pt>
                <c:pt idx="20">
                  <c:v>81.757617031356418</c:v>
                </c:pt>
                <c:pt idx="21">
                  <c:v>87.205756077339899</c:v>
                </c:pt>
                <c:pt idx="22">
                  <c:v>87.466319249104316</c:v>
                </c:pt>
                <c:pt idx="23">
                  <c:v>86.874130222366986</c:v>
                </c:pt>
                <c:pt idx="24">
                  <c:v>76.700322743019569</c:v>
                </c:pt>
                <c:pt idx="25">
                  <c:v>77.57676250259081</c:v>
                </c:pt>
                <c:pt idx="26">
                  <c:v>77.470168477778117</c:v>
                </c:pt>
                <c:pt idx="27">
                  <c:v>92.582832440114885</c:v>
                </c:pt>
                <c:pt idx="28">
                  <c:v>93.944867201610748</c:v>
                </c:pt>
                <c:pt idx="29">
                  <c:v>88.283540106001837</c:v>
                </c:pt>
                <c:pt idx="30">
                  <c:v>79.377017143872337</c:v>
                </c:pt>
                <c:pt idx="31">
                  <c:v>76.368696888046671</c:v>
                </c:pt>
                <c:pt idx="32">
                  <c:v>85.666064607822818</c:v>
                </c:pt>
                <c:pt idx="33">
                  <c:v>91.173422556480034</c:v>
                </c:pt>
                <c:pt idx="34">
                  <c:v>94.560743789417572</c:v>
                </c:pt>
                <c:pt idx="35">
                  <c:v>92.724957806531833</c:v>
                </c:pt>
                <c:pt idx="36">
                  <c:v>87.501850590708557</c:v>
                </c:pt>
                <c:pt idx="37">
                  <c:v>91.232641459153768</c:v>
                </c:pt>
                <c:pt idx="38">
                  <c:v>88.769135107926445</c:v>
                </c:pt>
                <c:pt idx="39">
                  <c:v>91.80114292482159</c:v>
                </c:pt>
                <c:pt idx="40">
                  <c:v>93.743522932520079</c:v>
                </c:pt>
                <c:pt idx="41">
                  <c:v>97.391407337222063</c:v>
                </c:pt>
                <c:pt idx="42">
                  <c:v>100.96822905871556</c:v>
                </c:pt>
                <c:pt idx="43">
                  <c:v>92.381488171024202</c:v>
                </c:pt>
                <c:pt idx="44">
                  <c:v>94.205430373375194</c:v>
                </c:pt>
                <c:pt idx="45">
                  <c:v>90.125247979154949</c:v>
                </c:pt>
              </c:numCache>
            </c:numRef>
          </c:val>
          <c:smooth val="0"/>
          <c:extLst>
            <c:ext xmlns:c16="http://schemas.microsoft.com/office/drawing/2014/chart" uri="{C3380CC4-5D6E-409C-BE32-E72D297353CC}">
              <c16:uniqueId val="{00000000-4870-48B2-B7E6-43AADF876446}"/>
            </c:ext>
          </c:extLst>
        </c:ser>
        <c:ser>
          <c:idx val="1"/>
          <c:order val="1"/>
          <c:tx>
            <c:v>AIS </c:v>
          </c:tx>
          <c:marker>
            <c:symbol val="none"/>
          </c:marker>
          <c:cat>
            <c:numRef>
              <c:f>'total indicators'!$B$52:$AW$52</c:f>
              <c:numCache>
                <c:formatCode>mmm\-yy</c:formatCode>
                <c:ptCount val="48"/>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pt idx="36">
                  <c:v>43101</c:v>
                </c:pt>
                <c:pt idx="37">
                  <c:v>43132</c:v>
                </c:pt>
                <c:pt idx="38">
                  <c:v>43160</c:v>
                </c:pt>
                <c:pt idx="39">
                  <c:v>43191</c:v>
                </c:pt>
                <c:pt idx="40">
                  <c:v>43221</c:v>
                </c:pt>
                <c:pt idx="41">
                  <c:v>43252</c:v>
                </c:pt>
                <c:pt idx="42">
                  <c:v>43282</c:v>
                </c:pt>
                <c:pt idx="43">
                  <c:v>43313</c:v>
                </c:pt>
                <c:pt idx="44">
                  <c:v>43344</c:v>
                </c:pt>
                <c:pt idx="45">
                  <c:v>43374</c:v>
                </c:pt>
                <c:pt idx="46">
                  <c:v>43405</c:v>
                </c:pt>
                <c:pt idx="47">
                  <c:v>43435</c:v>
                </c:pt>
              </c:numCache>
            </c:numRef>
          </c:cat>
          <c:val>
            <c:numRef>
              <c:f>'total indicators'!$B$54:$AW$54</c:f>
              <c:numCache>
                <c:formatCode>0.0</c:formatCode>
                <c:ptCount val="48"/>
                <c:pt idx="0">
                  <c:v>94.913872437914236</c:v>
                </c:pt>
                <c:pt idx="1">
                  <c:v>95.032337136127936</c:v>
                </c:pt>
                <c:pt idx="2">
                  <c:v>91.235442212780285</c:v>
                </c:pt>
                <c:pt idx="3">
                  <c:v>92.160189993723876</c:v>
                </c:pt>
                <c:pt idx="4">
                  <c:v>86.597037767984233</c:v>
                </c:pt>
                <c:pt idx="5">
                  <c:v>86.894216602042334</c:v>
                </c:pt>
                <c:pt idx="6">
                  <c:v>84.383714315306335</c:v>
                </c:pt>
                <c:pt idx="7">
                  <c:v>90.04233610719605</c:v>
                </c:pt>
                <c:pt idx="8">
                  <c:v>91.994122467957709</c:v>
                </c:pt>
                <c:pt idx="9">
                  <c:v>89.289239147113349</c:v>
                </c:pt>
                <c:pt idx="10">
                  <c:v>86.623108903822128</c:v>
                </c:pt>
                <c:pt idx="11">
                  <c:v>83.553626150950208</c:v>
                </c:pt>
                <c:pt idx="12">
                  <c:v>88.104507956426048</c:v>
                </c:pt>
                <c:pt idx="13">
                  <c:v>91.03430030967013</c:v>
                </c:pt>
                <c:pt idx="14">
                  <c:v>94.213918370720464</c:v>
                </c:pt>
                <c:pt idx="15">
                  <c:v>105.71390796841762</c:v>
                </c:pt>
                <c:pt idx="16">
                  <c:v>111.83755791918261</c:v>
                </c:pt>
                <c:pt idx="17">
                  <c:v>122.8459761774277</c:v>
                </c:pt>
                <c:pt idx="18">
                  <c:v>115.02622895242096</c:v>
                </c:pt>
                <c:pt idx="19">
                  <c:v>109.31159315436459</c:v>
                </c:pt>
                <c:pt idx="20">
                  <c:v>94.370192870287468</c:v>
                </c:pt>
                <c:pt idx="21">
                  <c:v>90.256938385410649</c:v>
                </c:pt>
                <c:pt idx="22">
                  <c:v>89.36004812047868</c:v>
                </c:pt>
                <c:pt idx="23">
                  <c:v>87.924829815193263</c:v>
                </c:pt>
                <c:pt idx="24">
                  <c:v>81.85129216346057</c:v>
                </c:pt>
                <c:pt idx="25">
                  <c:v>79.168275279210391</c:v>
                </c:pt>
                <c:pt idx="26">
                  <c:v>82.289593511991853</c:v>
                </c:pt>
                <c:pt idx="27">
                  <c:v>87.259659278216745</c:v>
                </c:pt>
                <c:pt idx="28">
                  <c:v>85.088817813815552</c:v>
                </c:pt>
                <c:pt idx="29">
                  <c:v>82.858909106104448</c:v>
                </c:pt>
                <c:pt idx="30">
                  <c:v>82.596121160036134</c:v>
                </c:pt>
                <c:pt idx="31">
                  <c:v>83.202822067216502</c:v>
                </c:pt>
                <c:pt idx="32">
                  <c:v>83.681215570239971</c:v>
                </c:pt>
                <c:pt idx="33">
                  <c:v>80.632571223037374</c:v>
                </c:pt>
                <c:pt idx="34">
                  <c:v>79.455442938289238</c:v>
                </c:pt>
                <c:pt idx="35">
                  <c:v>79.840395855168964</c:v>
                </c:pt>
                <c:pt idx="36">
                  <c:v>81.417118667659167</c:v>
                </c:pt>
                <c:pt idx="37">
                  <c:v>86.603487832284486</c:v>
                </c:pt>
                <c:pt idx="38">
                  <c:v>87.312465386870912</c:v>
                </c:pt>
                <c:pt idx="39">
                  <c:v>90.455120048710583</c:v>
                </c:pt>
                <c:pt idx="40">
                  <c:v>89.744252105083348</c:v>
                </c:pt>
                <c:pt idx="41">
                  <c:v>87.521294976719204</c:v>
                </c:pt>
                <c:pt idx="42">
                  <c:v>87.822993759786499</c:v>
                </c:pt>
                <c:pt idx="43">
                  <c:v>86.323563753570397</c:v>
                </c:pt>
                <c:pt idx="44">
                  <c:v>85.661572039510389</c:v>
                </c:pt>
                <c:pt idx="45">
                  <c:v>85.158882314820431</c:v>
                </c:pt>
                <c:pt idx="46">
                  <c:v>85.097219705520814</c:v>
                </c:pt>
                <c:pt idx="47">
                  <c:v>88.293707261815754</c:v>
                </c:pt>
              </c:numCache>
            </c:numRef>
          </c:val>
          <c:smooth val="0"/>
          <c:extLst>
            <c:ext xmlns:c16="http://schemas.microsoft.com/office/drawing/2014/chart" uri="{C3380CC4-5D6E-409C-BE32-E72D297353CC}">
              <c16:uniqueId val="{00000001-4870-48B2-B7E6-43AADF876446}"/>
            </c:ext>
          </c:extLst>
        </c:ser>
        <c:dLbls>
          <c:showLegendKey val="0"/>
          <c:showVal val="0"/>
          <c:showCatName val="0"/>
          <c:showSerName val="0"/>
          <c:showPercent val="0"/>
          <c:showBubbleSize val="0"/>
        </c:dLbls>
        <c:smooth val="0"/>
        <c:axId val="679385728"/>
        <c:axId val="679409920"/>
      </c:lineChart>
      <c:dateAx>
        <c:axId val="679385728"/>
        <c:scaling>
          <c:orientation val="minMax"/>
        </c:scaling>
        <c:delete val="0"/>
        <c:axPos val="b"/>
        <c:numFmt formatCode="mmm\-yy" sourceLinked="1"/>
        <c:majorTickMark val="in"/>
        <c:minorTickMark val="none"/>
        <c:tickLblPos val="low"/>
        <c:spPr>
          <a:ln w="12700">
            <a:solidFill>
              <a:srgbClr val="B3B3B3"/>
            </a:solidFill>
            <a:prstDash val="solid"/>
          </a:ln>
        </c:spPr>
        <c:txPr>
          <a:bodyPr rot="0" vert="horz"/>
          <a:lstStyle/>
          <a:p>
            <a:pPr>
              <a:defRPr sz="1100">
                <a:latin typeface="Gill Sans MT" panose="020B0502020104020203" pitchFamily="34" charset="0"/>
                <a:ea typeface="Segoe UI"/>
                <a:cs typeface="Segoe UI"/>
              </a:defRPr>
            </a:pPr>
            <a:endParaRPr lang="en-US"/>
          </a:p>
        </c:txPr>
        <c:crossAx val="679409920"/>
        <c:crosses val="autoZero"/>
        <c:auto val="1"/>
        <c:lblOffset val="100"/>
        <c:baseTimeUnit val="months"/>
        <c:majorUnit val="6"/>
        <c:majorTimeUnit val="months"/>
        <c:minorUnit val="1"/>
      </c:dateAx>
      <c:valAx>
        <c:axId val="679409920"/>
        <c:scaling>
          <c:orientation val="minMax"/>
          <c:max val="140"/>
          <c:min val="60"/>
        </c:scaling>
        <c:delete val="0"/>
        <c:axPos val="l"/>
        <c:numFmt formatCode="General" sourceLinked="0"/>
        <c:majorTickMark val="in"/>
        <c:minorTickMark val="none"/>
        <c:tickLblPos val="nextTo"/>
        <c:spPr>
          <a:ln w="12700">
            <a:solidFill>
              <a:srgbClr val="B3B3B3"/>
            </a:solidFill>
            <a:prstDash val="solid"/>
          </a:ln>
        </c:spPr>
        <c:txPr>
          <a:bodyPr rot="0" vert="horz"/>
          <a:lstStyle/>
          <a:p>
            <a:pPr>
              <a:defRPr sz="1000">
                <a:latin typeface="Gill Sans MT" panose="020B0502020104020203" pitchFamily="34" charset="0"/>
                <a:ea typeface="Segoe UI"/>
                <a:cs typeface="Segoe UI"/>
              </a:defRPr>
            </a:pPr>
            <a:endParaRPr lang="en-US"/>
          </a:p>
        </c:txPr>
        <c:crossAx val="679385728"/>
        <c:crosses val="autoZero"/>
        <c:crossBetween val="between"/>
        <c:majorUnit val="10"/>
      </c:valAx>
      <c:spPr>
        <a:solidFill>
          <a:srgbClr val="FFFFFF"/>
        </a:solidFill>
        <a:ln w="12700">
          <a:solidFill>
            <a:srgbClr val="B3B3B3"/>
          </a:solidFill>
          <a:prstDash val="solid"/>
        </a:ln>
      </c:spPr>
    </c:plotArea>
    <c:legend>
      <c:legendPos val="b"/>
      <c:layout>
        <c:manualLayout>
          <c:xMode val="edge"/>
          <c:yMode val="edge"/>
          <c:x val="0.58122250723298674"/>
          <c:y val="0.7766057371882118"/>
          <c:w val="0.3689815495198539"/>
          <c:h val="5.9949026007097075E-2"/>
        </c:manualLayout>
      </c:layout>
      <c:overlay val="0"/>
      <c:spPr>
        <a:noFill/>
        <a:ln w="25400">
          <a:noFill/>
        </a:ln>
      </c:spPr>
      <c:txPr>
        <a:bodyPr/>
        <a:lstStyle/>
        <a:p>
          <a:pPr>
            <a:defRPr sz="1100">
              <a:latin typeface="Gill Sans MT" panose="020B0502020104020203" pitchFamily="34" charset="0"/>
              <a:ea typeface="Segoe UI"/>
              <a:cs typeface="Segoe UI"/>
            </a:defRPr>
          </a:pPr>
          <a:endParaRPr lang="en-US"/>
        </a:p>
      </c:txPr>
    </c:legend>
    <c:plotVisOnly val="1"/>
    <c:dispBlanksAs val="span"/>
    <c:showDLblsOverMax val="0"/>
  </c:chart>
  <c:spPr>
    <a:noFill/>
    <a:ln w="25400">
      <a:noFill/>
    </a:ln>
  </c:spPr>
  <c:txPr>
    <a:bodyPr/>
    <a:lstStyle/>
    <a:p>
      <a:pPr>
        <a:defRPr sz="1800" b="0" i="0" u="none" strike="noStrike" baseline="0">
          <a:solidFill>
            <a:srgbClr val="000000"/>
          </a:solidFill>
          <a:latin typeface="Segoe UI" pitchFamily="34" charset="0"/>
          <a:ea typeface="Frutiger LT Std 45 Light"/>
          <a:cs typeface="Segoe UI"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FF76B201-DB64-4655-8514-A517F787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3696</Characters>
  <Application>Microsoft Office Word</Application>
  <DocSecurity>0</DocSecurity>
  <PresentationFormat>Microsoft Word 14.0</PresentationFormat>
  <Lines>30</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GAUCKLER Britta (ESTAT)</dc:creator>
  <cp:keywords>EL4</cp:keywords>
  <cp:lastModifiedBy>Marini, Marco</cp:lastModifiedBy>
  <cp:revision>2</cp:revision>
  <cp:lastPrinted>2018-10-15T13:45:00Z</cp:lastPrinted>
  <dcterms:created xsi:type="dcterms:W3CDTF">2019-03-08T13:40:00Z</dcterms:created>
  <dcterms:modified xsi:type="dcterms:W3CDTF">2019-03-08T13:40:00Z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