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5A" w:rsidRPr="005A65F7" w:rsidRDefault="00252121" w:rsidP="00000D5A">
      <w:pPr>
        <w:pStyle w:val="Title"/>
      </w:pPr>
      <w:bookmarkStart w:id="0" w:name="_GoBack"/>
      <w:bookmarkEnd w:id="0"/>
      <w:r w:rsidRPr="00252121">
        <w:t>The role of data centres in facilitating access to data</w:t>
      </w:r>
    </w:p>
    <w:p w:rsidR="00000D5A" w:rsidRPr="00252121" w:rsidRDefault="00DA409B" w:rsidP="00000D5A">
      <w:pPr>
        <w:jc w:val="center"/>
        <w:rPr>
          <w:sz w:val="20"/>
          <w:u w:val="single"/>
        </w:rPr>
      </w:pPr>
      <w:r w:rsidRPr="00767DD8">
        <w:rPr>
          <w:sz w:val="20"/>
        </w:rPr>
        <w:t xml:space="preserve">Aleksandra Bujnowska </w:t>
      </w:r>
      <w:r w:rsidR="00000D5A" w:rsidRPr="00767DD8">
        <w:rPr>
          <w:sz w:val="20"/>
        </w:rPr>
        <w:t>(</w:t>
      </w:r>
      <w:r w:rsidRPr="00767DD8">
        <w:rPr>
          <w:sz w:val="20"/>
        </w:rPr>
        <w:t>aleksandra.bujnowska@ec.</w:t>
      </w:r>
      <w:r w:rsidRPr="00252121">
        <w:rPr>
          <w:sz w:val="20"/>
        </w:rPr>
        <w:t>europa.eu</w:t>
      </w:r>
      <w:r w:rsidR="00000D5A" w:rsidRPr="00252121">
        <w:rPr>
          <w:sz w:val="20"/>
        </w:rPr>
        <w:t>)</w:t>
      </w:r>
      <w:r w:rsidR="00000D5A" w:rsidRPr="00252121">
        <w:rPr>
          <w:rStyle w:val="FootnoteReference"/>
          <w:sz w:val="20"/>
        </w:rPr>
        <w:footnoteReference w:id="1"/>
      </w:r>
      <w:r w:rsidR="00000D5A" w:rsidRPr="00252121">
        <w:rPr>
          <w:sz w:val="20"/>
        </w:rPr>
        <w:t xml:space="preserve">, </w:t>
      </w:r>
      <w:r w:rsidRPr="00252121">
        <w:rPr>
          <w:sz w:val="20"/>
        </w:rPr>
        <w:t>Wi</w:t>
      </w:r>
      <w:r w:rsidR="005A65F7" w:rsidRPr="00252121">
        <w:rPr>
          <w:sz w:val="20"/>
        </w:rPr>
        <w:t>lhelmus</w:t>
      </w:r>
      <w:r w:rsidRPr="00252121">
        <w:rPr>
          <w:sz w:val="20"/>
        </w:rPr>
        <w:t xml:space="preserve"> Kloek </w:t>
      </w:r>
      <w:r w:rsidR="00452555">
        <w:rPr>
          <w:sz w:val="20"/>
        </w:rPr>
        <w:t>(wilhelmus</w:t>
      </w:r>
      <w:r w:rsidR="00452555" w:rsidRPr="00452555">
        <w:rPr>
          <w:sz w:val="20"/>
        </w:rPr>
        <w:t>.</w:t>
      </w:r>
      <w:r w:rsidR="00452555">
        <w:rPr>
          <w:sz w:val="20"/>
        </w:rPr>
        <w:t>kloek</w:t>
      </w:r>
      <w:r w:rsidR="00452555" w:rsidRPr="00452555">
        <w:rPr>
          <w:sz w:val="20"/>
        </w:rPr>
        <w:t>@ec.europa.eu</w:t>
      </w:r>
      <w:r w:rsidR="00452555">
        <w:rPr>
          <w:sz w:val="20"/>
        </w:rPr>
        <w:t>)</w:t>
      </w:r>
      <w:r w:rsidR="00452555" w:rsidRPr="00452555">
        <w:rPr>
          <w:sz w:val="20"/>
          <w:vertAlign w:val="superscript"/>
        </w:rPr>
        <w:t>1</w:t>
      </w:r>
    </w:p>
    <w:p w:rsidR="00000D5A" w:rsidRDefault="00000D5A" w:rsidP="00000D5A">
      <w:r w:rsidRPr="00243A2C">
        <w:rPr>
          <w:b/>
          <w:u w:val="single"/>
        </w:rPr>
        <w:t>Keywords</w:t>
      </w:r>
      <w:r w:rsidRPr="00243A2C">
        <w:rPr>
          <w:b/>
        </w:rPr>
        <w:t>:</w:t>
      </w:r>
      <w:r>
        <w:t xml:space="preserve"> </w:t>
      </w:r>
      <w:r w:rsidR="00DA409B">
        <w:t xml:space="preserve">microdata, </w:t>
      </w:r>
      <w:r w:rsidR="009D34EF">
        <w:t>data centres</w:t>
      </w:r>
      <w:r w:rsidR="00DA409B">
        <w:t xml:space="preserve">, </w:t>
      </w:r>
      <w:r w:rsidR="009D34EF">
        <w:t>data access</w:t>
      </w:r>
      <w:r w:rsidR="005A65F7">
        <w:t xml:space="preserve">, </w:t>
      </w:r>
    </w:p>
    <w:p w:rsidR="002012A8" w:rsidRDefault="002012A8" w:rsidP="002012A8">
      <w:pPr>
        <w:pStyle w:val="Heading1"/>
      </w:pPr>
      <w:r>
        <w:t>Introduction</w:t>
      </w:r>
    </w:p>
    <w:p w:rsidR="001B50CE" w:rsidRDefault="00252121" w:rsidP="00BC6AFE">
      <w:r>
        <w:t xml:space="preserve">The </w:t>
      </w:r>
      <w:r w:rsidR="00452555">
        <w:t>abstract</w:t>
      </w:r>
      <w:r>
        <w:t xml:space="preserve"> </w:t>
      </w:r>
      <w:r w:rsidR="009D34EF">
        <w:t>aims to provide a</w:t>
      </w:r>
      <w:r w:rsidR="00452555">
        <w:t>n</w:t>
      </w:r>
      <w:r w:rsidR="009D34EF">
        <w:t xml:space="preserve"> overview of different types of data centres and modes of access provided by them.</w:t>
      </w:r>
      <w:r w:rsidR="005A65F7">
        <w:t xml:space="preserve"> </w:t>
      </w:r>
      <w:r w:rsidR="009D34EF">
        <w:t xml:space="preserve">By data centres we mean here the real or virtual place facilitating access to the data. </w:t>
      </w:r>
      <w:r w:rsidR="00452555">
        <w:t xml:space="preserve">The objective of the data centres is to connect users with the data. </w:t>
      </w:r>
      <w:r w:rsidR="003D7B33">
        <w:t>We</w:t>
      </w:r>
      <w:r w:rsidR="00F731A4">
        <w:t xml:space="preserve"> are mostly interested in data centres providing access to data received from multiple sources. </w:t>
      </w:r>
      <w:r w:rsidR="00BE32B4">
        <w:t xml:space="preserve">More and more data centres constitute a single entry point to data collected by other parties. </w:t>
      </w:r>
    </w:p>
    <w:p w:rsidR="009D34EF" w:rsidRDefault="009D34EF" w:rsidP="009D34EF">
      <w:pPr>
        <w:pStyle w:val="Heading1"/>
      </w:pPr>
      <w:r>
        <w:t xml:space="preserve">Data centres by </w:t>
      </w:r>
      <w:r w:rsidR="002D5268">
        <w:t>functions provided</w:t>
      </w:r>
    </w:p>
    <w:p w:rsidR="009D34EF" w:rsidRDefault="00F731A4" w:rsidP="009D34EF">
      <w:pPr>
        <w:pStyle w:val="Text1"/>
        <w:ind w:left="0"/>
      </w:pPr>
      <w:r>
        <w:t xml:space="preserve">Taking into account the </w:t>
      </w:r>
      <w:r w:rsidR="00E5260A">
        <w:t xml:space="preserve">functions and the data available </w:t>
      </w:r>
      <w:r>
        <w:t xml:space="preserve">at the data centres, the following types of data centres can be identified: </w:t>
      </w:r>
    </w:p>
    <w:p w:rsidR="00F731A4" w:rsidRPr="00F731A4" w:rsidRDefault="00F731A4" w:rsidP="002D5268">
      <w:pPr>
        <w:pStyle w:val="Text1"/>
        <w:numPr>
          <w:ilvl w:val="0"/>
          <w:numId w:val="22"/>
        </w:numPr>
        <w:spacing w:after="0"/>
        <w:ind w:left="714" w:hanging="357"/>
        <w:rPr>
          <w:lang w:val="pt-PT"/>
        </w:rPr>
      </w:pPr>
      <w:r w:rsidRPr="00F731A4">
        <w:rPr>
          <w:lang w:val="pt-PT"/>
        </w:rPr>
        <w:t>Data discovery centres</w:t>
      </w:r>
    </w:p>
    <w:p w:rsidR="00C60BBA" w:rsidRPr="00C60BBA" w:rsidRDefault="00F731A4" w:rsidP="002D5268">
      <w:pPr>
        <w:pStyle w:val="Text1"/>
        <w:numPr>
          <w:ilvl w:val="0"/>
          <w:numId w:val="22"/>
        </w:numPr>
        <w:spacing w:after="0"/>
        <w:ind w:left="714" w:hanging="357"/>
      </w:pPr>
      <w:r w:rsidRPr="00C60BBA">
        <w:t>Data exploration centres</w:t>
      </w:r>
      <w:r w:rsidR="00C60BBA" w:rsidRPr="00C60BBA">
        <w:t xml:space="preserve"> (including distributed data exploration centres</w:t>
      </w:r>
      <w:r w:rsidR="00C60BBA">
        <w:t>)</w:t>
      </w:r>
    </w:p>
    <w:p w:rsidR="00F731A4" w:rsidRDefault="00F731A4" w:rsidP="002D5268">
      <w:pPr>
        <w:pStyle w:val="Text1"/>
        <w:numPr>
          <w:ilvl w:val="0"/>
          <w:numId w:val="22"/>
        </w:numPr>
        <w:spacing w:after="0"/>
        <w:ind w:left="714" w:hanging="357"/>
        <w:rPr>
          <w:lang w:val="pt-PT"/>
        </w:rPr>
      </w:pPr>
      <w:r w:rsidRPr="00F731A4">
        <w:rPr>
          <w:lang w:val="pt-PT"/>
        </w:rPr>
        <w:t xml:space="preserve">Data </w:t>
      </w:r>
      <w:r>
        <w:rPr>
          <w:lang w:val="pt-PT"/>
        </w:rPr>
        <w:t>computation centres</w:t>
      </w:r>
    </w:p>
    <w:p w:rsidR="00F731A4" w:rsidRDefault="00F731A4" w:rsidP="002D5268">
      <w:pPr>
        <w:pStyle w:val="Text1"/>
        <w:spacing w:before="240"/>
        <w:ind w:left="0"/>
      </w:pPr>
      <w:r w:rsidRPr="00E60450">
        <w:rPr>
          <w:b/>
        </w:rPr>
        <w:t>Data discovery centres</w:t>
      </w:r>
      <w:r w:rsidRPr="00F731A4">
        <w:t xml:space="preserve"> offer detailed catalogue</w:t>
      </w:r>
      <w:r w:rsidR="008367B9">
        <w:t>s</w:t>
      </w:r>
      <w:r w:rsidRPr="00F731A4">
        <w:t xml:space="preserve"> </w:t>
      </w:r>
      <w:r w:rsidR="008367B9">
        <w:t xml:space="preserve">of the existing data of interest to their users. The users may search the catalogue but can not access the data. The catalogues </w:t>
      </w:r>
      <w:r w:rsidR="00C60BBA">
        <w:t xml:space="preserve">indicate the </w:t>
      </w:r>
      <w:r w:rsidR="008367B9">
        <w:t xml:space="preserve">reference points </w:t>
      </w:r>
      <w:r w:rsidR="00C60BBA">
        <w:t xml:space="preserve">where the data can be obtained. </w:t>
      </w:r>
      <w:r w:rsidR="00BE32B4">
        <w:t>Data archives very often play the role of d</w:t>
      </w:r>
      <w:r w:rsidR="00BE32B4" w:rsidRPr="00BE32B4">
        <w:t>ata discovery centres</w:t>
      </w:r>
      <w:r w:rsidR="00BE32B4">
        <w:t>.</w:t>
      </w:r>
    </w:p>
    <w:p w:rsidR="00E60450" w:rsidRDefault="00C60BBA" w:rsidP="00F731A4">
      <w:pPr>
        <w:pStyle w:val="Text1"/>
        <w:ind w:left="0"/>
      </w:pPr>
      <w:r w:rsidRPr="00E60450">
        <w:rPr>
          <w:b/>
        </w:rPr>
        <w:t xml:space="preserve">Data exploration centres </w:t>
      </w:r>
      <w:r>
        <w:t xml:space="preserve">provide data catalogues and access to the data. They usually store the data and administer them. These are usually own data, collected by the data centre or data confined to them by other organisations (data providers). In the latter case the data exploration centre must possess adequate rights to grant access to the data. These rights are laid down in special agreements with data providers. </w:t>
      </w:r>
    </w:p>
    <w:p w:rsidR="00BB634B" w:rsidRDefault="00E60450" w:rsidP="00F731A4">
      <w:pPr>
        <w:pStyle w:val="Text1"/>
        <w:ind w:left="0"/>
      </w:pPr>
      <w:r>
        <w:t>T</w:t>
      </w:r>
      <w:r w:rsidR="00BB634B">
        <w:t>ypically</w:t>
      </w:r>
      <w:r w:rsidR="005232B8">
        <w:t>,</w:t>
      </w:r>
      <w:r w:rsidR="00BB634B">
        <w:t xml:space="preserve"> national statistical institutes (and Eurostat) offer services of data exploration centres. They have their own data</w:t>
      </w:r>
      <w:r>
        <w:t>, collected by them</w:t>
      </w:r>
      <w:r w:rsidR="00BB634B">
        <w:t xml:space="preserve"> and the</w:t>
      </w:r>
      <w:r>
        <w:t>y</w:t>
      </w:r>
      <w:r w:rsidR="00BB634B">
        <w:t xml:space="preserve"> have </w:t>
      </w:r>
      <w:r w:rsidR="005232B8">
        <w:t xml:space="preserve">a </w:t>
      </w:r>
      <w:r w:rsidR="00BB634B">
        <w:t>legal mandate to receive the data from other parties (usually public bodies).</w:t>
      </w:r>
    </w:p>
    <w:p w:rsidR="002D5268" w:rsidRPr="002D5268" w:rsidRDefault="002D5268" w:rsidP="00F731A4">
      <w:pPr>
        <w:pStyle w:val="Text1"/>
        <w:ind w:left="0"/>
        <w:rPr>
          <w:b/>
        </w:rPr>
      </w:pPr>
      <w:r w:rsidRPr="002D5268">
        <w:rPr>
          <w:b/>
        </w:rPr>
        <w:t>Picture 1 Data exploration centre</w:t>
      </w:r>
    </w:p>
    <w:p w:rsidR="00E60450" w:rsidRDefault="00E60450" w:rsidP="00E60450">
      <w:pPr>
        <w:pStyle w:val="Text1"/>
        <w:ind w:left="0"/>
        <w:jc w:val="center"/>
      </w:pPr>
      <w:r>
        <w:rPr>
          <w:noProof/>
          <w:lang w:eastAsia="en-GB"/>
        </w:rPr>
        <w:drawing>
          <wp:inline distT="0" distB="0" distL="0" distR="0" wp14:anchorId="68A487B1">
            <wp:extent cx="1805111" cy="1270951"/>
            <wp:effectExtent l="0" t="0" r="508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63" cy="1274226"/>
                    </a:xfrm>
                    <a:prstGeom prst="rect">
                      <a:avLst/>
                    </a:prstGeom>
                    <a:noFill/>
                  </pic:spPr>
                </pic:pic>
              </a:graphicData>
            </a:graphic>
          </wp:inline>
        </w:drawing>
      </w:r>
    </w:p>
    <w:p w:rsidR="00C60BBA" w:rsidRDefault="00C60BBA" w:rsidP="00F731A4">
      <w:pPr>
        <w:pStyle w:val="Text1"/>
        <w:ind w:left="0"/>
      </w:pPr>
      <w:r>
        <w:lastRenderedPageBreak/>
        <w:t xml:space="preserve">A special case </w:t>
      </w:r>
      <w:r w:rsidR="00BB634B">
        <w:t>is</w:t>
      </w:r>
      <w:r>
        <w:t xml:space="preserve"> the </w:t>
      </w:r>
      <w:r w:rsidRPr="002245CE">
        <w:rPr>
          <w:b/>
        </w:rPr>
        <w:t>distributed data exploration centre</w:t>
      </w:r>
      <w:r>
        <w:t xml:space="preserve">. </w:t>
      </w:r>
      <w:r w:rsidR="00BB634B">
        <w:t>It</w:t>
      </w:r>
      <w:r>
        <w:t xml:space="preserve"> offer</w:t>
      </w:r>
      <w:r w:rsidR="00BB634B">
        <w:t>s</w:t>
      </w:r>
      <w:r>
        <w:t xml:space="preserve"> access </w:t>
      </w:r>
      <w:r w:rsidR="003D7B33">
        <w:t xml:space="preserve">to </w:t>
      </w:r>
      <w:r>
        <w:t xml:space="preserve">data </w:t>
      </w:r>
      <w:r w:rsidR="005232B8">
        <w:t xml:space="preserve">that </w:t>
      </w:r>
      <w:r>
        <w:t xml:space="preserve">remain physically at the </w:t>
      </w:r>
      <w:r w:rsidR="005232B8">
        <w:t xml:space="preserve">premises of the </w:t>
      </w:r>
      <w:r>
        <w:t xml:space="preserve">data providers. </w:t>
      </w:r>
      <w:r w:rsidR="003D7B33">
        <w:t xml:space="preserve">There is no transfer </w:t>
      </w:r>
      <w:r w:rsidR="002245CE">
        <w:t xml:space="preserve">of data </w:t>
      </w:r>
      <w:r w:rsidR="003D7B33">
        <w:t xml:space="preserve">to </w:t>
      </w:r>
      <w:r w:rsidR="00AE21D9">
        <w:t xml:space="preserve">the </w:t>
      </w:r>
      <w:r w:rsidR="003D7B33">
        <w:t xml:space="preserve">data centre. </w:t>
      </w:r>
    </w:p>
    <w:p w:rsidR="002D5268" w:rsidRPr="002D5268" w:rsidRDefault="002D5268" w:rsidP="00F731A4">
      <w:pPr>
        <w:pStyle w:val="Text1"/>
        <w:ind w:left="0"/>
        <w:rPr>
          <w:b/>
        </w:rPr>
      </w:pPr>
      <w:r w:rsidRPr="002D5268">
        <w:rPr>
          <w:b/>
        </w:rPr>
        <w:t>Picture 2 Distributed data exploration centre</w:t>
      </w:r>
    </w:p>
    <w:p w:rsidR="00E60450" w:rsidRDefault="00E60450" w:rsidP="00E60450">
      <w:pPr>
        <w:pStyle w:val="Text1"/>
        <w:ind w:left="0"/>
        <w:jc w:val="center"/>
      </w:pPr>
      <w:r>
        <w:rPr>
          <w:noProof/>
          <w:lang w:eastAsia="en-GB"/>
        </w:rPr>
        <w:drawing>
          <wp:inline distT="0" distB="0" distL="0" distR="0" wp14:anchorId="407E4867">
            <wp:extent cx="1989886" cy="124405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914" cy="1246574"/>
                    </a:xfrm>
                    <a:prstGeom prst="rect">
                      <a:avLst/>
                    </a:prstGeom>
                    <a:noFill/>
                  </pic:spPr>
                </pic:pic>
              </a:graphicData>
            </a:graphic>
          </wp:inline>
        </w:drawing>
      </w:r>
    </w:p>
    <w:p w:rsidR="003D7B33" w:rsidRDefault="003D7B33" w:rsidP="00F731A4">
      <w:pPr>
        <w:pStyle w:val="Text1"/>
        <w:ind w:left="0"/>
      </w:pPr>
      <w:r w:rsidRPr="002245CE">
        <w:rPr>
          <w:b/>
        </w:rPr>
        <w:t>Data computation centre</w:t>
      </w:r>
      <w:r w:rsidR="002245CE" w:rsidRPr="002245CE">
        <w:rPr>
          <w:b/>
        </w:rPr>
        <w:t>s</w:t>
      </w:r>
      <w:r>
        <w:t xml:space="preserve"> provide access to statistics computed "on the fly" </w:t>
      </w:r>
      <w:r w:rsidR="005232B8">
        <w:t xml:space="preserve">while the </w:t>
      </w:r>
      <w:r>
        <w:t xml:space="preserve">data </w:t>
      </w:r>
      <w:r w:rsidR="005232B8">
        <w:t xml:space="preserve">itself </w:t>
      </w:r>
      <w:r>
        <w:t xml:space="preserve">remain at the data providers premises. There is no transfer and no access to the data. Users </w:t>
      </w:r>
      <w:r w:rsidR="005232B8">
        <w:t xml:space="preserve">receive </w:t>
      </w:r>
      <w:r>
        <w:t xml:space="preserve">aggregated results. </w:t>
      </w:r>
      <w:r w:rsidR="002245CE">
        <w:t>Data computation centres become more and more popular as they fill the gap between users looking for data and massive amount of data collected</w:t>
      </w:r>
      <w:r w:rsidR="002D5268">
        <w:t xml:space="preserve"> for various purposes</w:t>
      </w:r>
      <w:r w:rsidR="002245CE">
        <w:t xml:space="preserve"> but</w:t>
      </w:r>
      <w:r w:rsidR="002D5268">
        <w:t xml:space="preserve"> normally</w:t>
      </w:r>
      <w:r w:rsidR="002245CE">
        <w:t xml:space="preserve"> not available for access. </w:t>
      </w:r>
    </w:p>
    <w:p w:rsidR="002D5268" w:rsidRPr="002D5268" w:rsidRDefault="002D5268" w:rsidP="00F731A4">
      <w:pPr>
        <w:pStyle w:val="Text1"/>
        <w:ind w:left="0"/>
        <w:rPr>
          <w:b/>
        </w:rPr>
      </w:pPr>
      <w:r w:rsidRPr="002D5268">
        <w:rPr>
          <w:b/>
        </w:rPr>
        <w:t>Picture 3 Data computation centre</w:t>
      </w:r>
    </w:p>
    <w:p w:rsidR="00452555" w:rsidRPr="00C60BBA" w:rsidRDefault="00452555" w:rsidP="00452555">
      <w:pPr>
        <w:pStyle w:val="Text1"/>
        <w:ind w:left="0"/>
        <w:jc w:val="center"/>
      </w:pPr>
      <w:r>
        <w:rPr>
          <w:noProof/>
          <w:lang w:eastAsia="en-GB"/>
        </w:rPr>
        <w:drawing>
          <wp:inline distT="0" distB="0" distL="0" distR="0" wp14:anchorId="241DCADA">
            <wp:extent cx="2203088" cy="1254907"/>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088" cy="1254907"/>
                    </a:xfrm>
                    <a:prstGeom prst="rect">
                      <a:avLst/>
                    </a:prstGeom>
                    <a:noFill/>
                  </pic:spPr>
                </pic:pic>
              </a:graphicData>
            </a:graphic>
          </wp:inline>
        </w:drawing>
      </w:r>
    </w:p>
    <w:p w:rsidR="00BC6AFE" w:rsidRDefault="009D34EF" w:rsidP="00BC6AFE">
      <w:pPr>
        <w:pStyle w:val="Heading1"/>
      </w:pPr>
      <w:r>
        <w:t>Data centre</w:t>
      </w:r>
      <w:r w:rsidR="008367B9">
        <w:t>s</w:t>
      </w:r>
      <w:r>
        <w:t xml:space="preserve"> by organisation type</w:t>
      </w:r>
    </w:p>
    <w:p w:rsidR="00244A06" w:rsidRDefault="00244A06" w:rsidP="00244A06">
      <w:pPr>
        <w:pStyle w:val="Text1"/>
        <w:ind w:left="0"/>
      </w:pPr>
      <w:r>
        <w:t xml:space="preserve">Taking into account their organisation, the following types of data centres can be identified: </w:t>
      </w:r>
    </w:p>
    <w:p w:rsidR="00244A06" w:rsidRDefault="00244A06" w:rsidP="00244A06">
      <w:pPr>
        <w:pStyle w:val="Text1"/>
        <w:numPr>
          <w:ilvl w:val="0"/>
          <w:numId w:val="22"/>
        </w:numPr>
        <w:rPr>
          <w:lang w:val="pt-PT"/>
        </w:rPr>
      </w:pPr>
      <w:r>
        <w:rPr>
          <w:lang w:val="pt-PT"/>
        </w:rPr>
        <w:t>Own data centres</w:t>
      </w:r>
    </w:p>
    <w:p w:rsidR="00244A06" w:rsidRPr="00F731A4" w:rsidRDefault="00244A06" w:rsidP="00244A06">
      <w:pPr>
        <w:pStyle w:val="Text1"/>
        <w:numPr>
          <w:ilvl w:val="0"/>
          <w:numId w:val="22"/>
        </w:numPr>
        <w:rPr>
          <w:lang w:val="pt-PT"/>
        </w:rPr>
      </w:pPr>
      <w:r>
        <w:rPr>
          <w:lang w:val="pt-PT"/>
        </w:rPr>
        <w:t>Independent data centres</w:t>
      </w:r>
    </w:p>
    <w:p w:rsidR="00F731A4" w:rsidRDefault="00244A06" w:rsidP="00244A06">
      <w:r>
        <w:t xml:space="preserve">The organizations collecting the data usually have their </w:t>
      </w:r>
      <w:r w:rsidRPr="00BE32B4">
        <w:rPr>
          <w:b/>
        </w:rPr>
        <w:t>own data centres</w:t>
      </w:r>
      <w:r>
        <w:t xml:space="preserve">. Most of the statistical offices created data centres to grant access to their own data. </w:t>
      </w:r>
      <w:r w:rsidR="008C601E">
        <w:t>The data centre is th</w:t>
      </w:r>
      <w:r w:rsidR="005232B8">
        <w:t>e</w:t>
      </w:r>
      <w:r w:rsidR="008C601E">
        <w:t xml:space="preserve">n a unit identified in the organigram. </w:t>
      </w:r>
    </w:p>
    <w:p w:rsidR="00F731A4" w:rsidRDefault="00244A06" w:rsidP="00BC6AFE">
      <w:r w:rsidRPr="00BE32B4">
        <w:rPr>
          <w:b/>
        </w:rPr>
        <w:t>Independent data centres</w:t>
      </w:r>
      <w:r>
        <w:t xml:space="preserve"> specialize in facilitating access to the data</w:t>
      </w:r>
      <w:r w:rsidR="008C601E">
        <w:t xml:space="preserve">. </w:t>
      </w:r>
      <w:r w:rsidR="002D5268">
        <w:t>This is their</w:t>
      </w:r>
      <w:r w:rsidR="008C601E">
        <w:t xml:space="preserve"> core business. They excel in data description</w:t>
      </w:r>
      <w:r w:rsidR="00B22BCE">
        <w:t>, curation and</w:t>
      </w:r>
      <w:r w:rsidR="008C601E">
        <w:t xml:space="preserve"> provision. In order to work efficiently</w:t>
      </w:r>
      <w:r w:rsidR="005232B8">
        <w:t>,</w:t>
      </w:r>
      <w:r w:rsidR="008C601E">
        <w:t xml:space="preserve"> the independent data centres must be considered a trusted party. They usually collaborate with several data providers. </w:t>
      </w:r>
      <w:r w:rsidR="00BE32B4">
        <w:t>Independent data centres more often than own centres provide access to linked data.</w:t>
      </w:r>
    </w:p>
    <w:p w:rsidR="00BC6AFE" w:rsidRDefault="000773C2" w:rsidP="00BC6AFE">
      <w:pPr>
        <w:pStyle w:val="Heading1"/>
      </w:pPr>
      <w:r>
        <w:t>Conclusions</w:t>
      </w:r>
    </w:p>
    <w:p w:rsidR="000773C2" w:rsidRPr="00BC6AFE" w:rsidRDefault="000773C2" w:rsidP="000773C2">
      <w:r>
        <w:t xml:space="preserve">Increase of the amount of data available for analysis requires development of data centres that play a major role in facilitating access to (their own or third party) data. </w:t>
      </w:r>
      <w:r w:rsidR="002245CE">
        <w:t xml:space="preserve">The data </w:t>
      </w:r>
      <w:r w:rsidR="002245CE">
        <w:lastRenderedPageBreak/>
        <w:t xml:space="preserve">centres </w:t>
      </w:r>
      <w:r w:rsidR="009A04B9">
        <w:t xml:space="preserve">aim at assembling as many data sources as possible and at offering various access modes. </w:t>
      </w:r>
    </w:p>
    <w:p w:rsidR="000773C2" w:rsidRPr="000773C2" w:rsidRDefault="009A04B9" w:rsidP="000773C2">
      <w:pPr>
        <w:pStyle w:val="Text1"/>
        <w:ind w:left="0"/>
      </w:pPr>
      <w:r>
        <w:t xml:space="preserve">Statistical offices </w:t>
      </w:r>
      <w:r w:rsidR="00EA3A86">
        <w:t xml:space="preserve">may have their own data centres but may also confine their data to independent data centres that grant access on their behalf. </w:t>
      </w:r>
      <w:r w:rsidR="00BE32B4">
        <w:t xml:space="preserve">Table 1 provides examples of various types of data centres. </w:t>
      </w:r>
    </w:p>
    <w:p w:rsidR="008847C3" w:rsidRPr="00E5260A" w:rsidRDefault="008847C3" w:rsidP="008847C3">
      <w:pPr>
        <w:pStyle w:val="Caption"/>
      </w:pPr>
      <w:r w:rsidRPr="00E5260A">
        <w:t xml:space="preserve">Table </w:t>
      </w:r>
      <w:r w:rsidR="0065115C">
        <w:fldChar w:fldCharType="begin"/>
      </w:r>
      <w:r w:rsidR="0065115C">
        <w:instrText xml:space="preserve"> SEQ Table \* ARABIC </w:instrText>
      </w:r>
      <w:r w:rsidR="0065115C">
        <w:fldChar w:fldCharType="separate"/>
      </w:r>
      <w:r w:rsidR="00D67AD3" w:rsidRPr="00E5260A">
        <w:rPr>
          <w:noProof/>
        </w:rPr>
        <w:t>1</w:t>
      </w:r>
      <w:r w:rsidR="0065115C">
        <w:rPr>
          <w:noProof/>
        </w:rPr>
        <w:fldChar w:fldCharType="end"/>
      </w:r>
      <w:r w:rsidRPr="00E5260A">
        <w:t xml:space="preserve">. </w:t>
      </w:r>
      <w:r w:rsidR="00E5260A">
        <w:t>Data centres by data types and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1767"/>
        <w:gridCol w:w="1767"/>
        <w:gridCol w:w="1765"/>
      </w:tblGrid>
      <w:tr w:rsidR="00E5260A" w:rsidRPr="00923850" w:rsidTr="002245CE">
        <w:tc>
          <w:tcPr>
            <w:tcW w:w="1000" w:type="pct"/>
            <w:shd w:val="clear" w:color="auto" w:fill="auto"/>
          </w:tcPr>
          <w:p w:rsidR="00E5260A" w:rsidRPr="004132C6" w:rsidRDefault="00E5260A" w:rsidP="00E5260A">
            <w:pPr>
              <w:spacing w:after="0"/>
              <w:jc w:val="left"/>
            </w:pPr>
          </w:p>
        </w:tc>
        <w:tc>
          <w:tcPr>
            <w:tcW w:w="1000" w:type="pct"/>
            <w:shd w:val="clear" w:color="auto" w:fill="auto"/>
          </w:tcPr>
          <w:p w:rsidR="00E5260A" w:rsidRPr="004132C6" w:rsidRDefault="00E5260A" w:rsidP="00E5260A">
            <w:pPr>
              <w:spacing w:after="0"/>
              <w:jc w:val="center"/>
            </w:pPr>
            <w:r w:rsidRPr="004132C6">
              <w:t>Data discovery</w:t>
            </w:r>
          </w:p>
        </w:tc>
        <w:tc>
          <w:tcPr>
            <w:tcW w:w="1000" w:type="pct"/>
            <w:shd w:val="clear" w:color="auto" w:fill="auto"/>
          </w:tcPr>
          <w:p w:rsidR="00E5260A" w:rsidRPr="004132C6" w:rsidRDefault="00E5260A" w:rsidP="00E5260A">
            <w:pPr>
              <w:spacing w:after="0"/>
              <w:jc w:val="center"/>
            </w:pPr>
            <w:r w:rsidRPr="004132C6">
              <w:t>Data exploration</w:t>
            </w:r>
          </w:p>
        </w:tc>
        <w:tc>
          <w:tcPr>
            <w:tcW w:w="1000" w:type="pct"/>
            <w:shd w:val="clear" w:color="auto" w:fill="auto"/>
          </w:tcPr>
          <w:p w:rsidR="00E5260A" w:rsidRPr="004132C6" w:rsidRDefault="00E5260A" w:rsidP="00E5260A">
            <w:pPr>
              <w:spacing w:after="0"/>
              <w:jc w:val="center"/>
            </w:pPr>
            <w:r w:rsidRPr="004132C6">
              <w:t>Distributed data exploration</w:t>
            </w:r>
          </w:p>
        </w:tc>
        <w:tc>
          <w:tcPr>
            <w:tcW w:w="999" w:type="pct"/>
            <w:shd w:val="clear" w:color="auto" w:fill="auto"/>
          </w:tcPr>
          <w:p w:rsidR="00E5260A" w:rsidRPr="004132C6" w:rsidRDefault="00E5260A" w:rsidP="00E5260A">
            <w:pPr>
              <w:spacing w:after="0"/>
              <w:jc w:val="center"/>
            </w:pPr>
            <w:r w:rsidRPr="004132C6">
              <w:t>Data computation</w:t>
            </w:r>
          </w:p>
        </w:tc>
      </w:tr>
      <w:tr w:rsidR="002245CE" w:rsidRPr="004132C6" w:rsidTr="002245CE">
        <w:tc>
          <w:tcPr>
            <w:tcW w:w="1000" w:type="pct"/>
            <w:shd w:val="clear" w:color="auto" w:fill="auto"/>
          </w:tcPr>
          <w:p w:rsidR="002245CE" w:rsidRPr="004132C6" w:rsidRDefault="002245CE" w:rsidP="00E5260A">
            <w:pPr>
              <w:spacing w:after="0"/>
              <w:jc w:val="left"/>
            </w:pPr>
            <w:r w:rsidRPr="004132C6">
              <w:t>Own data centres</w:t>
            </w:r>
          </w:p>
        </w:tc>
        <w:tc>
          <w:tcPr>
            <w:tcW w:w="2000" w:type="pct"/>
            <w:gridSpan w:val="2"/>
            <w:shd w:val="clear" w:color="auto" w:fill="auto"/>
          </w:tcPr>
          <w:p w:rsidR="002245CE" w:rsidRPr="004132C6" w:rsidRDefault="002245CE" w:rsidP="002245CE">
            <w:pPr>
              <w:spacing w:after="0"/>
              <w:jc w:val="center"/>
            </w:pPr>
            <w:r w:rsidRPr="00B22BCE">
              <w:t>National Stat</w:t>
            </w:r>
            <w:r>
              <w:t>istical</w:t>
            </w:r>
            <w:r w:rsidRPr="00B22BCE">
              <w:t xml:space="preserve"> Institutes, Eurosta</w:t>
            </w:r>
            <w:r>
              <w:t>t</w:t>
            </w:r>
          </w:p>
        </w:tc>
        <w:tc>
          <w:tcPr>
            <w:tcW w:w="1000" w:type="pct"/>
            <w:shd w:val="clear" w:color="auto" w:fill="auto"/>
          </w:tcPr>
          <w:p w:rsidR="002245CE" w:rsidRPr="004132C6" w:rsidRDefault="002245CE" w:rsidP="004132C6">
            <w:pPr>
              <w:spacing w:after="0"/>
              <w:jc w:val="center"/>
            </w:pPr>
            <w:r>
              <w:t>NordMAN</w:t>
            </w:r>
          </w:p>
        </w:tc>
        <w:tc>
          <w:tcPr>
            <w:tcW w:w="999" w:type="pct"/>
            <w:shd w:val="clear" w:color="auto" w:fill="auto"/>
          </w:tcPr>
          <w:p w:rsidR="002245CE" w:rsidRPr="004132C6" w:rsidRDefault="002245CE" w:rsidP="004132C6">
            <w:pPr>
              <w:spacing w:after="0"/>
              <w:jc w:val="center"/>
            </w:pPr>
            <w:r>
              <w:t>Census HUB</w:t>
            </w:r>
          </w:p>
        </w:tc>
      </w:tr>
      <w:tr w:rsidR="00E5260A" w:rsidRPr="00923850" w:rsidTr="002245CE">
        <w:tc>
          <w:tcPr>
            <w:tcW w:w="1000" w:type="pct"/>
            <w:shd w:val="clear" w:color="auto" w:fill="auto"/>
          </w:tcPr>
          <w:p w:rsidR="00E5260A" w:rsidRPr="004132C6" w:rsidRDefault="00E5260A" w:rsidP="00E5260A">
            <w:pPr>
              <w:spacing w:after="0"/>
              <w:jc w:val="left"/>
            </w:pPr>
            <w:r w:rsidRPr="004132C6">
              <w:t>Independent data centres</w:t>
            </w:r>
          </w:p>
        </w:tc>
        <w:tc>
          <w:tcPr>
            <w:tcW w:w="1000" w:type="pct"/>
            <w:shd w:val="clear" w:color="auto" w:fill="auto"/>
          </w:tcPr>
          <w:p w:rsidR="00E5260A" w:rsidRPr="004132C6" w:rsidRDefault="004132C6" w:rsidP="00B22BCE">
            <w:pPr>
              <w:spacing w:after="0"/>
              <w:jc w:val="center"/>
            </w:pPr>
            <w:r w:rsidRPr="004132C6">
              <w:t>INEXDA, CE</w:t>
            </w:r>
            <w:r w:rsidR="00B22BCE">
              <w:t>S</w:t>
            </w:r>
            <w:r w:rsidRPr="004132C6">
              <w:t>SDA</w:t>
            </w:r>
          </w:p>
        </w:tc>
        <w:tc>
          <w:tcPr>
            <w:tcW w:w="1000" w:type="pct"/>
            <w:shd w:val="clear" w:color="auto" w:fill="auto"/>
          </w:tcPr>
          <w:p w:rsidR="004132C6" w:rsidRDefault="004132C6" w:rsidP="002245CE">
            <w:pPr>
              <w:spacing w:after="0"/>
              <w:jc w:val="center"/>
            </w:pPr>
            <w:r>
              <w:t>CASD</w:t>
            </w:r>
            <w:r w:rsidR="002245CE">
              <w:t xml:space="preserve">.eu, </w:t>
            </w:r>
            <w:r w:rsidR="002245CE">
              <w:br/>
              <w:t>UK D</w:t>
            </w:r>
            <w:r w:rsidR="002245CE" w:rsidRPr="002245CE">
              <w:t>ata</w:t>
            </w:r>
            <w:r w:rsidR="002245CE">
              <w:t xml:space="preserve"> S</w:t>
            </w:r>
            <w:r w:rsidR="002245CE" w:rsidRPr="002245CE">
              <w:t>ervice</w:t>
            </w:r>
            <w:r w:rsidR="002245CE">
              <w:t xml:space="preserve">, </w:t>
            </w:r>
          </w:p>
          <w:p w:rsidR="002245CE" w:rsidRPr="004132C6" w:rsidRDefault="002245CE" w:rsidP="002245CE">
            <w:pPr>
              <w:spacing w:after="0"/>
              <w:jc w:val="center"/>
            </w:pPr>
            <w:r>
              <w:t>IPUMS</w:t>
            </w:r>
          </w:p>
        </w:tc>
        <w:tc>
          <w:tcPr>
            <w:tcW w:w="1000" w:type="pct"/>
            <w:shd w:val="clear" w:color="auto" w:fill="auto"/>
          </w:tcPr>
          <w:p w:rsidR="00E5260A" w:rsidRPr="004132C6" w:rsidRDefault="009A04B9" w:rsidP="004132C6">
            <w:pPr>
              <w:spacing w:after="0"/>
              <w:jc w:val="center"/>
            </w:pPr>
            <w:r>
              <w:t>IDAN</w:t>
            </w:r>
          </w:p>
        </w:tc>
        <w:tc>
          <w:tcPr>
            <w:tcW w:w="999" w:type="pct"/>
            <w:shd w:val="clear" w:color="auto" w:fill="auto"/>
          </w:tcPr>
          <w:p w:rsidR="00E5260A" w:rsidRPr="004132C6" w:rsidRDefault="005232B8" w:rsidP="005232B8">
            <w:pPr>
              <w:spacing w:after="0"/>
              <w:jc w:val="center"/>
            </w:pPr>
            <w:r>
              <w:t>P</w:t>
            </w:r>
            <w:r w:rsidR="00B22BCE">
              <w:t>rivate companies offering secure computation of other parties' data</w:t>
            </w:r>
          </w:p>
        </w:tc>
      </w:tr>
    </w:tbl>
    <w:p w:rsidR="00BC6AFE" w:rsidRPr="00BC6AFE" w:rsidRDefault="00BC6AFE" w:rsidP="00BC6AFE"/>
    <w:sectPr w:rsidR="00BC6AFE" w:rsidRPr="00BC6AFE" w:rsidSect="00BC6AFE">
      <w:footerReference w:type="default" r:id="rId12"/>
      <w:headerReference w:type="first" r:id="rId13"/>
      <w:footerReference w:type="first" r:id="rId14"/>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5D2" w:rsidRDefault="001255D2" w:rsidP="00BC6AFE">
      <w:pPr>
        <w:spacing w:after="0"/>
      </w:pPr>
      <w:r>
        <w:separator/>
      </w:r>
    </w:p>
  </w:endnote>
  <w:endnote w:type="continuationSeparator" w:id="0">
    <w:p w:rsidR="001255D2" w:rsidRDefault="001255D2"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jc w:val="center"/>
    </w:pPr>
    <w:r>
      <w:fldChar w:fldCharType="begin"/>
    </w:r>
    <w:r>
      <w:instrText>PAGE</w:instrText>
    </w:r>
    <w:r>
      <w:fldChar w:fldCharType="separate"/>
    </w:r>
    <w:r w:rsidR="0065115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Footer"/>
      <w:rPr>
        <w:sz w:val="24"/>
        <w:szCs w:val="24"/>
      </w:rPr>
    </w:pPr>
  </w:p>
  <w:p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D24082" w:rsidRDefault="00D24082">
    <w:pPr>
      <w:pStyle w:val="Footer"/>
    </w:pPr>
  </w:p>
  <w:p w:rsidR="00D24082" w:rsidRDefault="00D24082">
    <w:pPr>
      <w:pStyle w:val="Footer"/>
    </w:pPr>
    <w:r>
      <w:t>http://epp.eurostat.ec.europa.eu</w:t>
    </w:r>
  </w:p>
  <w:p w:rsidR="00D24082" w:rsidRDefault="00D24082">
    <w:pPr>
      <w:pStyle w:val="Footer"/>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5D2" w:rsidRDefault="001255D2" w:rsidP="00BC6AFE">
      <w:pPr>
        <w:spacing w:after="0"/>
      </w:pPr>
      <w:r>
        <w:separator/>
      </w:r>
    </w:p>
  </w:footnote>
  <w:footnote w:type="continuationSeparator" w:id="0">
    <w:p w:rsidR="001255D2" w:rsidRDefault="001255D2" w:rsidP="00BC6AFE">
      <w:pPr>
        <w:spacing w:after="0"/>
      </w:pPr>
      <w:r>
        <w:continuationSeparator/>
      </w:r>
    </w:p>
  </w:footnote>
  <w:footnote w:id="1">
    <w:p w:rsidR="00000D5A" w:rsidRPr="004A44E0" w:rsidRDefault="00000D5A" w:rsidP="00000D5A">
      <w:pPr>
        <w:pStyle w:val="FootnoteText"/>
        <w:spacing w:after="120"/>
      </w:pPr>
      <w:r>
        <w:rPr>
          <w:rStyle w:val="FootnoteReference"/>
        </w:rPr>
        <w:footnoteRef/>
      </w:r>
      <w:r>
        <w:t xml:space="preserve"> </w:t>
      </w:r>
      <w:r w:rsidRPr="004A44E0">
        <w:tab/>
      </w:r>
      <w:r w:rsidR="00DA409B">
        <w:t>Eurostat, Statistical confidentiality and microdata access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82" w:rsidRDefault="00D2408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9">
    <w:nsid w:val="7F9A14D1"/>
    <w:multiLevelType w:val="hybridMultilevel"/>
    <w:tmpl w:val="16F8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 w:numId="21">
    <w:abstractNumId w:val="13"/>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D67AD3"/>
    <w:rsid w:val="00000D5A"/>
    <w:rsid w:val="000642A1"/>
    <w:rsid w:val="000773C2"/>
    <w:rsid w:val="000B2B0D"/>
    <w:rsid w:val="001255D2"/>
    <w:rsid w:val="00127067"/>
    <w:rsid w:val="001630D3"/>
    <w:rsid w:val="00176689"/>
    <w:rsid w:val="001B4F75"/>
    <w:rsid w:val="001B50CE"/>
    <w:rsid w:val="002012A8"/>
    <w:rsid w:val="002245CE"/>
    <w:rsid w:val="00243A2C"/>
    <w:rsid w:val="00244A06"/>
    <w:rsid w:val="00252121"/>
    <w:rsid w:val="002D5268"/>
    <w:rsid w:val="00332D6F"/>
    <w:rsid w:val="00361A5F"/>
    <w:rsid w:val="003836CA"/>
    <w:rsid w:val="003D7B33"/>
    <w:rsid w:val="004132C6"/>
    <w:rsid w:val="00452555"/>
    <w:rsid w:val="004F61A1"/>
    <w:rsid w:val="005232B8"/>
    <w:rsid w:val="00573E28"/>
    <w:rsid w:val="005A65F7"/>
    <w:rsid w:val="005B4EA5"/>
    <w:rsid w:val="0065115C"/>
    <w:rsid w:val="006875D6"/>
    <w:rsid w:val="00726BEF"/>
    <w:rsid w:val="007479A6"/>
    <w:rsid w:val="00752040"/>
    <w:rsid w:val="00767DD8"/>
    <w:rsid w:val="008367B9"/>
    <w:rsid w:val="008638E6"/>
    <w:rsid w:val="00881273"/>
    <w:rsid w:val="008847C3"/>
    <w:rsid w:val="008A75D0"/>
    <w:rsid w:val="008C601E"/>
    <w:rsid w:val="00923850"/>
    <w:rsid w:val="009A04B9"/>
    <w:rsid w:val="009A41E5"/>
    <w:rsid w:val="009B4EE0"/>
    <w:rsid w:val="009C544B"/>
    <w:rsid w:val="009D34EF"/>
    <w:rsid w:val="00A17E8C"/>
    <w:rsid w:val="00AE21D9"/>
    <w:rsid w:val="00B22BCE"/>
    <w:rsid w:val="00B9492F"/>
    <w:rsid w:val="00BB634B"/>
    <w:rsid w:val="00BC6AFE"/>
    <w:rsid w:val="00BE32B4"/>
    <w:rsid w:val="00C16E3E"/>
    <w:rsid w:val="00C60BBA"/>
    <w:rsid w:val="00CA7EDB"/>
    <w:rsid w:val="00CB7671"/>
    <w:rsid w:val="00D24082"/>
    <w:rsid w:val="00D52EA1"/>
    <w:rsid w:val="00D67AD3"/>
    <w:rsid w:val="00DA409B"/>
    <w:rsid w:val="00DB601E"/>
    <w:rsid w:val="00DF062D"/>
    <w:rsid w:val="00E5260A"/>
    <w:rsid w:val="00E60450"/>
    <w:rsid w:val="00E70757"/>
    <w:rsid w:val="00EA3A86"/>
    <w:rsid w:val="00F7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CommentReference">
    <w:name w:val="annotation reference"/>
    <w:basedOn w:val="DefaultParagraphFont"/>
    <w:uiPriority w:val="99"/>
    <w:semiHidden/>
    <w:unhideWhenUsed/>
    <w:rsid w:val="00CB7671"/>
    <w:rPr>
      <w:sz w:val="16"/>
      <w:szCs w:val="16"/>
    </w:rPr>
  </w:style>
  <w:style w:type="paragraph" w:styleId="CommentSubject">
    <w:name w:val="annotation subject"/>
    <w:basedOn w:val="CommentText"/>
    <w:next w:val="CommentText"/>
    <w:link w:val="CommentSubjectChar"/>
    <w:uiPriority w:val="99"/>
    <w:semiHidden/>
    <w:unhideWhenUsed/>
    <w:rsid w:val="00CB7671"/>
    <w:rPr>
      <w:b/>
      <w:bCs/>
    </w:rPr>
  </w:style>
  <w:style w:type="character" w:customStyle="1" w:styleId="CommentTextChar">
    <w:name w:val="Comment Text Char"/>
    <w:basedOn w:val="DefaultParagraphFont"/>
    <w:link w:val="CommentText"/>
    <w:semiHidden/>
    <w:rsid w:val="00CB7671"/>
    <w:rPr>
      <w:lang w:eastAsia="en-US"/>
    </w:rPr>
  </w:style>
  <w:style w:type="character" w:customStyle="1" w:styleId="CommentSubjectChar">
    <w:name w:val="Comment Subject Char"/>
    <w:basedOn w:val="CommentTextChar"/>
    <w:link w:val="CommentSubject"/>
    <w:uiPriority w:val="99"/>
    <w:semiHidden/>
    <w:rsid w:val="00CB767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B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0D"/>
    <w:rPr>
      <w:rFonts w:ascii="Tahoma" w:hAnsi="Tahoma" w:cs="Tahoma"/>
      <w:sz w:val="16"/>
      <w:szCs w:val="16"/>
      <w:lang w:eastAsia="en-US"/>
    </w:rPr>
  </w:style>
  <w:style w:type="character" w:customStyle="1" w:styleId="FootnoteTextChar">
    <w:name w:val="Footnote Text Char"/>
    <w:basedOn w:val="DefaultParagraphFont"/>
    <w:link w:val="FootnoteText"/>
    <w:semiHidden/>
    <w:rsid w:val="00000D5A"/>
    <w:rPr>
      <w:lang w:eastAsia="en-US"/>
    </w:rPr>
  </w:style>
  <w:style w:type="character" w:customStyle="1" w:styleId="TitleChar">
    <w:name w:val="Title Char"/>
    <w:basedOn w:val="DefaultParagraphFont"/>
    <w:link w:val="Title"/>
    <w:rsid w:val="00000D5A"/>
    <w:rPr>
      <w:rFonts w:ascii="Arial" w:hAnsi="Arial"/>
      <w:b/>
      <w:kern w:val="28"/>
      <w:sz w:val="32"/>
      <w:lang w:eastAsia="en-US"/>
    </w:rPr>
  </w:style>
  <w:style w:type="character" w:styleId="FootnoteReference">
    <w:name w:val="footnote reference"/>
    <w:uiPriority w:val="99"/>
    <w:semiHidden/>
    <w:unhideWhenUsed/>
    <w:rsid w:val="00000D5A"/>
    <w:rPr>
      <w:vertAlign w:val="superscript"/>
    </w:rPr>
  </w:style>
  <w:style w:type="character" w:styleId="Hyperlink">
    <w:name w:val="Hyperlink"/>
    <w:uiPriority w:val="99"/>
    <w:unhideWhenUsed/>
    <w:rsid w:val="00000D5A"/>
    <w:rPr>
      <w:color w:val="0000FF"/>
      <w:u w:val="single"/>
    </w:rPr>
  </w:style>
  <w:style w:type="character" w:styleId="CommentReference">
    <w:name w:val="annotation reference"/>
    <w:basedOn w:val="DefaultParagraphFont"/>
    <w:uiPriority w:val="99"/>
    <w:semiHidden/>
    <w:unhideWhenUsed/>
    <w:rsid w:val="00CB7671"/>
    <w:rPr>
      <w:sz w:val="16"/>
      <w:szCs w:val="16"/>
    </w:rPr>
  </w:style>
  <w:style w:type="paragraph" w:styleId="CommentSubject">
    <w:name w:val="annotation subject"/>
    <w:basedOn w:val="CommentText"/>
    <w:next w:val="CommentText"/>
    <w:link w:val="CommentSubjectChar"/>
    <w:uiPriority w:val="99"/>
    <w:semiHidden/>
    <w:unhideWhenUsed/>
    <w:rsid w:val="00CB7671"/>
    <w:rPr>
      <w:b/>
      <w:bCs/>
    </w:rPr>
  </w:style>
  <w:style w:type="character" w:customStyle="1" w:styleId="CommentTextChar">
    <w:name w:val="Comment Text Char"/>
    <w:basedOn w:val="DefaultParagraphFont"/>
    <w:link w:val="CommentText"/>
    <w:semiHidden/>
    <w:rsid w:val="00CB7671"/>
    <w:rPr>
      <w:lang w:eastAsia="en-US"/>
    </w:rPr>
  </w:style>
  <w:style w:type="character" w:customStyle="1" w:styleId="CommentSubjectChar">
    <w:name w:val="Comment Subject Char"/>
    <w:basedOn w:val="CommentTextChar"/>
    <w:link w:val="CommentSubject"/>
    <w:uiPriority w:val="99"/>
    <w:semiHidden/>
    <w:rsid w:val="00CB76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0DE3-F1FF-4E13-A423-7AD89ACB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7</TotalTime>
  <Pages>3</Pages>
  <Words>671</Words>
  <Characters>3688</Characters>
  <Application>Microsoft Office Word</Application>
  <DocSecurity>0</DocSecurity>
  <PresentationFormat>Microsoft Word 14.0</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BUONO Dario (ESTAT), PhD</dc:creator>
  <cp:lastModifiedBy>BUJNOWSKA Aleksandra (ESTAT)</cp:lastModifiedBy>
  <cp:revision>5</cp:revision>
  <dcterms:created xsi:type="dcterms:W3CDTF">2018-07-10T12:57:00Z</dcterms:created>
  <dcterms:modified xsi:type="dcterms:W3CDTF">2018-07-11T07:55:00Z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