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5D79" w14:textId="6FEC21B6" w:rsidR="0079087E" w:rsidRDefault="007870BB" w:rsidP="0079087E">
      <w:pPr>
        <w:pStyle w:val="Titel"/>
        <w:spacing w:before="0" w:after="0"/>
      </w:pPr>
      <w:r>
        <w:t xml:space="preserve">Disentangling </w:t>
      </w:r>
      <w:r w:rsidR="003575F0">
        <w:t>D</w:t>
      </w:r>
      <w:r>
        <w:t xml:space="preserve">ata </w:t>
      </w:r>
      <w:r w:rsidR="003575F0">
        <w:t>N</w:t>
      </w:r>
      <w:r>
        <w:t>arratives</w:t>
      </w:r>
      <w:r w:rsidR="0079087E">
        <w:t xml:space="preserve">: </w:t>
      </w:r>
    </w:p>
    <w:p w14:paraId="2DC9D37C" w14:textId="4641C5A5" w:rsidR="00000D5A" w:rsidRDefault="003575F0" w:rsidP="0079087E">
      <w:pPr>
        <w:pStyle w:val="Titel"/>
        <w:spacing w:before="0" w:after="0"/>
      </w:pPr>
      <w:r>
        <w:t>T</w:t>
      </w:r>
      <w:r w:rsidR="002F0522">
        <w:t xml:space="preserve">he </w:t>
      </w:r>
      <w:r>
        <w:t>I</w:t>
      </w:r>
      <w:r w:rsidR="0079087E">
        <w:t xml:space="preserve">mpact of </w:t>
      </w:r>
      <w:r>
        <w:t>M</w:t>
      </w:r>
      <w:r w:rsidR="0079087E">
        <w:t xml:space="preserve">igrants on European </w:t>
      </w:r>
      <w:r>
        <w:t>W</w:t>
      </w:r>
      <w:r w:rsidR="0079087E">
        <w:t xml:space="preserve">elfare </w:t>
      </w:r>
      <w:r>
        <w:t>S</w:t>
      </w:r>
      <w:r w:rsidR="0079087E">
        <w:t>ystems</w:t>
      </w:r>
    </w:p>
    <w:p w14:paraId="32C2FE82" w14:textId="64482694" w:rsidR="007A5D41" w:rsidRDefault="00F96CE4" w:rsidP="007A5D41">
      <w:pPr>
        <w:jc w:val="center"/>
        <w:rPr>
          <w:color w:val="FF0000"/>
          <w:sz w:val="20"/>
          <w:u w:val="single"/>
          <w:lang w:val="it-IT"/>
        </w:rPr>
      </w:pPr>
      <w:r w:rsidRPr="00F96CE4">
        <w:rPr>
          <w:sz w:val="20"/>
          <w:lang w:val="it-IT"/>
        </w:rPr>
        <w:t>Caterina Francesca Guidi</w:t>
      </w:r>
      <w:r w:rsidR="003575F0">
        <w:rPr>
          <w:sz w:val="20"/>
          <w:lang w:val="it-IT"/>
        </w:rPr>
        <w:t xml:space="preserve"> and </w:t>
      </w:r>
      <w:r w:rsidRPr="00F96CE4">
        <w:rPr>
          <w:sz w:val="20"/>
          <w:lang w:val="it-IT"/>
        </w:rPr>
        <w:t>Gaby Umbach</w:t>
      </w:r>
      <w:r w:rsidR="00000D5A" w:rsidRPr="00F96CE4">
        <w:rPr>
          <w:sz w:val="20"/>
          <w:u w:val="single"/>
          <w:lang w:val="it-IT"/>
        </w:rPr>
        <w:t xml:space="preserve"> (</w:t>
      </w:r>
      <w:hyperlink r:id="rId8" w:history="1">
        <w:r w:rsidRPr="00F96CE4">
          <w:rPr>
            <w:rStyle w:val="Hyperlink"/>
            <w:sz w:val="20"/>
            <w:lang w:val="it-IT"/>
          </w:rPr>
          <w:t>GlobalStat@eui.eu</w:t>
        </w:r>
      </w:hyperlink>
      <w:r w:rsidRPr="00F96CE4">
        <w:rPr>
          <w:rStyle w:val="Hyperlink"/>
          <w:sz w:val="20"/>
          <w:lang w:val="it-IT"/>
        </w:rPr>
        <w:t>)</w:t>
      </w:r>
    </w:p>
    <w:p w14:paraId="7DAA9F7C" w14:textId="46418572" w:rsidR="00DA3AFF" w:rsidRDefault="00000D5A" w:rsidP="007A5D41">
      <w:pPr>
        <w:spacing w:after="0"/>
        <w:jc w:val="center"/>
      </w:pPr>
      <w:r w:rsidRPr="00243A2C">
        <w:rPr>
          <w:b/>
          <w:u w:val="single"/>
        </w:rPr>
        <w:t>Keywords</w:t>
      </w:r>
      <w:r w:rsidRPr="00243A2C">
        <w:rPr>
          <w:b/>
        </w:rPr>
        <w:t>:</w:t>
      </w:r>
      <w:r>
        <w:t xml:space="preserve"> </w:t>
      </w:r>
      <w:r w:rsidR="00DA3AFF">
        <w:t>health, migration, measur</w:t>
      </w:r>
      <w:r w:rsidR="003575F0">
        <w:t>ement</w:t>
      </w:r>
      <w:r w:rsidR="00DA3AFF">
        <w:t>, evidence-base</w:t>
      </w:r>
      <w:r w:rsidR="00B143D2">
        <w:t>d</w:t>
      </w:r>
      <w:r w:rsidR="00DA3AFF">
        <w:t xml:space="preserve"> </w:t>
      </w:r>
      <w:r w:rsidR="00DA3AFF" w:rsidRPr="00DA3AFF">
        <w:t>policy</w:t>
      </w:r>
      <w:r w:rsidR="003575F0">
        <w:t>-</w:t>
      </w:r>
      <w:r w:rsidR="00DA3AFF" w:rsidRPr="00DA3AFF">
        <w:t>making</w:t>
      </w:r>
      <w:r w:rsidR="00B143D2">
        <w:t>, data</w:t>
      </w:r>
    </w:p>
    <w:p w14:paraId="662D41D8" w14:textId="0F6F59BB" w:rsidR="007A5D41" w:rsidRDefault="00BA170F" w:rsidP="00BA170F">
      <w:pPr>
        <w:pStyle w:val="berschrift1"/>
        <w:numPr>
          <w:ilvl w:val="0"/>
          <w:numId w:val="0"/>
        </w:numPr>
        <w:tabs>
          <w:tab w:val="left" w:pos="3163"/>
        </w:tabs>
        <w:spacing w:before="0" w:after="0"/>
        <w:ind w:hanging="480"/>
      </w:pPr>
      <w:r>
        <w:tab/>
      </w:r>
      <w:r>
        <w:tab/>
      </w:r>
      <w:bookmarkStart w:id="0" w:name="_GoBack"/>
      <w:bookmarkEnd w:id="0"/>
    </w:p>
    <w:p w14:paraId="7143E6C3" w14:textId="77777777" w:rsidR="00DA3AFF" w:rsidRPr="00DA3AFF" w:rsidRDefault="00DA3AFF" w:rsidP="008D1A1A">
      <w:pPr>
        <w:pStyle w:val="berschrift1"/>
        <w:numPr>
          <w:ilvl w:val="0"/>
          <w:numId w:val="0"/>
        </w:numPr>
        <w:spacing w:before="0" w:after="0"/>
        <w:ind w:left="480" w:hanging="480"/>
      </w:pPr>
      <w:r>
        <w:t>Introduction</w:t>
      </w:r>
    </w:p>
    <w:p w14:paraId="54F8CB3D" w14:textId="77777777" w:rsidR="00DA3AFF" w:rsidRDefault="00DA3AFF" w:rsidP="0053083D">
      <w:pPr>
        <w:spacing w:after="0"/>
        <w:ind w:firstLine="284"/>
      </w:pPr>
    </w:p>
    <w:p w14:paraId="58E98EEC" w14:textId="4CAD1FF7" w:rsidR="00AA2E35" w:rsidRDefault="003575F0" w:rsidP="008D1A1A">
      <w:pPr>
        <w:spacing w:after="0"/>
      </w:pPr>
      <w:r>
        <w:t>Today,</w:t>
      </w:r>
      <w:r w:rsidR="007870BB">
        <w:t xml:space="preserve"> </w:t>
      </w:r>
      <w:r w:rsidR="001974A0" w:rsidRPr="00DA3AFF">
        <w:t xml:space="preserve">migration is one of the key issues in the international </w:t>
      </w:r>
      <w:r w:rsidR="007E3BD1">
        <w:t>and</w:t>
      </w:r>
      <w:r w:rsidR="001974A0" w:rsidRPr="00DA3AFF">
        <w:t xml:space="preserve"> Europe</w:t>
      </w:r>
      <w:r w:rsidR="007870BB">
        <w:t xml:space="preserve">an political </w:t>
      </w:r>
      <w:r w:rsidR="007E3BD1">
        <w:t xml:space="preserve">as well as </w:t>
      </w:r>
      <w:r w:rsidR="007870BB">
        <w:t>public debate</w:t>
      </w:r>
      <w:r w:rsidR="00DA3AFF">
        <w:t xml:space="preserve">. </w:t>
      </w:r>
      <w:r w:rsidR="001974A0" w:rsidRPr="00DA3AFF">
        <w:t xml:space="preserve">One of the most compelling challenges </w:t>
      </w:r>
      <w:r w:rsidR="007E3BD1">
        <w:t>concerning the integration of migrants in</w:t>
      </w:r>
      <w:r w:rsidR="00AA2E35">
        <w:t>to</w:t>
      </w:r>
      <w:r w:rsidR="007E3BD1">
        <w:t xml:space="preserve"> receiving societies </w:t>
      </w:r>
      <w:r w:rsidR="001974A0" w:rsidRPr="00DA3AFF">
        <w:t xml:space="preserve">consists in the adaptation of </w:t>
      </w:r>
      <w:r w:rsidR="007E3BD1">
        <w:t xml:space="preserve">national </w:t>
      </w:r>
      <w:r w:rsidR="001974A0" w:rsidRPr="00DA3AFF">
        <w:t>health</w:t>
      </w:r>
      <w:r w:rsidR="00AA2E35">
        <w:t>care</w:t>
      </w:r>
      <w:r w:rsidR="001974A0" w:rsidRPr="00DA3AFF">
        <w:t xml:space="preserve"> systems to migra</w:t>
      </w:r>
      <w:r w:rsidR="007E3BD1">
        <w:t>nts</w:t>
      </w:r>
      <w:r w:rsidR="001974A0" w:rsidRPr="00DA3AFF">
        <w:t xml:space="preserve">’ needs. </w:t>
      </w:r>
    </w:p>
    <w:p w14:paraId="174CF064" w14:textId="08D07834" w:rsidR="00AA2E35" w:rsidRDefault="001974A0" w:rsidP="00AA2E35">
      <w:pPr>
        <w:spacing w:after="0"/>
        <w:ind w:firstLine="284"/>
      </w:pPr>
      <w:r w:rsidRPr="00DA3AFF">
        <w:t xml:space="preserve">European Union (EU) member states (MS) </w:t>
      </w:r>
      <w:r w:rsidR="007E3BD1">
        <w:t xml:space="preserve">differ hugely </w:t>
      </w:r>
      <w:r w:rsidRPr="00DA3AFF">
        <w:t xml:space="preserve">in terms of </w:t>
      </w:r>
      <w:r w:rsidR="006736B5">
        <w:t xml:space="preserve">their </w:t>
      </w:r>
      <w:r w:rsidRPr="00DA3AFF">
        <w:t xml:space="preserve">healthcare provision models, contribution systems, and integration policies adopted towards foreigners. </w:t>
      </w:r>
      <w:r w:rsidR="00AA2E35">
        <w:t>D</w:t>
      </w:r>
      <w:r w:rsidRPr="00DA3AFF">
        <w:t xml:space="preserve">ifferences in access </w:t>
      </w:r>
      <w:r w:rsidR="006736B5">
        <w:t xml:space="preserve">to </w:t>
      </w:r>
      <w:r w:rsidRPr="00DA3AFF">
        <w:t>and use of health</w:t>
      </w:r>
      <w:r w:rsidR="006736B5">
        <w:t xml:space="preserve">care </w:t>
      </w:r>
      <w:r w:rsidRPr="00DA3AFF">
        <w:t xml:space="preserve">systems by migrants </w:t>
      </w:r>
      <w:r w:rsidR="006736B5">
        <w:t xml:space="preserve">from within the EU </w:t>
      </w:r>
      <w:r w:rsidRPr="00DA3AFF">
        <w:t xml:space="preserve">and </w:t>
      </w:r>
      <w:r w:rsidR="006736B5">
        <w:t>those</w:t>
      </w:r>
      <w:r w:rsidR="006736B5" w:rsidRPr="00DA3AFF">
        <w:t xml:space="preserve"> </w:t>
      </w:r>
      <w:r w:rsidRPr="00DA3AFF">
        <w:t>from</w:t>
      </w:r>
      <w:r w:rsidR="006736B5">
        <w:t xml:space="preserve"> outside the EU (i.e. from </w:t>
      </w:r>
      <w:r w:rsidRPr="00DA3AFF">
        <w:t>third countries</w:t>
      </w:r>
      <w:r w:rsidR="006736B5">
        <w:t>)</w:t>
      </w:r>
      <w:r w:rsidRPr="00DA3AFF">
        <w:t xml:space="preserve"> are still considerable and further diversified based on migrants’ legal status. </w:t>
      </w:r>
      <w:r w:rsidR="00772D92">
        <w:t xml:space="preserve">To analyse </w:t>
      </w:r>
      <w:r w:rsidR="00B143D2">
        <w:t>these differences between the</w:t>
      </w:r>
      <w:r w:rsidR="00772D92">
        <w:t xml:space="preserve"> </w:t>
      </w:r>
      <w:r w:rsidRPr="00DA3AFF">
        <w:t>traditional types of healthcare systems</w:t>
      </w:r>
      <w:r w:rsidR="00772D92">
        <w:t xml:space="preserve"> within the EU</w:t>
      </w:r>
      <w:r w:rsidRPr="00DA3AFF">
        <w:t xml:space="preserve">, </w:t>
      </w:r>
      <w:r w:rsidR="006736B5">
        <w:t xml:space="preserve">it is </w:t>
      </w:r>
      <w:r w:rsidR="00772D92">
        <w:t xml:space="preserve">necessary </w:t>
      </w:r>
      <w:r w:rsidRPr="00DA3AFF">
        <w:t xml:space="preserve">to establish and measure </w:t>
      </w:r>
      <w:r w:rsidR="00EB3463">
        <w:t>the</w:t>
      </w:r>
      <w:r w:rsidRPr="00DA3AFF">
        <w:t xml:space="preserve"> systematic relationship between the costs and performance of health</w:t>
      </w:r>
      <w:r w:rsidR="00772D92">
        <w:t>care</w:t>
      </w:r>
      <w:r w:rsidRPr="00DA3AFF">
        <w:t xml:space="preserve"> systems, migratory care demand, and the migrants’ contribution to the </w:t>
      </w:r>
      <w:r w:rsidR="008D1A1A">
        <w:t>MS political and economic systems.</w:t>
      </w:r>
      <w:r w:rsidR="007870BB">
        <w:t xml:space="preserve"> </w:t>
      </w:r>
    </w:p>
    <w:p w14:paraId="05496335" w14:textId="40A012B2" w:rsidR="00EF4612" w:rsidRDefault="00AA2E35" w:rsidP="00AA2E35">
      <w:pPr>
        <w:spacing w:after="0"/>
        <w:ind w:firstLine="284"/>
      </w:pPr>
      <w:r>
        <w:t xml:space="preserve">At the same time, the debates about the pressures on MS’ healthcare systems </w:t>
      </w:r>
      <w:r w:rsidR="00B143D2">
        <w:t xml:space="preserve">are </w:t>
      </w:r>
      <w:r>
        <w:t xml:space="preserve">overshadowed by the conflict between ‘factual’, i.e. measurable, and ‘post factual’, i.e. perceived, realities. While the former might paint a </w:t>
      </w:r>
      <w:r w:rsidR="00EF4612">
        <w:t xml:space="preserve">not too negative picture of the performance of national healthcare systems in reaction to migration, the latter might depict a doomsday scenario that was to end in the collapse of national healthcare systems. </w:t>
      </w:r>
    </w:p>
    <w:p w14:paraId="0FBAFD43" w14:textId="057ECFDC" w:rsidR="007870BB" w:rsidRPr="00DA3AFF" w:rsidRDefault="00B143D2" w:rsidP="00AA2E35">
      <w:pPr>
        <w:spacing w:after="0"/>
        <w:ind w:firstLine="284"/>
      </w:pPr>
      <w:r>
        <w:t>T</w:t>
      </w:r>
      <w:r w:rsidR="00772D92">
        <w:t>o provide evidence-based insights into th</w:t>
      </w:r>
      <w:r w:rsidR="00AA2E35">
        <w:t>e</w:t>
      </w:r>
      <w:r w:rsidR="00772D92">
        <w:t xml:space="preserve"> </w:t>
      </w:r>
      <w:r w:rsidR="00EB3463">
        <w:t>topic</w:t>
      </w:r>
      <w:r w:rsidR="00772D92">
        <w:t xml:space="preserve"> </w:t>
      </w:r>
      <w:r w:rsidR="00EB3463">
        <w:t>for</w:t>
      </w:r>
      <w:r w:rsidR="00772D92">
        <w:t xml:space="preserve"> our case study, the United Kingdom (UK), </w:t>
      </w:r>
      <w:r w:rsidR="007870BB">
        <w:t>we will analys</w:t>
      </w:r>
      <w:r w:rsidR="00772D92">
        <w:t xml:space="preserve">e </w:t>
      </w:r>
      <w:r w:rsidR="007870BB">
        <w:t xml:space="preserve">the role </w:t>
      </w:r>
      <w:r w:rsidR="00772D92">
        <w:t>of diverging</w:t>
      </w:r>
      <w:r w:rsidR="007870BB">
        <w:t xml:space="preserve"> data narratives</w:t>
      </w:r>
      <w:r w:rsidR="00EC6EE3">
        <w:t xml:space="preserve"> and contrast </w:t>
      </w:r>
      <w:r w:rsidR="00772D92">
        <w:t>‘alternative</w:t>
      </w:r>
      <w:r w:rsidR="007870BB">
        <w:t xml:space="preserve"> truth</w:t>
      </w:r>
      <w:r w:rsidR="00772D92">
        <w:t xml:space="preserve"> scenarios’</w:t>
      </w:r>
      <w:r w:rsidR="007870BB">
        <w:t xml:space="preserve"> in </w:t>
      </w:r>
      <w:r w:rsidR="00772D92">
        <w:t>‘</w:t>
      </w:r>
      <w:r w:rsidR="00772D92" w:rsidRPr="008D1A1A">
        <w:rPr>
          <w:i/>
        </w:rPr>
        <w:t>Brexit</w:t>
      </w:r>
      <w:r w:rsidR="00772D92">
        <w:t>-UK’ with the ‘</w:t>
      </w:r>
      <w:r w:rsidR="007870BB">
        <w:t>real</w:t>
      </w:r>
      <w:r w:rsidR="00772D92">
        <w:t>’, i.e. measurable,</w:t>
      </w:r>
      <w:r w:rsidR="007870BB">
        <w:t xml:space="preserve"> impact of migrants on the British health</w:t>
      </w:r>
      <w:r w:rsidR="00772D92">
        <w:t>care</w:t>
      </w:r>
      <w:r w:rsidR="007870BB">
        <w:t xml:space="preserve"> sectors.</w:t>
      </w:r>
      <w:r w:rsidR="00AA2E35">
        <w:t xml:space="preserve"> The key aim of the paper </w:t>
      </w:r>
      <w:r w:rsidR="00EC6EE3">
        <w:t xml:space="preserve">is </w:t>
      </w:r>
      <w:r w:rsidR="00AA2E35">
        <w:t xml:space="preserve">to juxtapose factual and perceived </w:t>
      </w:r>
      <w:r w:rsidR="00EC6EE3">
        <w:t>evidence</w:t>
      </w:r>
      <w:r w:rsidR="00AA2E35">
        <w:t xml:space="preserve"> in the given case and to elaborate on key methodological </w:t>
      </w:r>
      <w:r>
        <w:t xml:space="preserve">strategies </w:t>
      </w:r>
      <w:r w:rsidR="00AA2E35">
        <w:t xml:space="preserve">how best to </w:t>
      </w:r>
      <w:r>
        <w:t>disentangle the two</w:t>
      </w:r>
      <w:r w:rsidR="00EC6EE3">
        <w:t xml:space="preserve"> the two</w:t>
      </w:r>
      <w:r w:rsidR="00AA2E35">
        <w:t>.</w:t>
      </w:r>
    </w:p>
    <w:p w14:paraId="1392AC10" w14:textId="77777777" w:rsidR="00DA3AFF" w:rsidRPr="001974A0" w:rsidRDefault="00DA3AFF" w:rsidP="0053083D">
      <w:pPr>
        <w:pStyle w:val="Text1"/>
        <w:spacing w:after="0"/>
        <w:ind w:left="0" w:firstLine="284"/>
      </w:pPr>
    </w:p>
    <w:p w14:paraId="7CDFA88B" w14:textId="77777777" w:rsidR="00F96CE4" w:rsidRDefault="00F96CE4" w:rsidP="008D1A1A">
      <w:pPr>
        <w:pStyle w:val="berschrift1"/>
        <w:numPr>
          <w:ilvl w:val="0"/>
          <w:numId w:val="0"/>
        </w:numPr>
        <w:spacing w:before="0" w:after="0"/>
        <w:ind w:left="480" w:hanging="480"/>
      </w:pPr>
      <w:r>
        <w:t>Methods</w:t>
      </w:r>
    </w:p>
    <w:p w14:paraId="398E02AD" w14:textId="4C8967D5" w:rsidR="005C3714" w:rsidRDefault="00DA3AFF" w:rsidP="00013E5B">
      <w:pPr>
        <w:spacing w:after="0"/>
      </w:pPr>
      <w:r w:rsidRPr="00654457">
        <w:t xml:space="preserve">The EU MS </w:t>
      </w:r>
      <w:r w:rsidR="00204433">
        <w:t>differ</w:t>
      </w:r>
      <w:r w:rsidRPr="00654457">
        <w:t xml:space="preserve"> in terms of healthcare</w:t>
      </w:r>
      <w:r w:rsidR="00204433">
        <w:t xml:space="preserve"> and welfare</w:t>
      </w:r>
      <w:r w:rsidRPr="00654457">
        <w:t xml:space="preserve"> models, taxation systems</w:t>
      </w:r>
      <w:r>
        <w:t>,</w:t>
      </w:r>
      <w:r w:rsidRPr="00654457">
        <w:t xml:space="preserve"> and the integration of foreign nationals. In this </w:t>
      </w:r>
      <w:r>
        <w:t>paper</w:t>
      </w:r>
      <w:r w:rsidRPr="00654457">
        <w:t xml:space="preserve">, we will </w:t>
      </w:r>
      <w:r w:rsidR="00BE0951">
        <w:t>focus on</w:t>
      </w:r>
      <w:r w:rsidR="004413BB" w:rsidRPr="00654457">
        <w:t xml:space="preserve"> </w:t>
      </w:r>
      <w:r w:rsidRPr="00654457">
        <w:t>healthcare provision</w:t>
      </w:r>
      <w:r w:rsidR="004413BB">
        <w:t>s</w:t>
      </w:r>
      <w:r w:rsidRPr="00654457">
        <w:t xml:space="preserve"> </w:t>
      </w:r>
      <w:r>
        <w:t>for</w:t>
      </w:r>
      <w:r w:rsidRPr="00654457">
        <w:t xml:space="preserve"> the European migrant population</w:t>
      </w:r>
      <w:r w:rsidR="005C3714">
        <w:t xml:space="preserve"> from within and outside the EU</w:t>
      </w:r>
      <w:r w:rsidR="00BE0951">
        <w:t>. Methodologically</w:t>
      </w:r>
      <w:r w:rsidRPr="00654457">
        <w:t xml:space="preserve">, </w:t>
      </w:r>
      <w:r w:rsidR="003749F4">
        <w:t xml:space="preserve">we apply mixed methods, marrying economics and political science approaches. </w:t>
      </w:r>
      <w:r w:rsidR="00B05286">
        <w:t>Initially</w:t>
      </w:r>
      <w:r w:rsidR="003749F4">
        <w:t>, w</w:t>
      </w:r>
      <w:r w:rsidRPr="00654457">
        <w:t xml:space="preserve">e </w:t>
      </w:r>
      <w:r w:rsidR="00BE0951">
        <w:t>rely on</w:t>
      </w:r>
      <w:r w:rsidRPr="00654457">
        <w:t xml:space="preserve"> economic analysis </w:t>
      </w:r>
      <w:r w:rsidR="00BE0951">
        <w:t xml:space="preserve">and on how it </w:t>
      </w:r>
      <w:r w:rsidRPr="00654457">
        <w:t>addresses the complexity of migrant health needs</w:t>
      </w:r>
      <w:r w:rsidR="007870BB">
        <w:t xml:space="preserve">, offering a </w:t>
      </w:r>
      <w:r w:rsidRPr="00654457">
        <w:t>concise review of the main types of healthcare systems in Europe</w:t>
      </w:r>
      <w:r w:rsidR="00013E5B">
        <w:t xml:space="preserve"> and analysing most relevant indicators and statistical data</w:t>
      </w:r>
      <w:r w:rsidR="005C3714">
        <w:t xml:space="preserve"> </w:t>
      </w:r>
      <w:r w:rsidR="003749F4">
        <w:t xml:space="preserve">related </w:t>
      </w:r>
      <w:proofErr w:type="gramStart"/>
      <w:r w:rsidR="003749F4">
        <w:t xml:space="preserve">to </w:t>
      </w:r>
      <w:r w:rsidR="005C3714">
        <w:t>:</w:t>
      </w:r>
      <w:proofErr w:type="gramEnd"/>
    </w:p>
    <w:p w14:paraId="2D415F8B" w14:textId="00E86D01" w:rsidR="005C3714" w:rsidRDefault="005C3714" w:rsidP="00013E5B">
      <w:pPr>
        <w:pStyle w:val="Listenabsatz"/>
        <w:numPr>
          <w:ilvl w:val="0"/>
          <w:numId w:val="24"/>
        </w:numPr>
        <w:spacing w:after="0"/>
      </w:pPr>
      <w:r>
        <w:t xml:space="preserve">welfare systems </w:t>
      </w:r>
      <w:r w:rsidR="004521C9">
        <w:t>(</w:t>
      </w:r>
      <w:proofErr w:type="spellStart"/>
      <w:r w:rsidR="004521C9">
        <w:t>Esping</w:t>
      </w:r>
      <w:proofErr w:type="spellEnd"/>
      <w:r w:rsidR="004521C9">
        <w:t xml:space="preserve">-Andersen, 1990; </w:t>
      </w:r>
      <w:proofErr w:type="spellStart"/>
      <w:r w:rsidR="004521C9">
        <w:t>Ferrera</w:t>
      </w:r>
      <w:proofErr w:type="spellEnd"/>
      <w:r w:rsidR="004521C9">
        <w:t xml:space="preserve">, 1996) </w:t>
      </w:r>
      <w:r>
        <w:t>and type of financial contribution</w:t>
      </w:r>
      <w:r w:rsidR="00013E5B">
        <w:t xml:space="preserve"> adopted by MS</w:t>
      </w:r>
      <w:r w:rsidR="004521C9">
        <w:t xml:space="preserve"> (Thomson et al., 2009)</w:t>
      </w:r>
      <w:r>
        <w:t>;</w:t>
      </w:r>
    </w:p>
    <w:p w14:paraId="0BFD1778" w14:textId="6FAA6ABF" w:rsidR="005C3714" w:rsidRDefault="005C3714" w:rsidP="00013E5B">
      <w:pPr>
        <w:pStyle w:val="Listenabsatz"/>
        <w:numPr>
          <w:ilvl w:val="0"/>
          <w:numId w:val="24"/>
        </w:numPr>
        <w:spacing w:after="0"/>
      </w:pPr>
      <w:r>
        <w:t>t</w:t>
      </w:r>
      <w:r w:rsidRPr="005C3714">
        <w:t>otal and private healthcare expenditure</w:t>
      </w:r>
      <w:r>
        <w:t xml:space="preserve"> (OECD and World bank data) in comparison with the health inequality perceived by the population</w:t>
      </w:r>
      <w:r w:rsidR="00013E5B">
        <w:t xml:space="preserve"> in the MS</w:t>
      </w:r>
      <w:r>
        <w:t xml:space="preserve"> (Eurobarometer data);</w:t>
      </w:r>
    </w:p>
    <w:p w14:paraId="200245A3" w14:textId="3525D208" w:rsidR="005C3714" w:rsidRPr="005C3714" w:rsidRDefault="005C3714" w:rsidP="00013E5B">
      <w:pPr>
        <w:pStyle w:val="Listenabsatz"/>
        <w:numPr>
          <w:ilvl w:val="0"/>
          <w:numId w:val="24"/>
        </w:numPr>
        <w:spacing w:after="0"/>
      </w:pPr>
      <w:r>
        <w:t>integration model adopted</w:t>
      </w:r>
      <w:r w:rsidR="00013E5B">
        <w:t xml:space="preserve"> (</w:t>
      </w:r>
      <w:proofErr w:type="spellStart"/>
      <w:r w:rsidR="00013E5B" w:rsidRPr="004521C9">
        <w:t>Meuleman</w:t>
      </w:r>
      <w:proofErr w:type="spellEnd"/>
      <w:r w:rsidR="00013E5B" w:rsidRPr="004521C9">
        <w:t xml:space="preserve"> e </w:t>
      </w:r>
      <w:proofErr w:type="spellStart"/>
      <w:r w:rsidR="00013E5B" w:rsidRPr="004521C9">
        <w:t>Reeskens</w:t>
      </w:r>
      <w:proofErr w:type="spellEnd"/>
      <w:r w:rsidR="00013E5B" w:rsidRPr="004521C9">
        <w:t>, 2008</w:t>
      </w:r>
      <w:r w:rsidR="00013E5B">
        <w:t>)</w:t>
      </w:r>
      <w:r>
        <w:t xml:space="preserve"> according to the classification provided by the </w:t>
      </w:r>
      <w:r w:rsidRPr="004521C9">
        <w:rPr>
          <w:i/>
        </w:rPr>
        <w:t xml:space="preserve">Migrant </w:t>
      </w:r>
      <w:r>
        <w:rPr>
          <w:i/>
        </w:rPr>
        <w:t xml:space="preserve">Integration </w:t>
      </w:r>
      <w:r w:rsidRPr="004521C9">
        <w:rPr>
          <w:i/>
        </w:rPr>
        <w:t>Policy Index</w:t>
      </w:r>
      <w:r>
        <w:t xml:space="preserve"> (MIPEX) health strand</w:t>
      </w:r>
      <w:r w:rsidR="00013E5B">
        <w:t>.</w:t>
      </w:r>
    </w:p>
    <w:p w14:paraId="46CA5A07" w14:textId="6064154E" w:rsidR="0053083D" w:rsidRDefault="00BE0951" w:rsidP="00B921A5">
      <w:pPr>
        <w:spacing w:after="0"/>
      </w:pPr>
      <w:r>
        <w:lastRenderedPageBreak/>
        <w:t xml:space="preserve">From this analysis, </w:t>
      </w:r>
      <w:r w:rsidR="0053083D">
        <w:t xml:space="preserve">country clusters </w:t>
      </w:r>
      <w:r>
        <w:t xml:space="preserve">will </w:t>
      </w:r>
      <w:r w:rsidR="0053083D">
        <w:t>emerg</w:t>
      </w:r>
      <w:r w:rsidR="003749F4">
        <w:t>e</w:t>
      </w:r>
      <w:r w:rsidR="0053083D">
        <w:t xml:space="preserve"> </w:t>
      </w:r>
      <w:r>
        <w:t xml:space="preserve">that we will further systemise according to </w:t>
      </w:r>
      <w:r w:rsidR="0053083D">
        <w:t xml:space="preserve">the economic and financial peculiarities of </w:t>
      </w:r>
      <w:r>
        <w:t xml:space="preserve">their </w:t>
      </w:r>
      <w:r w:rsidR="0053083D">
        <w:t>health systems</w:t>
      </w:r>
      <w:r>
        <w:t xml:space="preserve">’ adaptation </w:t>
      </w:r>
      <w:r w:rsidR="0053083D">
        <w:t>to the new health</w:t>
      </w:r>
      <w:r>
        <w:t xml:space="preserve">care demand </w:t>
      </w:r>
      <w:r w:rsidR="0053083D">
        <w:t>of migrant citizens</w:t>
      </w:r>
      <w:r>
        <w:t>. While the paper initially follow</w:t>
      </w:r>
      <w:r w:rsidR="003749F4">
        <w:t>s</w:t>
      </w:r>
      <w:r>
        <w:t xml:space="preserve"> a comparative approach</w:t>
      </w:r>
      <w:r w:rsidR="0053083D">
        <w:t xml:space="preserve">, </w:t>
      </w:r>
      <w:r>
        <w:t xml:space="preserve">providing </w:t>
      </w:r>
      <w:r w:rsidR="0053083D">
        <w:t xml:space="preserve">empirical evidence </w:t>
      </w:r>
      <w:r w:rsidR="003749F4">
        <w:t xml:space="preserve">for </w:t>
      </w:r>
      <w:r w:rsidR="0053083D">
        <w:t xml:space="preserve">some </w:t>
      </w:r>
      <w:r>
        <w:t>MS</w:t>
      </w:r>
      <w:r w:rsidR="0053083D">
        <w:t xml:space="preserve">, </w:t>
      </w:r>
      <w:r>
        <w:t xml:space="preserve">it will largely focus on </w:t>
      </w:r>
      <w:r w:rsidR="00D4089B">
        <w:t xml:space="preserve">empirical evidence related to the </w:t>
      </w:r>
      <w:r>
        <w:t>UK</w:t>
      </w:r>
      <w:r w:rsidR="00B05286">
        <w:t xml:space="preserve"> in its case study part</w:t>
      </w:r>
      <w:r w:rsidR="0053083D">
        <w:t>.</w:t>
      </w:r>
    </w:p>
    <w:p w14:paraId="68AA6FED" w14:textId="3AD7F4A6" w:rsidR="004521C9" w:rsidRDefault="00A50FCB" w:rsidP="004521C9">
      <w:pPr>
        <w:spacing w:after="0"/>
        <w:ind w:firstLine="284"/>
      </w:pPr>
      <w:r>
        <w:t xml:space="preserve">As a </w:t>
      </w:r>
      <w:r w:rsidR="00B05286">
        <w:t xml:space="preserve">next </w:t>
      </w:r>
      <w:r>
        <w:t xml:space="preserve">step of analysis, we will contrast the findings from the analysis of statistics with the overall political and public debate on the topic. </w:t>
      </w:r>
      <w:r w:rsidR="00EB04D7">
        <w:t>On a meta</w:t>
      </w:r>
      <w:r w:rsidR="00AF4ACB">
        <w:t>-</w:t>
      </w:r>
      <w:r w:rsidR="00EB04D7">
        <w:t xml:space="preserve">level, </w:t>
      </w:r>
      <w:r>
        <w:t xml:space="preserve">we thus </w:t>
      </w:r>
      <w:r w:rsidR="00EB04D7">
        <w:t xml:space="preserve">discuss the impact of different sources of knowledge </w:t>
      </w:r>
      <w:r w:rsidR="004413BB">
        <w:t xml:space="preserve">and divergent basis for </w:t>
      </w:r>
      <w:r w:rsidR="00EB04D7">
        <w:t xml:space="preserve">decision-making </w:t>
      </w:r>
      <w:r w:rsidR="00AF4ACB">
        <w:t>on the public and political debate about the topic</w:t>
      </w:r>
      <w:r w:rsidR="004413BB">
        <w:t xml:space="preserve"> within the UK</w:t>
      </w:r>
      <w:r w:rsidR="00AF4ACB">
        <w:t xml:space="preserve">. We will analyse in how far the </w:t>
      </w:r>
      <w:r w:rsidR="004413BB">
        <w:t xml:space="preserve">contributions to the debate </w:t>
      </w:r>
      <w:r w:rsidR="00AF4ACB">
        <w:t>are backed by factual evidence, i.e. statistics and other forms of verifiable evidence, and what role emotions and values play</w:t>
      </w:r>
      <w:r w:rsidR="004413BB">
        <w:t>ed</w:t>
      </w:r>
      <w:r w:rsidR="00AF4ACB">
        <w:t xml:space="preserve"> in the formation of preferences and in decision-making</w:t>
      </w:r>
      <w:r w:rsidR="004413BB">
        <w:t xml:space="preserve"> on our topic</w:t>
      </w:r>
      <w:r w:rsidR="00AF4ACB">
        <w:t>.</w:t>
      </w:r>
      <w:r w:rsidR="004413BB">
        <w:t xml:space="preserve"> </w:t>
      </w:r>
      <w:proofErr w:type="gramStart"/>
      <w:r w:rsidR="005C3714">
        <w:t>In particular</w:t>
      </w:r>
      <w:r w:rsidR="004521C9">
        <w:t xml:space="preserve">, </w:t>
      </w:r>
      <w:r w:rsidR="00B05286">
        <w:t>we</w:t>
      </w:r>
      <w:proofErr w:type="gramEnd"/>
      <w:r w:rsidR="00B05286">
        <w:t xml:space="preserve"> will </w:t>
      </w:r>
      <w:r w:rsidR="004521C9">
        <w:t>compar</w:t>
      </w:r>
      <w:r w:rsidR="00B05286">
        <w:t>e</w:t>
      </w:r>
      <w:r w:rsidR="005C3714">
        <w:t>:</w:t>
      </w:r>
    </w:p>
    <w:p w14:paraId="7D8CC5D9" w14:textId="09D1572E" w:rsidR="004521C9" w:rsidRDefault="004521C9" w:rsidP="00013E5B">
      <w:pPr>
        <w:pStyle w:val="Listenabsatz"/>
        <w:numPr>
          <w:ilvl w:val="0"/>
          <w:numId w:val="25"/>
        </w:numPr>
        <w:spacing w:after="0"/>
      </w:pPr>
      <w:r>
        <w:t xml:space="preserve">public perception (IPSOS Mori data) and reality (fertility, mortality, </w:t>
      </w:r>
      <w:r w:rsidRPr="004521C9">
        <w:t>specialist, outpatient and hospital medicin</w:t>
      </w:r>
      <w:r>
        <w:t>e UK Office for National Statistics) of the impact of migrants on British health systems</w:t>
      </w:r>
      <w:r w:rsidR="00B05286">
        <w:t>;</w:t>
      </w:r>
    </w:p>
    <w:p w14:paraId="7691ADBA" w14:textId="12BE893D" w:rsidR="00B05286" w:rsidRDefault="00B05286" w:rsidP="00013E5B">
      <w:pPr>
        <w:pStyle w:val="Listenabsatz"/>
        <w:numPr>
          <w:ilvl w:val="0"/>
          <w:numId w:val="25"/>
        </w:numPr>
        <w:spacing w:after="0"/>
      </w:pPr>
      <w:r>
        <w:t xml:space="preserve">the publicised discourse on the </w:t>
      </w:r>
      <w:r w:rsidR="002B1BB3">
        <w:t xml:space="preserve">topic in newspapers and magazines </w:t>
      </w:r>
      <w:proofErr w:type="gramStart"/>
      <w:r w:rsidR="002B1BB3">
        <w:t>in order to</w:t>
      </w:r>
      <w:proofErr w:type="gramEnd"/>
      <w:r w:rsidR="002B1BB3">
        <w:t xml:space="preserve"> identify variation of the data narrative.</w:t>
      </w:r>
    </w:p>
    <w:p w14:paraId="52AC84EA" w14:textId="3F0A2F24" w:rsidR="00EB04D7" w:rsidRDefault="004413BB" w:rsidP="007B22E2">
      <w:pPr>
        <w:spacing w:after="0"/>
      </w:pPr>
      <w:r>
        <w:t>We will finally contextualise the findings and locate them within the overall British political debate of the period in question to establish a systematic relation between the various narratives at play.</w:t>
      </w:r>
    </w:p>
    <w:p w14:paraId="5BEC95FC" w14:textId="77777777" w:rsidR="007870BB" w:rsidRDefault="007870BB" w:rsidP="0053083D">
      <w:pPr>
        <w:spacing w:after="0"/>
        <w:ind w:firstLine="284"/>
      </w:pPr>
    </w:p>
    <w:p w14:paraId="1E42BD6A" w14:textId="77777777" w:rsidR="00F96CE4" w:rsidRDefault="00F96CE4" w:rsidP="008D1A1A">
      <w:pPr>
        <w:pStyle w:val="berschrift1"/>
        <w:numPr>
          <w:ilvl w:val="0"/>
          <w:numId w:val="0"/>
        </w:numPr>
        <w:spacing w:before="0" w:after="0"/>
        <w:ind w:left="480" w:hanging="480"/>
      </w:pPr>
      <w:r>
        <w:t>Conclusions</w:t>
      </w:r>
    </w:p>
    <w:p w14:paraId="01694F52" w14:textId="77777777" w:rsidR="007870BB" w:rsidRPr="007870BB" w:rsidRDefault="007870BB" w:rsidP="0053083D">
      <w:pPr>
        <w:pStyle w:val="Text1"/>
        <w:spacing w:after="0"/>
        <w:ind w:firstLine="284"/>
      </w:pPr>
    </w:p>
    <w:p w14:paraId="4014BF07" w14:textId="4A52FAF6" w:rsidR="00DA3AFF" w:rsidRDefault="002F0522" w:rsidP="008D1A1A">
      <w:pPr>
        <w:pStyle w:val="Text1"/>
        <w:spacing w:after="0"/>
        <w:ind w:left="0"/>
      </w:pPr>
      <w:r>
        <w:t xml:space="preserve">In this </w:t>
      </w:r>
      <w:r w:rsidR="008970EC">
        <w:t xml:space="preserve">paper </w:t>
      </w:r>
      <w:r>
        <w:t xml:space="preserve">we </w:t>
      </w:r>
      <w:r w:rsidR="00A50FCB">
        <w:t xml:space="preserve">will </w:t>
      </w:r>
      <w:r>
        <w:t xml:space="preserve">have </w:t>
      </w:r>
      <w:r w:rsidR="006A156F">
        <w:t>analysed</w:t>
      </w:r>
      <w:r>
        <w:t xml:space="preserve"> the provision models of healthcare to migrant population, according to European healthcare systems</w:t>
      </w:r>
      <w:r w:rsidR="00A50FCB">
        <w:t xml:space="preserve"> and </w:t>
      </w:r>
      <w:r w:rsidR="00451628">
        <w:t xml:space="preserve">will </w:t>
      </w:r>
      <w:r w:rsidR="00A50FCB">
        <w:t>have contrasted the</w:t>
      </w:r>
      <w:r w:rsidR="00451628">
        <w:t>m</w:t>
      </w:r>
      <w:r w:rsidR="00A50FCB">
        <w:t xml:space="preserve"> with the debate about </w:t>
      </w:r>
      <w:r w:rsidR="00451628">
        <w:t xml:space="preserve">the topic </w:t>
      </w:r>
      <w:r w:rsidR="00A50FCB">
        <w:t>in the case of the UK</w:t>
      </w:r>
      <w:r>
        <w:t xml:space="preserve">. Migration, by creating more pressure on consolidated services or requiring new ones, affects the demand and supply of health goods. We first </w:t>
      </w:r>
      <w:r w:rsidR="00A50FCB">
        <w:t xml:space="preserve">will have </w:t>
      </w:r>
      <w:r>
        <w:t>tried to consider the terms on which economic analysis addresses the complexity of migrant health needs, and then considered the adapti</w:t>
      </w:r>
      <w:r w:rsidR="00A50FCB">
        <w:t>on</w:t>
      </w:r>
      <w:r>
        <w:t xml:space="preserve"> of health inequalities to the phenomenon of immigration. </w:t>
      </w:r>
      <w:r w:rsidR="00A50FCB">
        <w:t>In an antecedent step</w:t>
      </w:r>
      <w:r>
        <w:t xml:space="preserve">, we </w:t>
      </w:r>
      <w:r w:rsidR="00A50FCB">
        <w:t xml:space="preserve">will have </w:t>
      </w:r>
      <w:r>
        <w:t>reviewed the main types of healthcare and welfare</w:t>
      </w:r>
      <w:r w:rsidR="00A50FCB">
        <w:t xml:space="preserve"> systems on Europe to establish a systematic reference frame for the case study. In a final step, we will </w:t>
      </w:r>
      <w:r w:rsidR="00451628">
        <w:t xml:space="preserve">have </w:t>
      </w:r>
      <w:r w:rsidR="00A50FCB">
        <w:t>contrast</w:t>
      </w:r>
      <w:r w:rsidR="00451628">
        <w:t>ed</w:t>
      </w:r>
      <w:r w:rsidR="00A50FCB">
        <w:t xml:space="preserve"> the results with the </w:t>
      </w:r>
      <w:r w:rsidR="00451628">
        <w:t>public(</w:t>
      </w:r>
      <w:proofErr w:type="spellStart"/>
      <w:r w:rsidR="00451628">
        <w:t>ised</w:t>
      </w:r>
      <w:proofErr w:type="spellEnd"/>
      <w:r w:rsidR="00451628">
        <w:t xml:space="preserve">) </w:t>
      </w:r>
      <w:r w:rsidR="00A50FCB">
        <w:t>debate about the impact of migration of the systems to separate factual evidence from ‘post factual’ one.</w:t>
      </w:r>
    </w:p>
    <w:p w14:paraId="43C75129" w14:textId="55148882" w:rsidR="006A156F" w:rsidRPr="006A156F" w:rsidRDefault="006A156F" w:rsidP="0053083D">
      <w:pPr>
        <w:pStyle w:val="Text1"/>
        <w:spacing w:after="0"/>
        <w:ind w:left="0" w:firstLine="284"/>
        <w:rPr>
          <w:b/>
        </w:rPr>
      </w:pPr>
      <w:r>
        <w:t xml:space="preserve">As </w:t>
      </w:r>
      <w:r w:rsidR="00A50FCB">
        <w:t xml:space="preserve">will have been </w:t>
      </w:r>
      <w:r>
        <w:t>shown by the in-depth analys</w:t>
      </w:r>
      <w:r w:rsidR="00A50FCB">
        <w:t xml:space="preserve">is of the </w:t>
      </w:r>
      <w:r>
        <w:t xml:space="preserve">British case, the public perception of the phenomenon </w:t>
      </w:r>
      <w:r w:rsidR="00A50FCB">
        <w:t xml:space="preserve">will </w:t>
      </w:r>
      <w:r w:rsidR="00451628">
        <w:t xml:space="preserve">potentially </w:t>
      </w:r>
      <w:r w:rsidR="00A50FCB">
        <w:t xml:space="preserve">have </w:t>
      </w:r>
      <w:r>
        <w:t xml:space="preserve">played a greater role than the empirical evidence in estimating the real impact of migrants on their health sectors (Alfano </w:t>
      </w:r>
      <w:r w:rsidRPr="004521C9">
        <w:rPr>
          <w:i/>
        </w:rPr>
        <w:t>et al.</w:t>
      </w:r>
      <w:r>
        <w:t>, 2016;</w:t>
      </w:r>
      <w:r w:rsidRPr="006A156F">
        <w:t xml:space="preserve"> </w:t>
      </w:r>
      <w:proofErr w:type="spellStart"/>
      <w:r>
        <w:t>Dustmann</w:t>
      </w:r>
      <w:proofErr w:type="spellEnd"/>
      <w:r>
        <w:t xml:space="preserve"> and </w:t>
      </w:r>
      <w:proofErr w:type="spellStart"/>
      <w:r>
        <w:t>Frattini</w:t>
      </w:r>
      <w:proofErr w:type="spellEnd"/>
      <w:r>
        <w:t>, 2014).</w:t>
      </w:r>
    </w:p>
    <w:p w14:paraId="11C0E972" w14:textId="6C727B7E" w:rsidR="00DA3AFF" w:rsidRDefault="006A156F" w:rsidP="0053083D">
      <w:pPr>
        <w:spacing w:after="0"/>
        <w:ind w:firstLine="284"/>
      </w:pPr>
      <w:r>
        <w:t>T</w:t>
      </w:r>
      <w:r w:rsidRPr="00654457">
        <w:t>he impact of migration on the welfare of industriali</w:t>
      </w:r>
      <w:r w:rsidR="00A50FCB">
        <w:t>s</w:t>
      </w:r>
      <w:r w:rsidRPr="00654457">
        <w:t xml:space="preserve">ed countries </w:t>
      </w:r>
      <w:r w:rsidR="0079345D">
        <w:t xml:space="preserve">will turn out to be </w:t>
      </w:r>
      <w:r w:rsidRPr="00654457">
        <w:t>broad and heterogeneous</w:t>
      </w:r>
      <w:r>
        <w:t>, especially</w:t>
      </w:r>
      <w:r w:rsidRPr="00654457">
        <w:t xml:space="preserve"> with regards to consolidate</w:t>
      </w:r>
      <w:r>
        <w:t>d</w:t>
      </w:r>
      <w:r w:rsidRPr="00654457">
        <w:t xml:space="preserve"> public economics and requires more in-depth and innovative theoretical reflections.</w:t>
      </w:r>
      <w:r>
        <w:t xml:space="preserve"> </w:t>
      </w:r>
      <w:r w:rsidR="002F0522">
        <w:t xml:space="preserve">There </w:t>
      </w:r>
      <w:r w:rsidR="0079345D">
        <w:t xml:space="preserve">will </w:t>
      </w:r>
      <w:r w:rsidR="002F0522">
        <w:t xml:space="preserve">also </w:t>
      </w:r>
      <w:r w:rsidR="0079345D">
        <w:t xml:space="preserve">be </w:t>
      </w:r>
      <w:r w:rsidR="002F0522">
        <w:t xml:space="preserve">empirical evidence that encourages the </w:t>
      </w:r>
      <w:r w:rsidR="0079345D">
        <w:t>con</w:t>
      </w:r>
      <w:r w:rsidR="002F0522">
        <w:t xml:space="preserve">firmation that </w:t>
      </w:r>
      <w:r w:rsidR="0079345D">
        <w:t>adaptation processes both in politics and measurement will be unavoidable</w:t>
      </w:r>
      <w:r w:rsidR="002F0522">
        <w:t>: measuring the impact of migration on healthcare systems is an emerging issue for developed as well as developing countries and contributes to the evaluation of the overall wealth of countries in providing services to their citizens.</w:t>
      </w:r>
      <w:r w:rsidR="00DA3AFF">
        <w:t xml:space="preserve"> </w:t>
      </w:r>
      <w:r w:rsidR="00DA3AFF" w:rsidRPr="00654457">
        <w:t>Migration is a complex human phenomenon that imposes an arduous challenge to all social sciences</w:t>
      </w:r>
      <w:r w:rsidR="00DA3AFF">
        <w:t>,</w:t>
      </w:r>
      <w:r w:rsidR="00DA3AFF" w:rsidRPr="00654457">
        <w:t xml:space="preserve"> and public economics will certainly not </w:t>
      </w:r>
      <w:r w:rsidR="00940AFD">
        <w:t>succeed</w:t>
      </w:r>
      <w:r w:rsidR="00DA3AFF" w:rsidRPr="00654457">
        <w:t xml:space="preserve"> without an inevitable methodological revision</w:t>
      </w:r>
      <w:r w:rsidR="00DA3AFF">
        <w:t xml:space="preserve"> (Guidi and </w:t>
      </w:r>
      <w:proofErr w:type="spellStart"/>
      <w:r w:rsidR="00DA3AFF">
        <w:t>Petretto</w:t>
      </w:r>
      <w:proofErr w:type="spellEnd"/>
      <w:r w:rsidR="00DA3AFF">
        <w:t>, 2018)</w:t>
      </w:r>
      <w:r w:rsidR="00DA3AFF" w:rsidRPr="00654457">
        <w:t>.</w:t>
      </w:r>
    </w:p>
    <w:p w14:paraId="4AB4EFE6" w14:textId="7EF87F97" w:rsidR="002F0522" w:rsidRDefault="008D1A1A" w:rsidP="0053083D">
      <w:pPr>
        <w:pStyle w:val="Text1"/>
        <w:spacing w:after="0"/>
        <w:ind w:left="0" w:firstLine="284"/>
      </w:pPr>
      <w:r>
        <w:t>In terms of its impact, m</w:t>
      </w:r>
      <w:r w:rsidRPr="00654457">
        <w:t xml:space="preserve">igration may </w:t>
      </w:r>
      <w:r w:rsidR="00451628">
        <w:t xml:space="preserve">be found to </w:t>
      </w:r>
      <w:r w:rsidRPr="00654457">
        <w:t>create more pressure on consolidated services or requir</w:t>
      </w:r>
      <w:r>
        <w:t>e</w:t>
      </w:r>
      <w:r w:rsidRPr="00654457">
        <w:t xml:space="preserve"> new ones and </w:t>
      </w:r>
      <w:r w:rsidR="00451628">
        <w:t>to</w:t>
      </w:r>
      <w:r w:rsidR="00451628" w:rsidRPr="00654457">
        <w:t xml:space="preserve"> </w:t>
      </w:r>
      <w:r w:rsidRPr="00654457">
        <w:t xml:space="preserve">affect the demand and supply of health goods and care. </w:t>
      </w:r>
      <w:r w:rsidR="002F0522">
        <w:t>In other words, the sustainability of health systems, within the broader welfare systems, will increasingly target</w:t>
      </w:r>
      <w:r w:rsidR="00240225">
        <w:t xml:space="preserve"> and rely on</w:t>
      </w:r>
      <w:r w:rsidR="002F0522">
        <w:t xml:space="preserve"> the measures to contrast social inequalities rather than help the migratory phenomena as such: and it will concern the whole populati</w:t>
      </w:r>
      <w:r w:rsidR="00CC0986">
        <w:t>on, migrants as well as natives</w:t>
      </w:r>
      <w:r w:rsidR="00CC0986" w:rsidRPr="00CC0986">
        <w:t xml:space="preserve"> </w:t>
      </w:r>
      <w:r w:rsidR="00CC0986">
        <w:t xml:space="preserve">(Guidi and </w:t>
      </w:r>
      <w:proofErr w:type="spellStart"/>
      <w:r w:rsidR="00CC0986">
        <w:t>Petretto</w:t>
      </w:r>
      <w:proofErr w:type="spellEnd"/>
      <w:r w:rsidR="00CC0986">
        <w:t>, 2018)</w:t>
      </w:r>
      <w:r w:rsidR="00CC0986" w:rsidRPr="00654457">
        <w:t>.</w:t>
      </w:r>
      <w:r w:rsidR="00451628">
        <w:t xml:space="preserve"> To</w:t>
      </w:r>
      <w:r w:rsidR="006C7795">
        <w:t xml:space="preserve"> develop strategies to</w:t>
      </w:r>
      <w:r w:rsidR="00451628">
        <w:t xml:space="preserve"> neutralise the post-factual and emotional </w:t>
      </w:r>
      <w:r w:rsidR="007369C2">
        <w:t>perception of reality</w:t>
      </w:r>
      <w:r w:rsidR="009729A7">
        <w:t xml:space="preserve"> by championing </w:t>
      </w:r>
      <w:r w:rsidR="00451628">
        <w:t>the factual and measurable truth, will remain the key task of responsible governments and accountable governance structures.</w:t>
      </w:r>
    </w:p>
    <w:p w14:paraId="1A6438ED" w14:textId="77777777" w:rsidR="002F0522" w:rsidRPr="002F0522" w:rsidRDefault="002F0522" w:rsidP="002F0522">
      <w:pPr>
        <w:pStyle w:val="Text1"/>
        <w:spacing w:after="0"/>
        <w:ind w:left="0" w:firstLine="284"/>
      </w:pPr>
    </w:p>
    <w:p w14:paraId="597DB121" w14:textId="77777777" w:rsidR="00BC6AFE" w:rsidRDefault="00BC6AFE" w:rsidP="009B4EE0">
      <w:pPr>
        <w:pStyle w:val="berschrift1"/>
        <w:numPr>
          <w:ilvl w:val="0"/>
          <w:numId w:val="0"/>
        </w:numPr>
        <w:ind w:left="480" w:hanging="480"/>
      </w:pPr>
      <w:r>
        <w:t>References</w:t>
      </w:r>
    </w:p>
    <w:p w14:paraId="550166B1" w14:textId="77777777" w:rsidR="004521C9" w:rsidRDefault="004521C9" w:rsidP="004521C9">
      <w:pPr>
        <w:pStyle w:val="Text1"/>
        <w:numPr>
          <w:ilvl w:val="0"/>
          <w:numId w:val="20"/>
        </w:numPr>
        <w:ind w:left="357" w:hanging="357"/>
      </w:pPr>
      <w:r w:rsidRPr="004521C9">
        <w:t xml:space="preserve">G. </w:t>
      </w:r>
      <w:proofErr w:type="spellStart"/>
      <w:r w:rsidRPr="004521C9">
        <w:t>Esping</w:t>
      </w:r>
      <w:proofErr w:type="spellEnd"/>
      <w:r w:rsidRPr="004521C9">
        <w:t>-Andersen, 1990</w:t>
      </w:r>
      <w:r w:rsidRPr="004521C9">
        <w:rPr>
          <w:i/>
        </w:rPr>
        <w:t>. The three worlds of welfare capitalism</w:t>
      </w:r>
      <w:r w:rsidRPr="004521C9">
        <w:t>, Princeton University, Press Princeton, New Jersey.</w:t>
      </w:r>
    </w:p>
    <w:p w14:paraId="65ADEC9C" w14:textId="77777777" w:rsidR="004521C9" w:rsidRDefault="004521C9" w:rsidP="004521C9">
      <w:pPr>
        <w:pStyle w:val="Text1"/>
        <w:numPr>
          <w:ilvl w:val="0"/>
          <w:numId w:val="20"/>
        </w:numPr>
        <w:ind w:left="357" w:hanging="357"/>
      </w:pPr>
      <w:r>
        <w:t xml:space="preserve">M. </w:t>
      </w:r>
      <w:proofErr w:type="spellStart"/>
      <w:r>
        <w:t>Ferrera</w:t>
      </w:r>
      <w:proofErr w:type="spellEnd"/>
      <w:r>
        <w:t xml:space="preserve">, 1996. The 'Southern model' of welfare in social Europe, </w:t>
      </w:r>
      <w:r w:rsidRPr="004521C9">
        <w:rPr>
          <w:i/>
        </w:rPr>
        <w:t>Journal of European social</w:t>
      </w:r>
      <w:r>
        <w:t>, policy, 6: 17-37.</w:t>
      </w:r>
    </w:p>
    <w:p w14:paraId="3DEC6071" w14:textId="77777777" w:rsidR="004521C9" w:rsidRDefault="004521C9" w:rsidP="004521C9">
      <w:pPr>
        <w:pStyle w:val="Text1"/>
        <w:numPr>
          <w:ilvl w:val="0"/>
          <w:numId w:val="20"/>
        </w:numPr>
        <w:ind w:left="357" w:hanging="357"/>
      </w:pPr>
      <w:r>
        <w:t xml:space="preserve">B. </w:t>
      </w:r>
      <w:proofErr w:type="spellStart"/>
      <w:r>
        <w:t>Meuleman</w:t>
      </w:r>
      <w:proofErr w:type="spellEnd"/>
      <w:r>
        <w:t xml:space="preserve">, T. </w:t>
      </w:r>
      <w:proofErr w:type="spellStart"/>
      <w:r>
        <w:t>Reeskens</w:t>
      </w:r>
      <w:proofErr w:type="spellEnd"/>
      <w:r>
        <w:t xml:space="preserve">, 2008. The relation between integration policy and majority attitudes toward immigration. An empirical test across European countries, paper presented at the Dag van de </w:t>
      </w:r>
      <w:proofErr w:type="spellStart"/>
      <w:r>
        <w:t>Sociologie</w:t>
      </w:r>
      <w:proofErr w:type="spellEnd"/>
      <w:r>
        <w:t>, Leuven.</w:t>
      </w:r>
    </w:p>
    <w:p w14:paraId="1F0943FB" w14:textId="77777777" w:rsidR="004521C9" w:rsidRDefault="004521C9" w:rsidP="004521C9">
      <w:pPr>
        <w:pStyle w:val="Text1"/>
        <w:numPr>
          <w:ilvl w:val="0"/>
          <w:numId w:val="20"/>
        </w:numPr>
        <w:ind w:left="357" w:hanging="357"/>
      </w:pPr>
      <w:r w:rsidRPr="00B921A5">
        <w:rPr>
          <w:lang w:val="de-DE"/>
        </w:rPr>
        <w:t xml:space="preserve">M. Alfano, C. </w:t>
      </w:r>
      <w:proofErr w:type="spellStart"/>
      <w:r w:rsidRPr="00B921A5">
        <w:rPr>
          <w:lang w:val="de-DE"/>
        </w:rPr>
        <w:t>Dustmann</w:t>
      </w:r>
      <w:proofErr w:type="spellEnd"/>
      <w:r w:rsidRPr="00B921A5">
        <w:rPr>
          <w:lang w:val="de-DE"/>
        </w:rPr>
        <w:t xml:space="preserve">, F. </w:t>
      </w:r>
      <w:proofErr w:type="spellStart"/>
      <w:r w:rsidRPr="00B921A5">
        <w:rPr>
          <w:lang w:val="de-DE"/>
        </w:rPr>
        <w:t>Fasani</w:t>
      </w:r>
      <w:proofErr w:type="spellEnd"/>
      <w:r w:rsidRPr="00B921A5">
        <w:rPr>
          <w:lang w:val="de-DE"/>
        </w:rPr>
        <w:t xml:space="preserve"> F., 2016. </w:t>
      </w:r>
      <w:r>
        <w:t xml:space="preserve">Immigration and the UK: Reflections After Brexit, CREAM, </w:t>
      </w:r>
      <w:r w:rsidRPr="004521C9">
        <w:rPr>
          <w:i/>
        </w:rPr>
        <w:t>Discussion Paper Series CPD 23/16</w:t>
      </w:r>
      <w:r>
        <w:t xml:space="preserve">, </w:t>
      </w:r>
      <w:proofErr w:type="spellStart"/>
      <w:r>
        <w:t>Londra</w:t>
      </w:r>
      <w:proofErr w:type="spellEnd"/>
      <w:r>
        <w:t>.</w:t>
      </w:r>
    </w:p>
    <w:p w14:paraId="0A496B99" w14:textId="05D23E8D" w:rsidR="004521C9" w:rsidRPr="004521C9" w:rsidRDefault="007B22E2" w:rsidP="004521C9">
      <w:pPr>
        <w:pStyle w:val="Text1"/>
        <w:numPr>
          <w:ilvl w:val="0"/>
          <w:numId w:val="20"/>
        </w:numPr>
        <w:ind w:left="357" w:hanging="357"/>
      </w:pPr>
      <w:r>
        <w:t>C.F. Guidi</w:t>
      </w:r>
      <w:r w:rsidR="004521C9" w:rsidRPr="004521C9">
        <w:t xml:space="preserve">, </w:t>
      </w:r>
      <w:r>
        <w:t xml:space="preserve">A. </w:t>
      </w:r>
      <w:proofErr w:type="spellStart"/>
      <w:r>
        <w:t>Petretto</w:t>
      </w:r>
      <w:proofErr w:type="spellEnd"/>
      <w:r w:rsidR="004521C9" w:rsidRPr="004521C9">
        <w:t xml:space="preserve">, (forthcoming 2018), “Health care and migration. What data can tell us of the hard-to-measure impact of migrant on the European health systems?”, Chapter 6 (incl.) </w:t>
      </w:r>
      <w:r w:rsidR="004521C9" w:rsidRPr="007B22E2">
        <w:rPr>
          <w:i/>
        </w:rPr>
        <w:t>Measuring Development in Turbulent Times</w:t>
      </w:r>
      <w:r w:rsidR="004521C9" w:rsidRPr="004521C9">
        <w:t>, edite</w:t>
      </w:r>
      <w:r w:rsidR="004521C9">
        <w:t>d</w:t>
      </w:r>
      <w:r w:rsidR="004521C9" w:rsidRPr="004521C9">
        <w:t xml:space="preserve"> by </w:t>
      </w:r>
      <w:proofErr w:type="spellStart"/>
      <w:r w:rsidR="004521C9" w:rsidRPr="004521C9">
        <w:t>Dobrescu</w:t>
      </w:r>
      <w:proofErr w:type="spellEnd"/>
      <w:r w:rsidR="004521C9" w:rsidRPr="004521C9">
        <w:t xml:space="preserve"> P., Springer International Publishing, Switzerland.</w:t>
      </w:r>
    </w:p>
    <w:sectPr w:rsidR="004521C9" w:rsidRPr="004521C9" w:rsidSect="00B921A5">
      <w:headerReference w:type="default" r:id="rId9"/>
      <w:footerReference w:type="default" r:id="rId10"/>
      <w:headerReference w:type="first" r:id="rId11"/>
      <w:footerReference w:type="first" r:id="rId12"/>
      <w:pgSz w:w="11906" w:h="16838" w:code="9"/>
      <w:pgMar w:top="1021" w:right="1701" w:bottom="1276"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5C40" w14:textId="77777777" w:rsidR="007707A7" w:rsidRDefault="007707A7" w:rsidP="00BC6AFE">
      <w:pPr>
        <w:spacing w:after="0"/>
      </w:pPr>
      <w:r>
        <w:separator/>
      </w:r>
    </w:p>
  </w:endnote>
  <w:endnote w:type="continuationSeparator" w:id="0">
    <w:p w14:paraId="07722795" w14:textId="77777777" w:rsidR="007707A7" w:rsidRDefault="007707A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FC6A" w14:textId="77777777" w:rsidR="003749F4" w:rsidRDefault="003749F4" w:rsidP="003749F4">
    <w:pPr>
      <w:pStyle w:val="Fuzeile"/>
      <w:tabs>
        <w:tab w:val="left" w:pos="4420"/>
        <w:tab w:val="center" w:pos="4592"/>
      </w:tabs>
    </w:pPr>
    <w:r>
      <w:tab/>
    </w:r>
  </w:p>
  <w:p w14:paraId="35855C4E" w14:textId="12721D6B" w:rsidR="00D24082" w:rsidRDefault="003749F4" w:rsidP="00B921A5">
    <w:pPr>
      <w:pStyle w:val="Fuzeile"/>
      <w:tabs>
        <w:tab w:val="left" w:pos="4420"/>
        <w:tab w:val="center" w:pos="4592"/>
      </w:tabs>
    </w:pPr>
    <w:r>
      <w:tab/>
    </w:r>
    <w:r w:rsidR="00D24082">
      <w:fldChar w:fldCharType="begin"/>
    </w:r>
    <w:r w:rsidR="00D24082">
      <w:instrText>PAGE</w:instrText>
    </w:r>
    <w:r w:rsidR="00D24082">
      <w:fldChar w:fldCharType="separate"/>
    </w:r>
    <w:r w:rsidR="00013E5B">
      <w:rPr>
        <w:noProof/>
      </w:rPr>
      <w:t>2</w:t>
    </w:r>
    <w:r w:rsidR="00D240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3EA1" w14:textId="77777777" w:rsidR="00D24082" w:rsidRDefault="00D24082">
    <w:pPr>
      <w:pStyle w:val="Fuzeile"/>
      <w:rPr>
        <w:sz w:val="24"/>
        <w:szCs w:val="24"/>
      </w:rPr>
    </w:pPr>
  </w:p>
  <w:p w14:paraId="392B686D" w14:textId="77777777"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151F171" w14:textId="77777777" w:rsidR="00D24082" w:rsidRDefault="00D24082">
    <w:pPr>
      <w:pStyle w:val="Fuzeile"/>
    </w:pPr>
  </w:p>
  <w:p w14:paraId="4FA85FB4" w14:textId="77777777" w:rsidR="00D24082" w:rsidRDefault="00D24082">
    <w:pPr>
      <w:pStyle w:val="Fuzeile"/>
    </w:pPr>
    <w:r>
      <w:t>http://epp.eurostat.ec.europa.eu</w:t>
    </w:r>
  </w:p>
  <w:p w14:paraId="096C6C90" w14:textId="77777777" w:rsidR="00D24082" w:rsidRDefault="00D24082">
    <w:pPr>
      <w:pStyle w:val="Fuzeil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E27B" w14:textId="77777777" w:rsidR="007707A7" w:rsidRDefault="007707A7" w:rsidP="00BC6AFE">
      <w:pPr>
        <w:spacing w:after="0"/>
      </w:pPr>
      <w:r>
        <w:separator/>
      </w:r>
    </w:p>
  </w:footnote>
  <w:footnote w:type="continuationSeparator" w:id="0">
    <w:p w14:paraId="34A4E7FC" w14:textId="77777777" w:rsidR="007707A7" w:rsidRDefault="007707A7"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1209" w14:textId="18D9CA4A" w:rsidR="003F54C2" w:rsidRPr="003F54C2" w:rsidRDefault="003F54C2" w:rsidP="003F54C2">
    <w:pPr>
      <w:pStyle w:val="Kopfzeile"/>
      <w:pBdr>
        <w:bottom w:val="single" w:sz="4" w:space="1" w:color="auto"/>
      </w:pBdr>
      <w:jc w:val="center"/>
      <w:rPr>
        <w:i/>
        <w:sz w:val="20"/>
      </w:rPr>
    </w:pPr>
    <w:r w:rsidRPr="003F54C2">
      <w:rPr>
        <w:i/>
        <w:sz w:val="20"/>
      </w:rPr>
      <w:t xml:space="preserve">Paper proposal for </w:t>
    </w:r>
    <w:r w:rsidRPr="003F54C2">
      <w:rPr>
        <w:i/>
        <w:sz w:val="20"/>
      </w:rPr>
      <w:t>Block C: Society</w:t>
    </w:r>
    <w:r>
      <w:rPr>
        <w:i/>
        <w:sz w:val="20"/>
      </w:rPr>
      <w:br/>
    </w:r>
    <w:r w:rsidRPr="003F54C2">
      <w:rPr>
        <w:i/>
        <w:sz w:val="20"/>
      </w:rPr>
      <w:t>Evidence based policy – consequences for statistics, science and society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507A" w14:textId="77777777" w:rsidR="00D24082" w:rsidRDefault="00D24082">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15:restartNumberingAfterBreak="0">
    <w:nsid w:val="1DD93D13"/>
    <w:multiLevelType w:val="hybridMultilevel"/>
    <w:tmpl w:val="CA98A0DA"/>
    <w:lvl w:ilvl="0" w:tplc="900C898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5C289C"/>
    <w:multiLevelType w:val="hybridMultilevel"/>
    <w:tmpl w:val="5CE8AA1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10" w15:restartNumberingAfterBreak="0">
    <w:nsid w:val="2DE2627E"/>
    <w:multiLevelType w:val="hybridMultilevel"/>
    <w:tmpl w:val="6F5C99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A034EAA"/>
    <w:multiLevelType w:val="hybridMultilevel"/>
    <w:tmpl w:val="3DD8094C"/>
    <w:lvl w:ilvl="0" w:tplc="900C898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C21029D"/>
    <w:multiLevelType w:val="hybridMultilevel"/>
    <w:tmpl w:val="4800864E"/>
    <w:lvl w:ilvl="0" w:tplc="900C898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1"/>
  </w:num>
  <w:num w:numId="6">
    <w:abstractNumId w:val="9"/>
  </w:num>
  <w:num w:numId="7">
    <w:abstractNumId w:val="5"/>
  </w:num>
  <w:num w:numId="8">
    <w:abstractNumId w:val="4"/>
  </w:num>
  <w:num w:numId="9">
    <w:abstractNumId w:val="18"/>
  </w:num>
  <w:num w:numId="10">
    <w:abstractNumId w:val="20"/>
  </w:num>
  <w:num w:numId="11">
    <w:abstractNumId w:val="19"/>
  </w:num>
  <w:num w:numId="12">
    <w:abstractNumId w:val="23"/>
  </w:num>
  <w:num w:numId="13">
    <w:abstractNumId w:val="8"/>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3"/>
  </w:num>
  <w:num w:numId="21">
    <w:abstractNumId w:val="6"/>
  </w:num>
  <w:num w:numId="22">
    <w:abstractNumId w:val="21"/>
  </w:num>
  <w:num w:numId="23">
    <w:abstractNumId w:val="22"/>
  </w:num>
  <w:num w:numId="24">
    <w:abstractNumId w:val="10"/>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D67AD3"/>
    <w:rsid w:val="00000D5A"/>
    <w:rsid w:val="00013E5B"/>
    <w:rsid w:val="00047A34"/>
    <w:rsid w:val="000642A1"/>
    <w:rsid w:val="000B2B0D"/>
    <w:rsid w:val="00127067"/>
    <w:rsid w:val="00174A4E"/>
    <w:rsid w:val="001974A0"/>
    <w:rsid w:val="001B50CE"/>
    <w:rsid w:val="001D55FE"/>
    <w:rsid w:val="002012A8"/>
    <w:rsid w:val="00204433"/>
    <w:rsid w:val="00240225"/>
    <w:rsid w:val="00243A2C"/>
    <w:rsid w:val="002859E9"/>
    <w:rsid w:val="002B1BB3"/>
    <w:rsid w:val="002C590D"/>
    <w:rsid w:val="002F0522"/>
    <w:rsid w:val="00332D6F"/>
    <w:rsid w:val="003575F0"/>
    <w:rsid w:val="003749F4"/>
    <w:rsid w:val="003836CA"/>
    <w:rsid w:val="003F48E9"/>
    <w:rsid w:val="003F54C2"/>
    <w:rsid w:val="004413BB"/>
    <w:rsid w:val="00451628"/>
    <w:rsid w:val="004521C9"/>
    <w:rsid w:val="0053083D"/>
    <w:rsid w:val="00573E28"/>
    <w:rsid w:val="005B4EA5"/>
    <w:rsid w:val="005C3714"/>
    <w:rsid w:val="006736B5"/>
    <w:rsid w:val="006875D6"/>
    <w:rsid w:val="006A156F"/>
    <w:rsid w:val="006C76AB"/>
    <w:rsid w:val="006C7795"/>
    <w:rsid w:val="007369C2"/>
    <w:rsid w:val="007479A6"/>
    <w:rsid w:val="007707A7"/>
    <w:rsid w:val="00772D92"/>
    <w:rsid w:val="007870BB"/>
    <w:rsid w:val="0079087E"/>
    <w:rsid w:val="0079345D"/>
    <w:rsid w:val="007A5D41"/>
    <w:rsid w:val="007B22E2"/>
    <w:rsid w:val="007E3BD1"/>
    <w:rsid w:val="00881273"/>
    <w:rsid w:val="008847C3"/>
    <w:rsid w:val="008970EC"/>
    <w:rsid w:val="008A75D0"/>
    <w:rsid w:val="008D1A1A"/>
    <w:rsid w:val="009232B8"/>
    <w:rsid w:val="00923850"/>
    <w:rsid w:val="00940AFD"/>
    <w:rsid w:val="009729A7"/>
    <w:rsid w:val="009A41E5"/>
    <w:rsid w:val="009B4EE0"/>
    <w:rsid w:val="00A17E8C"/>
    <w:rsid w:val="00A20F41"/>
    <w:rsid w:val="00A50FCB"/>
    <w:rsid w:val="00AA2E35"/>
    <w:rsid w:val="00AF4ACB"/>
    <w:rsid w:val="00B05286"/>
    <w:rsid w:val="00B143D2"/>
    <w:rsid w:val="00B35F6C"/>
    <w:rsid w:val="00B921A5"/>
    <w:rsid w:val="00B9492F"/>
    <w:rsid w:val="00BA170F"/>
    <w:rsid w:val="00BC6AFE"/>
    <w:rsid w:val="00BE0951"/>
    <w:rsid w:val="00C16E3E"/>
    <w:rsid w:val="00CC0986"/>
    <w:rsid w:val="00D24082"/>
    <w:rsid w:val="00D4089B"/>
    <w:rsid w:val="00D52EA1"/>
    <w:rsid w:val="00D67AD3"/>
    <w:rsid w:val="00DA3AFF"/>
    <w:rsid w:val="00DB601E"/>
    <w:rsid w:val="00EB04D7"/>
    <w:rsid w:val="00EB3463"/>
    <w:rsid w:val="00EC6EE3"/>
    <w:rsid w:val="00EF4612"/>
    <w:rsid w:val="00F073FE"/>
    <w:rsid w:val="00F9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325D4"/>
  <w15:docId w15:val="{91CF4AEF-3169-4E73-B043-E8D5C761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2EA1"/>
    <w:pPr>
      <w:spacing w:after="240"/>
      <w:jc w:val="both"/>
    </w:pPr>
    <w:rPr>
      <w:sz w:val="24"/>
      <w:lang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link w:val="FunotentextZchn"/>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link w:val="TitelZchn"/>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B2B0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B0D"/>
    <w:rPr>
      <w:rFonts w:ascii="Tahoma" w:hAnsi="Tahoma" w:cs="Tahoma"/>
      <w:sz w:val="16"/>
      <w:szCs w:val="16"/>
      <w:lang w:eastAsia="en-US"/>
    </w:rPr>
  </w:style>
  <w:style w:type="character" w:customStyle="1" w:styleId="FunotentextZchn">
    <w:name w:val="Fußnotentext Zchn"/>
    <w:basedOn w:val="Absatz-Standardschriftart"/>
    <w:link w:val="Funotentext"/>
    <w:semiHidden/>
    <w:rsid w:val="00000D5A"/>
    <w:rPr>
      <w:lang w:eastAsia="en-US"/>
    </w:rPr>
  </w:style>
  <w:style w:type="character" w:customStyle="1" w:styleId="TitelZchn">
    <w:name w:val="Titel Zchn"/>
    <w:basedOn w:val="Absatz-Standardschriftart"/>
    <w:link w:val="Titel"/>
    <w:rsid w:val="00000D5A"/>
    <w:rPr>
      <w:rFonts w:ascii="Arial" w:hAnsi="Arial"/>
      <w:b/>
      <w:kern w:val="28"/>
      <w:sz w:val="32"/>
      <w:lang w:eastAsia="en-US"/>
    </w:rPr>
  </w:style>
  <w:style w:type="character" w:styleId="Funotenzeichen">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character" w:styleId="Kommentarzeichen">
    <w:name w:val="annotation reference"/>
    <w:basedOn w:val="Absatz-Standardschriftart"/>
    <w:uiPriority w:val="99"/>
    <w:semiHidden/>
    <w:unhideWhenUsed/>
    <w:rsid w:val="00772D92"/>
    <w:rPr>
      <w:sz w:val="16"/>
      <w:szCs w:val="16"/>
    </w:rPr>
  </w:style>
  <w:style w:type="paragraph" w:styleId="Kommentarthema">
    <w:name w:val="annotation subject"/>
    <w:basedOn w:val="Kommentartext"/>
    <w:next w:val="Kommentartext"/>
    <w:link w:val="KommentarthemaZchn"/>
    <w:uiPriority w:val="99"/>
    <w:semiHidden/>
    <w:unhideWhenUsed/>
    <w:rsid w:val="00772D92"/>
    <w:rPr>
      <w:b/>
      <w:bCs/>
    </w:rPr>
  </w:style>
  <w:style w:type="character" w:customStyle="1" w:styleId="KommentartextZchn">
    <w:name w:val="Kommentartext Zchn"/>
    <w:basedOn w:val="Absatz-Standardschriftart"/>
    <w:link w:val="Kommentartext"/>
    <w:semiHidden/>
    <w:rsid w:val="00772D92"/>
    <w:rPr>
      <w:lang w:eastAsia="en-US"/>
    </w:rPr>
  </w:style>
  <w:style w:type="character" w:customStyle="1" w:styleId="KommentarthemaZchn">
    <w:name w:val="Kommentarthema Zchn"/>
    <w:basedOn w:val="KommentartextZchn"/>
    <w:link w:val="Kommentarthema"/>
    <w:uiPriority w:val="99"/>
    <w:semiHidden/>
    <w:rsid w:val="00772D92"/>
    <w:rPr>
      <w:b/>
      <w:bCs/>
      <w:lang w:eastAsia="en-US"/>
    </w:rPr>
  </w:style>
  <w:style w:type="paragraph" w:styleId="Listenabsatz">
    <w:name w:val="List Paragraph"/>
    <w:basedOn w:val="Standard"/>
    <w:uiPriority w:val="34"/>
    <w:qFormat/>
    <w:rsid w:val="005C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em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0A24-FE6E-4413-A99F-4C129DA4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7340</Characters>
  <Application>Microsoft Office Word</Application>
  <DocSecurity>0</DocSecurity>
  <PresentationFormat>Microsoft Word 14.0</PresentationFormat>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author</cp:lastModifiedBy>
  <cp:revision>7</cp:revision>
  <dcterms:created xsi:type="dcterms:W3CDTF">2018-06-14T18:01:00Z</dcterms:created>
  <dcterms:modified xsi:type="dcterms:W3CDTF">2018-06-14T18:15:00Z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