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5A" w:rsidRPr="00E95B66" w:rsidRDefault="00E95B66" w:rsidP="00000D5A">
      <w:pPr>
        <w:pStyle w:val="Title"/>
      </w:pPr>
      <w:r w:rsidRPr="00E95B66">
        <w:t xml:space="preserve">Mind the </w:t>
      </w:r>
      <w:r w:rsidR="007C1873">
        <w:t>g</w:t>
      </w:r>
      <w:r w:rsidRPr="00E95B66">
        <w:t xml:space="preserve">ap - </w:t>
      </w:r>
      <w:r w:rsidR="007C1873">
        <w:rPr>
          <w:iCs/>
        </w:rPr>
        <w:t>What do users expect and what do we offer in regional and urban s</w:t>
      </w:r>
      <w:r w:rsidRPr="00E95B66">
        <w:rPr>
          <w:iCs/>
        </w:rPr>
        <w:t>tatistics</w:t>
      </w:r>
    </w:p>
    <w:p w:rsidR="00000D5A" w:rsidRPr="00E21DDD" w:rsidRDefault="00E21DDD" w:rsidP="00000D5A">
      <w:pPr>
        <w:jc w:val="center"/>
        <w:rPr>
          <w:sz w:val="20"/>
          <w:lang w:val="sv-SE"/>
        </w:rPr>
      </w:pPr>
      <w:r w:rsidRPr="00E95B66">
        <w:rPr>
          <w:sz w:val="20"/>
          <w:lang w:val="sv-SE"/>
        </w:rPr>
        <w:t>Teodora Brandmülle</w:t>
      </w:r>
      <w:r w:rsidRPr="00E21DDD">
        <w:rPr>
          <w:sz w:val="20"/>
          <w:lang w:val="sv-SE"/>
        </w:rPr>
        <w:t>r</w:t>
      </w:r>
      <w:r w:rsidR="00000D5A" w:rsidRPr="00E21DDD">
        <w:rPr>
          <w:sz w:val="20"/>
          <w:lang w:val="sv-SE"/>
        </w:rPr>
        <w:t xml:space="preserve"> (</w:t>
      </w:r>
      <w:r w:rsidRPr="00E21DDD">
        <w:rPr>
          <w:sz w:val="20"/>
          <w:lang w:val="sv-SE"/>
        </w:rPr>
        <w:t>Teodora</w:t>
      </w:r>
      <w:proofErr w:type="gramStart"/>
      <w:r w:rsidRPr="00E21DDD">
        <w:rPr>
          <w:sz w:val="20"/>
          <w:lang w:val="sv-SE"/>
        </w:rPr>
        <w:t>.BRANDMUELLER</w:t>
      </w:r>
      <w:proofErr w:type="gramEnd"/>
      <w:r w:rsidRPr="00E21DDD">
        <w:rPr>
          <w:sz w:val="20"/>
          <w:lang w:val="sv-SE"/>
        </w:rPr>
        <w:t>@ec.europa.eu</w:t>
      </w:r>
      <w:r w:rsidR="00000D5A" w:rsidRPr="00E21DDD">
        <w:rPr>
          <w:sz w:val="20"/>
          <w:lang w:val="sv-SE"/>
        </w:rPr>
        <w:t>)</w:t>
      </w:r>
      <w:bookmarkStart w:id="0" w:name="_Ref516693016"/>
      <w:r w:rsidR="00000D5A" w:rsidRPr="00E21DDD">
        <w:rPr>
          <w:vertAlign w:val="superscript"/>
          <w:lang w:val="sv-SE"/>
        </w:rPr>
        <w:footnoteReference w:id="1"/>
      </w:r>
      <w:bookmarkEnd w:id="0"/>
      <w:r w:rsidR="00000D5A" w:rsidRPr="00E21DDD">
        <w:rPr>
          <w:sz w:val="20"/>
          <w:lang w:val="sv-SE"/>
        </w:rPr>
        <w:t xml:space="preserve">, </w:t>
      </w:r>
      <w:r w:rsidRPr="00E21DDD">
        <w:rPr>
          <w:sz w:val="20"/>
          <w:lang w:val="sv-SE"/>
        </w:rPr>
        <w:t>Oliver Müller</w:t>
      </w:r>
      <w:r>
        <w:rPr>
          <w:sz w:val="20"/>
          <w:lang w:val="sv-SE"/>
        </w:rPr>
        <w:t xml:space="preserve"> (</w:t>
      </w:r>
      <w:r w:rsidRPr="00E21DDD">
        <w:rPr>
          <w:sz w:val="20"/>
          <w:lang w:val="sv-SE"/>
        </w:rPr>
        <w:t>Oliver.MUELLER@ec.europa.eu</w:t>
      </w:r>
      <w:r>
        <w:rPr>
          <w:sz w:val="20"/>
          <w:lang w:val="sv-SE"/>
        </w:rPr>
        <w:t>)</w:t>
      </w:r>
      <w:r w:rsidRPr="00E21DDD">
        <w:rPr>
          <w:sz w:val="20"/>
          <w:vertAlign w:val="superscript"/>
          <w:lang w:val="sv-SE"/>
        </w:rPr>
        <w:fldChar w:fldCharType="begin"/>
      </w:r>
      <w:r w:rsidRPr="00E21DDD">
        <w:rPr>
          <w:sz w:val="20"/>
          <w:vertAlign w:val="superscript"/>
          <w:lang w:val="sv-SE"/>
        </w:rPr>
        <w:instrText xml:space="preserve"> NOTEREF _Ref516693016 \h  \* MERGEFORMAT </w:instrText>
      </w:r>
      <w:r w:rsidRPr="00E21DDD">
        <w:rPr>
          <w:sz w:val="20"/>
          <w:vertAlign w:val="superscript"/>
          <w:lang w:val="sv-SE"/>
        </w:rPr>
      </w:r>
      <w:r w:rsidRPr="00E21DDD">
        <w:rPr>
          <w:sz w:val="20"/>
          <w:vertAlign w:val="superscript"/>
          <w:lang w:val="sv-SE"/>
        </w:rPr>
        <w:fldChar w:fldCharType="separate"/>
      </w:r>
      <w:r w:rsidRPr="00E21DDD">
        <w:rPr>
          <w:sz w:val="20"/>
          <w:vertAlign w:val="superscript"/>
          <w:lang w:val="sv-SE"/>
        </w:rPr>
        <w:t>1</w:t>
      </w:r>
      <w:r w:rsidRPr="00E21DDD">
        <w:rPr>
          <w:sz w:val="20"/>
          <w:vertAlign w:val="superscript"/>
          <w:lang w:val="sv-SE"/>
        </w:rPr>
        <w:fldChar w:fldCharType="end"/>
      </w:r>
    </w:p>
    <w:p w:rsidR="00000D5A" w:rsidRDefault="00000D5A" w:rsidP="00000D5A">
      <w:r w:rsidRPr="00E21DDD">
        <w:rPr>
          <w:b/>
          <w:u w:val="single"/>
        </w:rPr>
        <w:t>Keywords</w:t>
      </w:r>
      <w:r w:rsidRPr="00E21DDD">
        <w:rPr>
          <w:b/>
        </w:rPr>
        <w:t>:</w:t>
      </w:r>
      <w:r w:rsidRPr="00E21DDD">
        <w:t xml:space="preserve"> </w:t>
      </w:r>
      <w:r w:rsidR="00E21DDD" w:rsidRPr="00E21DDD">
        <w:t>regions</w:t>
      </w:r>
      <w:r w:rsidRPr="00E21DDD">
        <w:t xml:space="preserve">, </w:t>
      </w:r>
      <w:r w:rsidR="00E21DDD" w:rsidRPr="00E21DDD">
        <w:t>cities</w:t>
      </w:r>
      <w:r w:rsidRPr="00E21DDD">
        <w:t xml:space="preserve">, </w:t>
      </w:r>
      <w:r w:rsidR="00E21DDD" w:rsidRPr="00E21DDD">
        <w:t>personas</w:t>
      </w:r>
      <w:r w:rsidR="008214E5">
        <w:t>, user engagement</w:t>
      </w:r>
      <w:r w:rsidRPr="00E21DDD">
        <w:t xml:space="preserve"> </w:t>
      </w:r>
    </w:p>
    <w:p w:rsidR="002012A8" w:rsidRDefault="002012A8" w:rsidP="002012A8">
      <w:pPr>
        <w:pStyle w:val="Heading1"/>
      </w:pPr>
      <w:r>
        <w:t>Introduction</w:t>
      </w:r>
    </w:p>
    <w:p w:rsidR="001B50CE" w:rsidRPr="00BC6AFE" w:rsidRDefault="004A2E74" w:rsidP="00BC6AFE">
      <w:r>
        <w:t>Eurostat</w:t>
      </w:r>
      <w:r w:rsidR="0025339B">
        <w:t>'s mission is to provide high-quality statistics for Europe. Subnational data can increase the understanding of the diversity that exists within Member States and across the European Union. Eurostat offers a wide range of regional, city and typology based statistics</w:t>
      </w:r>
      <w:r w:rsidR="00EE2781">
        <w:t xml:space="preserve"> to show the complex picture what is happening at a more detailed geographical level within Europe</w:t>
      </w:r>
      <w:r w:rsidR="0025339B">
        <w:t xml:space="preserve">. </w:t>
      </w:r>
      <w:r w:rsidR="00FC0645">
        <w:t xml:space="preserve">One of the principles of the European Statistics Code of Practice is Relevance: European statistics meet the need of users. [1] </w:t>
      </w:r>
      <w:r w:rsidR="00EE2781">
        <w:t xml:space="preserve">This paper evaluates to which extent </w:t>
      </w:r>
      <w:r w:rsidR="00FC0645">
        <w:t xml:space="preserve">the Eurostat offer in the domain of subnational statistics meets the </w:t>
      </w:r>
      <w:r w:rsidR="00EE2781">
        <w:t>user needs</w:t>
      </w:r>
      <w:r w:rsidR="008214E5">
        <w:t xml:space="preserve"> and how it could be improved.</w:t>
      </w:r>
    </w:p>
    <w:p w:rsidR="00BC6AFE" w:rsidRDefault="00BC6AFE" w:rsidP="00BC6AFE">
      <w:pPr>
        <w:pStyle w:val="Heading1"/>
      </w:pPr>
      <w:r>
        <w:t>Methods</w:t>
      </w:r>
    </w:p>
    <w:p w:rsidR="002D479F" w:rsidRDefault="00795A26" w:rsidP="008214E5">
      <w:pPr>
        <w:spacing w:after="0"/>
      </w:pPr>
      <w:r>
        <w:t xml:space="preserve">As a part of the ESS.VIP.DIGICOM "User profiling of European statistics users" project </w:t>
      </w:r>
      <w:r w:rsidR="008214E5">
        <w:t xml:space="preserve">[2] </w:t>
      </w:r>
      <w:r>
        <w:t>five personas have been identified</w:t>
      </w:r>
      <w:r w:rsidR="00627565">
        <w:t xml:space="preserve"> as a representative of Eurostat</w:t>
      </w:r>
      <w:r w:rsidR="00726433">
        <w:t>'s</w:t>
      </w:r>
      <w:r w:rsidR="00627565">
        <w:t xml:space="preserve"> larger user base</w:t>
      </w:r>
      <w:r>
        <w:t>. Personas are ficti</w:t>
      </w:r>
      <w:r w:rsidR="002D479F">
        <w:t>ti</w:t>
      </w:r>
      <w:r>
        <w:t xml:space="preserve">ous but realistic representations of archetypes of users. </w:t>
      </w:r>
      <w:r w:rsidR="00627565">
        <w:t>From these five personas t</w:t>
      </w:r>
      <w:r w:rsidR="00EC3DD6">
        <w:t>wo</w:t>
      </w:r>
      <w:r w:rsidR="00627565">
        <w:t xml:space="preserve"> have been selected </w:t>
      </w:r>
      <w:r w:rsidR="004E6CA2">
        <w:t xml:space="preserve">and adapted </w:t>
      </w:r>
      <w:r w:rsidR="00627565">
        <w:t>to assess regional and urban statistics</w:t>
      </w:r>
      <w:r w:rsidR="002D479F">
        <w:t>:</w:t>
      </w:r>
    </w:p>
    <w:p w:rsidR="002D479F" w:rsidRDefault="002D479F" w:rsidP="008214E5">
      <w:pPr>
        <w:pStyle w:val="ListParagraph"/>
        <w:numPr>
          <w:ilvl w:val="0"/>
          <w:numId w:val="22"/>
        </w:numPr>
        <w:spacing w:after="0"/>
      </w:pPr>
      <w:r>
        <w:t>Analytical advanced user</w:t>
      </w:r>
    </w:p>
    <w:p w:rsidR="002D479F" w:rsidRDefault="00EC3DD6" w:rsidP="007C1873">
      <w:pPr>
        <w:pStyle w:val="ListParagraph"/>
        <w:numPr>
          <w:ilvl w:val="0"/>
          <w:numId w:val="22"/>
        </w:numPr>
      </w:pPr>
      <w:r>
        <w:t>Visually</w:t>
      </w:r>
      <w:r w:rsidR="002D479F">
        <w:t xml:space="preserve"> oriented intermediate user</w:t>
      </w:r>
    </w:p>
    <w:p w:rsidR="00BC6AFE" w:rsidRDefault="00627565" w:rsidP="008214E5">
      <w:pPr>
        <w:spacing w:after="0"/>
      </w:pPr>
      <w:r>
        <w:t>The assessment focuses on the following questions:</w:t>
      </w:r>
    </w:p>
    <w:p w:rsidR="00627565" w:rsidRDefault="00627565" w:rsidP="002D479F">
      <w:pPr>
        <w:pStyle w:val="ListParagraph"/>
        <w:numPr>
          <w:ilvl w:val="0"/>
          <w:numId w:val="21"/>
        </w:numPr>
      </w:pPr>
      <w:r>
        <w:t xml:space="preserve">What do users </w:t>
      </w:r>
      <w:r w:rsidR="00F4300D">
        <w:t>need</w:t>
      </w:r>
      <w:r>
        <w:t>?</w:t>
      </w:r>
      <w:r w:rsidR="00F4300D">
        <w:t xml:space="preserve"> </w:t>
      </w:r>
    </w:p>
    <w:p w:rsidR="00627565" w:rsidRDefault="00627565" w:rsidP="002D479F">
      <w:pPr>
        <w:pStyle w:val="ListParagraph"/>
        <w:numPr>
          <w:ilvl w:val="0"/>
          <w:numId w:val="21"/>
        </w:numPr>
      </w:pPr>
      <w:r>
        <w:t>What does Eurostat offer?</w:t>
      </w:r>
    </w:p>
    <w:p w:rsidR="00627565" w:rsidRDefault="00627565" w:rsidP="002D479F">
      <w:pPr>
        <w:pStyle w:val="ListParagraph"/>
        <w:numPr>
          <w:ilvl w:val="0"/>
          <w:numId w:val="21"/>
        </w:numPr>
      </w:pPr>
      <w:r>
        <w:t xml:space="preserve">To what extent </w:t>
      </w:r>
      <w:r w:rsidR="002D479F">
        <w:t>do we fulfil expectations?</w:t>
      </w:r>
      <w:r>
        <w:t xml:space="preserve"> </w:t>
      </w:r>
    </w:p>
    <w:p w:rsidR="00627565" w:rsidRDefault="00627565" w:rsidP="002D479F">
      <w:pPr>
        <w:pStyle w:val="ListParagraph"/>
        <w:numPr>
          <w:ilvl w:val="0"/>
          <w:numId w:val="21"/>
        </w:numPr>
      </w:pPr>
      <w:r>
        <w:t xml:space="preserve">How could </w:t>
      </w:r>
      <w:r w:rsidR="002D479F">
        <w:t>we improve further?</w:t>
      </w:r>
    </w:p>
    <w:p w:rsidR="007C1873" w:rsidRDefault="007C1873" w:rsidP="007C1873">
      <w:r>
        <w:t xml:space="preserve">The first question has been answered partially following the findings of the user profiling. To complement those findings and in order to answer the other questions both </w:t>
      </w:r>
      <w:r w:rsidRPr="00485B04">
        <w:t>quantitative and qualitative research methods have been used. We have analysed in-depth the website monitoring reports of Eurostat. In the course of 2017/2018 we conducted a series of consultations (written consultations with different groups, workshop with stakeholders) and also conducted two series of structured interviews with key stakeholders. The analysis of the documentations related to these consultations and interviews have also contributed to the assessment.</w:t>
      </w:r>
      <w:r>
        <w:t xml:space="preserve"> </w:t>
      </w:r>
    </w:p>
    <w:p w:rsidR="007C1873" w:rsidRDefault="007C1873" w:rsidP="007C1873">
      <w:r>
        <w:t>Although, in the consultations/interviews we have learned about unmet data needs that would require "ground-breaking work", for example providing statistical indicators on the quality of urban governance at city level, we focused on areas of: dissemination, communication and deriving new outputs/products from existing data.</w:t>
      </w:r>
    </w:p>
    <w:p w:rsidR="004A6127" w:rsidRDefault="004A6127" w:rsidP="004A6127">
      <w:pPr>
        <w:pStyle w:val="Heading1"/>
      </w:pPr>
      <w:r>
        <w:lastRenderedPageBreak/>
        <w:t>Results</w:t>
      </w:r>
    </w:p>
    <w:p w:rsidR="008A362E" w:rsidRPr="008A362E" w:rsidRDefault="008A362E" w:rsidP="006A53F6">
      <w:pPr>
        <w:pStyle w:val="Text1"/>
        <w:ind w:left="0"/>
      </w:pPr>
      <w:r>
        <w:t xml:space="preserve">The </w:t>
      </w:r>
      <w:r w:rsidR="006A53F6">
        <w:t xml:space="preserve">summary of </w:t>
      </w:r>
      <w:r>
        <w:t xml:space="preserve">results </w:t>
      </w:r>
      <w:r w:rsidR="00726433">
        <w:t xml:space="preserve">is </w:t>
      </w:r>
      <w:r w:rsidR="006A53F6">
        <w:t>presented in the tables below.</w:t>
      </w:r>
    </w:p>
    <w:p w:rsidR="004A6127" w:rsidRPr="00485B04" w:rsidRDefault="004A6127" w:rsidP="004A6127">
      <w:pPr>
        <w:pStyle w:val="Caption"/>
      </w:pPr>
      <w:proofErr w:type="gramStart"/>
      <w:r w:rsidRPr="00485B04">
        <w:t xml:space="preserve">Table </w:t>
      </w:r>
      <w:r w:rsidR="00A674D5">
        <w:fldChar w:fldCharType="begin"/>
      </w:r>
      <w:r w:rsidR="00A674D5">
        <w:instrText xml:space="preserve"> SEQ Table \* ARABIC </w:instrText>
      </w:r>
      <w:r w:rsidR="00A674D5">
        <w:fldChar w:fldCharType="separate"/>
      </w:r>
      <w:r w:rsidRPr="00485B04">
        <w:rPr>
          <w:noProof/>
        </w:rPr>
        <w:t>1</w:t>
      </w:r>
      <w:r w:rsidR="00A674D5">
        <w:rPr>
          <w:noProof/>
        </w:rPr>
        <w:fldChar w:fldCharType="end"/>
      </w:r>
      <w:r w:rsidRPr="00485B04">
        <w:t>.</w:t>
      </w:r>
      <w:proofErr w:type="gramEnd"/>
      <w:r w:rsidRPr="00485B04">
        <w:t xml:space="preserve"> Analytical </w:t>
      </w:r>
      <w:r w:rsidR="00EC3DD6" w:rsidRPr="00485B04">
        <w:t>A</w:t>
      </w:r>
      <w:r w:rsidRPr="00485B04">
        <w:t xml:space="preserve">dvanced </w:t>
      </w:r>
      <w:r w:rsidR="00EC3DD6" w:rsidRPr="00485B04">
        <w:t>U</w:t>
      </w:r>
      <w:r w:rsidRPr="00485B04">
        <w:t>ser</w:t>
      </w:r>
    </w:p>
    <w:tbl>
      <w:tblPr>
        <w:tblStyle w:val="TableGrid"/>
        <w:tblW w:w="8755" w:type="dxa"/>
        <w:tblLook w:val="04A0" w:firstRow="1" w:lastRow="0" w:firstColumn="1" w:lastColumn="0" w:noHBand="0" w:noVBand="1"/>
      </w:tblPr>
      <w:tblGrid>
        <w:gridCol w:w="2518"/>
        <w:gridCol w:w="6237"/>
      </w:tblGrid>
      <w:tr w:rsidR="004E6CA2" w:rsidTr="008214E5">
        <w:tc>
          <w:tcPr>
            <w:tcW w:w="2518" w:type="dxa"/>
          </w:tcPr>
          <w:p w:rsidR="004E6CA2" w:rsidRDefault="004E6CA2" w:rsidP="008214E5">
            <w:pPr>
              <w:spacing w:after="0"/>
            </w:pPr>
            <w:r>
              <w:t>Persona</w:t>
            </w:r>
          </w:p>
        </w:tc>
        <w:tc>
          <w:tcPr>
            <w:tcW w:w="6237" w:type="dxa"/>
          </w:tcPr>
          <w:p w:rsidR="004E6CA2" w:rsidRDefault="004E6CA2" w:rsidP="00974B12">
            <w:pPr>
              <w:spacing w:after="0"/>
            </w:pPr>
            <w:r>
              <w:t>Hugo</w:t>
            </w:r>
          </w:p>
          <w:p w:rsidR="004E6CA2" w:rsidRDefault="004E6CA2" w:rsidP="00974B12">
            <w:pPr>
              <w:spacing w:after="0"/>
            </w:pPr>
            <w:r w:rsidRPr="004E6CA2">
              <w:t xml:space="preserve">Works as a policy maker for the European Commission's Directorate General for </w:t>
            </w:r>
            <w:r>
              <w:t>Regional and Urban Policy</w:t>
            </w:r>
            <w:r w:rsidRPr="004E6CA2">
              <w:t>.</w:t>
            </w:r>
            <w:r>
              <w:t xml:space="preserve"> </w:t>
            </w:r>
            <w:r w:rsidRPr="004E6CA2">
              <w:t>He needs to find both statistical and geo</w:t>
            </w:r>
            <w:r w:rsidR="007C1873">
              <w:t>spatial</w:t>
            </w:r>
            <w:r w:rsidRPr="004E6CA2">
              <w:t xml:space="preserve"> datasets, download them to do his own calculations and create his own graphs and maps.</w:t>
            </w:r>
          </w:p>
        </w:tc>
      </w:tr>
      <w:tr w:rsidR="004E6CA2" w:rsidTr="008214E5">
        <w:tc>
          <w:tcPr>
            <w:tcW w:w="2518" w:type="dxa"/>
          </w:tcPr>
          <w:p w:rsidR="004E6CA2" w:rsidRDefault="004E6CA2" w:rsidP="008214E5">
            <w:pPr>
              <w:spacing w:after="0"/>
            </w:pPr>
            <w:r>
              <w:t>Main tasks of persona</w:t>
            </w:r>
          </w:p>
        </w:tc>
        <w:tc>
          <w:tcPr>
            <w:tcW w:w="6237" w:type="dxa"/>
          </w:tcPr>
          <w:p w:rsidR="004E6CA2" w:rsidRDefault="004E6CA2" w:rsidP="00974B12">
            <w:pPr>
              <w:pStyle w:val="ListParagraph"/>
              <w:numPr>
                <w:ilvl w:val="0"/>
                <w:numId w:val="24"/>
              </w:numPr>
              <w:spacing w:after="0"/>
              <w:ind w:left="317" w:hanging="317"/>
            </w:pPr>
            <w:r>
              <w:t>Looking for relevant datasets</w:t>
            </w:r>
          </w:p>
          <w:p w:rsidR="004E6CA2" w:rsidRDefault="004E6CA2" w:rsidP="00974B12">
            <w:pPr>
              <w:pStyle w:val="ListParagraph"/>
              <w:numPr>
                <w:ilvl w:val="0"/>
                <w:numId w:val="24"/>
              </w:numPr>
              <w:spacing w:after="0"/>
              <w:ind w:left="317" w:hanging="317"/>
            </w:pPr>
            <w:r>
              <w:t>Downloading tables to Excel</w:t>
            </w:r>
          </w:p>
          <w:p w:rsidR="004E6CA2" w:rsidRDefault="004E6CA2" w:rsidP="00974B12">
            <w:pPr>
              <w:pStyle w:val="ListParagraph"/>
              <w:numPr>
                <w:ilvl w:val="0"/>
                <w:numId w:val="24"/>
              </w:numPr>
              <w:spacing w:after="0"/>
              <w:ind w:left="317" w:hanging="317"/>
            </w:pPr>
            <w:r>
              <w:t>Adjusting the layout and format of the tables</w:t>
            </w:r>
          </w:p>
          <w:p w:rsidR="004E6CA2" w:rsidRDefault="004E6CA2" w:rsidP="00974B12">
            <w:pPr>
              <w:pStyle w:val="ListParagraph"/>
              <w:numPr>
                <w:ilvl w:val="0"/>
                <w:numId w:val="24"/>
              </w:numPr>
              <w:spacing w:after="0"/>
              <w:ind w:left="317" w:hanging="317"/>
            </w:pPr>
            <w:r>
              <w:t>Downloading geo</w:t>
            </w:r>
            <w:r w:rsidR="007C1873">
              <w:t xml:space="preserve">spatial </w:t>
            </w:r>
            <w:r>
              <w:t xml:space="preserve">data </w:t>
            </w:r>
          </w:p>
        </w:tc>
      </w:tr>
      <w:tr w:rsidR="004E6CA2" w:rsidTr="008214E5">
        <w:tc>
          <w:tcPr>
            <w:tcW w:w="2518" w:type="dxa"/>
          </w:tcPr>
          <w:p w:rsidR="004E6CA2" w:rsidRDefault="004E6CA2" w:rsidP="008214E5">
            <w:pPr>
              <w:spacing w:after="0"/>
            </w:pPr>
            <w:r>
              <w:t>Tools used by persona</w:t>
            </w:r>
          </w:p>
        </w:tc>
        <w:tc>
          <w:tcPr>
            <w:tcW w:w="6237" w:type="dxa"/>
          </w:tcPr>
          <w:p w:rsidR="004E6CA2" w:rsidRDefault="004E6CA2" w:rsidP="00974B12">
            <w:pPr>
              <w:pStyle w:val="ListParagraph"/>
              <w:numPr>
                <w:ilvl w:val="0"/>
                <w:numId w:val="24"/>
              </w:numPr>
              <w:spacing w:after="0"/>
              <w:ind w:left="317" w:hanging="317"/>
            </w:pPr>
            <w:r>
              <w:t>Database</w:t>
            </w:r>
            <w:r w:rsidR="004A6127">
              <w:t xml:space="preserve"> (Statistical data)</w:t>
            </w:r>
          </w:p>
          <w:p w:rsidR="004A6127" w:rsidRDefault="004A6127" w:rsidP="00974B12">
            <w:pPr>
              <w:pStyle w:val="ListParagraph"/>
              <w:numPr>
                <w:ilvl w:val="0"/>
                <w:numId w:val="24"/>
              </w:numPr>
              <w:spacing w:after="0"/>
              <w:ind w:left="317" w:hanging="317"/>
            </w:pPr>
            <w:r>
              <w:t>Geo</w:t>
            </w:r>
            <w:r w:rsidR="007C1873">
              <w:t xml:space="preserve">spatial </w:t>
            </w:r>
            <w:r>
              <w:t>data</w:t>
            </w:r>
          </w:p>
          <w:p w:rsidR="004E6CA2" w:rsidRDefault="004E6CA2" w:rsidP="00974B12">
            <w:pPr>
              <w:pStyle w:val="ListParagraph"/>
              <w:numPr>
                <w:ilvl w:val="0"/>
                <w:numId w:val="24"/>
              </w:numPr>
              <w:spacing w:after="0"/>
              <w:ind w:left="317" w:hanging="317"/>
            </w:pPr>
            <w:r>
              <w:t>Statistics Explained</w:t>
            </w:r>
          </w:p>
          <w:p w:rsidR="004E6CA2" w:rsidRDefault="004E6CA2" w:rsidP="00974B12">
            <w:pPr>
              <w:pStyle w:val="ListParagraph"/>
              <w:numPr>
                <w:ilvl w:val="0"/>
                <w:numId w:val="24"/>
              </w:numPr>
              <w:spacing w:after="0"/>
              <w:ind w:left="317" w:hanging="317"/>
            </w:pPr>
            <w:r>
              <w:t>Statistical Reports (but no PDFs)</w:t>
            </w:r>
          </w:p>
        </w:tc>
      </w:tr>
      <w:tr w:rsidR="004E6CA2" w:rsidTr="008214E5">
        <w:tc>
          <w:tcPr>
            <w:tcW w:w="2518" w:type="dxa"/>
          </w:tcPr>
          <w:p w:rsidR="004E6CA2" w:rsidRDefault="004E6CA2" w:rsidP="00974B12">
            <w:pPr>
              <w:spacing w:after="0"/>
            </w:pPr>
            <w:r>
              <w:t>Eurostat offer</w:t>
            </w:r>
          </w:p>
        </w:tc>
        <w:tc>
          <w:tcPr>
            <w:tcW w:w="6237" w:type="dxa"/>
          </w:tcPr>
          <w:p w:rsidR="004E6CA2" w:rsidRDefault="004E6CA2" w:rsidP="00974B12">
            <w:pPr>
              <w:spacing w:after="0"/>
            </w:pPr>
            <w:r>
              <w:t xml:space="preserve">Eurostat's free dissemination </w:t>
            </w:r>
            <w:r w:rsidRPr="004E6CA2">
              <w:rPr>
                <w:b/>
              </w:rPr>
              <w:t>database</w:t>
            </w:r>
            <w:r>
              <w:t xml:space="preserve"> (Eurobase) contains: </w:t>
            </w:r>
          </w:p>
          <w:p w:rsidR="004E6CA2" w:rsidRDefault="004E6CA2" w:rsidP="00974B12">
            <w:pPr>
              <w:pStyle w:val="ListParagraph"/>
              <w:numPr>
                <w:ilvl w:val="0"/>
                <w:numId w:val="24"/>
              </w:numPr>
              <w:spacing w:after="0"/>
              <w:ind w:left="317" w:hanging="317"/>
            </w:pPr>
            <w:r>
              <w:t>more than 350 regional dataset covering all main statistical themes;</w:t>
            </w:r>
          </w:p>
          <w:p w:rsidR="004E6CA2" w:rsidRDefault="004E6CA2" w:rsidP="00974B12">
            <w:pPr>
              <w:pStyle w:val="ListParagraph"/>
              <w:numPr>
                <w:ilvl w:val="0"/>
                <w:numId w:val="24"/>
              </w:numPr>
              <w:spacing w:after="0"/>
              <w:ind w:left="317" w:hanging="317"/>
            </w:pPr>
            <w:r>
              <w:t>100 tables using the degree of urbanisation covering mostly the theme of Population and social conditions</w:t>
            </w:r>
          </w:p>
          <w:p w:rsidR="004E6CA2" w:rsidRDefault="004E6CA2" w:rsidP="00974B12">
            <w:pPr>
              <w:pStyle w:val="ListParagraph"/>
              <w:numPr>
                <w:ilvl w:val="0"/>
                <w:numId w:val="24"/>
              </w:numPr>
              <w:spacing w:after="0"/>
              <w:ind w:left="317" w:hanging="317"/>
            </w:pPr>
            <w:r>
              <w:t>50 tables using regional typologies</w:t>
            </w:r>
          </w:p>
          <w:p w:rsidR="004E6CA2" w:rsidRDefault="004E6CA2" w:rsidP="00974B12">
            <w:pPr>
              <w:pStyle w:val="ListParagraph"/>
              <w:numPr>
                <w:ilvl w:val="0"/>
                <w:numId w:val="24"/>
              </w:numPr>
              <w:spacing w:before="240" w:after="0"/>
              <w:ind w:left="317" w:hanging="317"/>
            </w:pPr>
            <w:r>
              <w:t>20 tables on cities covering mostly the theme of Population and social conditions</w:t>
            </w:r>
          </w:p>
          <w:p w:rsidR="007C1873" w:rsidRDefault="007C1873" w:rsidP="00974B12">
            <w:pPr>
              <w:pStyle w:val="ListParagraph"/>
              <w:spacing w:after="0"/>
              <w:ind w:left="0"/>
            </w:pPr>
            <w:r>
              <w:t xml:space="preserve">The geospatial </w:t>
            </w:r>
            <w:r>
              <w:rPr>
                <w:rStyle w:val="Strong"/>
              </w:rPr>
              <w:t xml:space="preserve">database of Eurostat </w:t>
            </w:r>
            <w:r>
              <w:t>(GISCO database</w:t>
            </w:r>
            <w:r>
              <w:rPr>
                <w:rStyle w:val="FootnoteReference"/>
              </w:rPr>
              <w:footnoteReference w:id="2"/>
            </w:r>
            <w:r>
              <w:t>) contains core geospatial data covering the whole of Europe, such as administrative boundaries, and thematic geospatial information, such as population grid data.</w:t>
            </w:r>
          </w:p>
          <w:p w:rsidR="004E6CA2" w:rsidRDefault="004E6CA2" w:rsidP="00974B12">
            <w:pPr>
              <w:spacing w:after="0"/>
            </w:pPr>
            <w:r>
              <w:t xml:space="preserve">Eurostat maintains and annually updates analytical </w:t>
            </w:r>
            <w:r w:rsidRPr="004E6CA2">
              <w:rPr>
                <w:b/>
              </w:rPr>
              <w:t>Statistics Explained</w:t>
            </w:r>
            <w:r>
              <w:t xml:space="preserve"> articles using mainly regional data covering all statistical themes. These are published also as print publication in form of the Eurostat Regional Yearbook</w:t>
            </w:r>
            <w:proofErr w:type="gramStart"/>
            <w:r>
              <w:t>.</w:t>
            </w:r>
            <w:bookmarkStart w:id="1" w:name="_GoBack"/>
            <w:bookmarkEnd w:id="1"/>
            <w:r w:rsidR="00974B12">
              <w:t>[</w:t>
            </w:r>
            <w:proofErr w:type="gramEnd"/>
            <w:r w:rsidR="00974B12">
              <w:t>3]</w:t>
            </w:r>
            <w:r>
              <w:t xml:space="preserve"> A few articles are also produced annually using other sub-national data (city data, data by degree of urbanisation, etc.)</w:t>
            </w:r>
            <w:r w:rsidR="004A6127">
              <w:t xml:space="preserve"> An extensive glossary explaining terms is also available in Statistics Explained.</w:t>
            </w:r>
          </w:p>
          <w:p w:rsidR="00D009FB" w:rsidRDefault="00D009FB" w:rsidP="00974B12">
            <w:pPr>
              <w:spacing w:after="0"/>
            </w:pPr>
            <w:r>
              <w:t>Eurostat provides a complete overview of the sub-national data offer in a reference table available on the Regions and Cities dedicated section of the Eurostat website</w:t>
            </w:r>
            <w:r w:rsidR="00726433">
              <w:t>.</w:t>
            </w:r>
          </w:p>
        </w:tc>
      </w:tr>
      <w:tr w:rsidR="004E6CA2" w:rsidTr="008214E5">
        <w:tc>
          <w:tcPr>
            <w:tcW w:w="2518" w:type="dxa"/>
          </w:tcPr>
          <w:p w:rsidR="004E6CA2" w:rsidRDefault="004E6CA2" w:rsidP="00974B12">
            <w:pPr>
              <w:spacing w:after="0"/>
            </w:pPr>
            <w:r>
              <w:t>To what extent do we fulfil expectations?</w:t>
            </w:r>
          </w:p>
        </w:tc>
        <w:tc>
          <w:tcPr>
            <w:tcW w:w="6237" w:type="dxa"/>
          </w:tcPr>
          <w:p w:rsidR="00485B04" w:rsidRDefault="00726433" w:rsidP="00974B12">
            <w:pPr>
              <w:spacing w:after="0"/>
            </w:pPr>
            <w:r>
              <w:t xml:space="preserve">The </w:t>
            </w:r>
            <w:r w:rsidR="00485B04">
              <w:t>Eurostat offer meets the need of the persona "Hugo" to a large extent.</w:t>
            </w:r>
          </w:p>
          <w:p w:rsidR="00BD3047" w:rsidRDefault="00DE579F" w:rsidP="00974B12">
            <w:pPr>
              <w:spacing w:after="0"/>
            </w:pPr>
            <w:r>
              <w:t>Eurostat’s regional and city data offer is much appreciated. These datasets are widely used in briefings, presentations and policy reports.</w:t>
            </w:r>
            <w:r w:rsidR="00BD3047">
              <w:t xml:space="preserve"> </w:t>
            </w:r>
            <w:r w:rsidR="00E21DDD">
              <w:t>R</w:t>
            </w:r>
            <w:r w:rsidR="00E21DDD" w:rsidRPr="00BD7F3A">
              <w:rPr>
                <w:szCs w:val="24"/>
              </w:rPr>
              <w:t xml:space="preserve">egional </w:t>
            </w:r>
            <w:r w:rsidR="00E21DDD">
              <w:rPr>
                <w:szCs w:val="24"/>
              </w:rPr>
              <w:t xml:space="preserve">and city </w:t>
            </w:r>
            <w:r w:rsidR="00E21DDD" w:rsidRPr="00BD7F3A">
              <w:rPr>
                <w:szCs w:val="24"/>
              </w:rPr>
              <w:t>statistics a</w:t>
            </w:r>
            <w:r w:rsidR="00E21DDD">
              <w:rPr>
                <w:szCs w:val="24"/>
              </w:rPr>
              <w:t>re considered a</w:t>
            </w:r>
            <w:r w:rsidR="00E21DDD" w:rsidRPr="00BD7F3A">
              <w:rPr>
                <w:szCs w:val="24"/>
              </w:rPr>
              <w:t xml:space="preserve">s an important instrument for targeted policy-making and a useful tool for understanding and quantifying the impact of </w:t>
            </w:r>
            <w:r w:rsidR="00E21DDD" w:rsidRPr="00BD7F3A">
              <w:rPr>
                <w:szCs w:val="24"/>
              </w:rPr>
              <w:lastRenderedPageBreak/>
              <w:t>political decisions in specific territories</w:t>
            </w:r>
            <w:r w:rsidR="00E21DDD">
              <w:rPr>
                <w:szCs w:val="24"/>
              </w:rPr>
              <w:t>.</w:t>
            </w:r>
          </w:p>
          <w:p w:rsidR="007C1873" w:rsidRDefault="007C1873" w:rsidP="00974B12">
            <w:pPr>
              <w:spacing w:after="0"/>
            </w:pPr>
            <w:r>
              <w:t>Geospatial data provided by Eurostat is also essential in many policy areas for providing spatial context, for spatial analysis and for creating statistical and thematic maps.</w:t>
            </w:r>
          </w:p>
          <w:p w:rsidR="00DE579F" w:rsidRDefault="00DE579F" w:rsidP="00974B12">
            <w:pPr>
              <w:spacing w:after="0"/>
            </w:pPr>
            <w:r>
              <w:t>The dissemination formats, the databases</w:t>
            </w:r>
            <w:r w:rsidR="008978C5">
              <w:t>,</w:t>
            </w:r>
            <w:r>
              <w:t xml:space="preserve"> </w:t>
            </w:r>
            <w:r w:rsidR="008978C5">
              <w:t xml:space="preserve">the Eurostat regional yearbook and </w:t>
            </w:r>
            <w:r>
              <w:t xml:space="preserve">Statistics Explained were </w:t>
            </w:r>
            <w:r w:rsidR="00A95093">
              <w:t xml:space="preserve">also </w:t>
            </w:r>
            <w:r>
              <w:t xml:space="preserve">evaluated positively. </w:t>
            </w:r>
          </w:p>
        </w:tc>
      </w:tr>
      <w:tr w:rsidR="004A6127" w:rsidTr="008214E5">
        <w:tc>
          <w:tcPr>
            <w:tcW w:w="2518" w:type="dxa"/>
          </w:tcPr>
          <w:p w:rsidR="004A6127" w:rsidRPr="007C1873" w:rsidRDefault="004A6127" w:rsidP="00974B12">
            <w:pPr>
              <w:spacing w:after="0"/>
            </w:pPr>
            <w:r w:rsidRPr="007C1873">
              <w:lastRenderedPageBreak/>
              <w:t>How could we improve further?</w:t>
            </w:r>
          </w:p>
        </w:tc>
        <w:tc>
          <w:tcPr>
            <w:tcW w:w="6237" w:type="dxa"/>
          </w:tcPr>
          <w:p w:rsidR="00BD3047" w:rsidRPr="007C1873" w:rsidRDefault="00E21DDD" w:rsidP="00974B12">
            <w:pPr>
              <w:spacing w:after="0"/>
              <w:rPr>
                <w:rFonts w:cstheme="minorHAnsi"/>
                <w:color w:val="333333"/>
                <w:szCs w:val="24"/>
              </w:rPr>
            </w:pPr>
            <w:r w:rsidRPr="007C1873">
              <w:t xml:space="preserve">Eurostat could </w:t>
            </w:r>
            <w:r w:rsidR="008978C5" w:rsidRPr="007C1873">
              <w:t>aggregate data for more</w:t>
            </w:r>
            <w:r w:rsidRPr="007C1873">
              <w:t xml:space="preserve"> territorial typologies related to the territories with specific geographic, economic, social and demographic features, namely the typologies on island regions, mountain regions, border regions and sparsely populated regions or outermost regions.</w:t>
            </w:r>
          </w:p>
          <w:p w:rsidR="004A6127" w:rsidRDefault="00BD3047" w:rsidP="00974B12">
            <w:pPr>
              <w:spacing w:after="0"/>
            </w:pPr>
            <w:r w:rsidRPr="007C1873">
              <w:t>Local policymakers</w:t>
            </w:r>
            <w:r w:rsidR="008978C5" w:rsidRPr="007C1873">
              <w:t xml:space="preserve">, as well as elected representatives of a specific area/region </w:t>
            </w:r>
            <w:r w:rsidRPr="007C1873">
              <w:t xml:space="preserve">would appreciate having </w:t>
            </w:r>
            <w:r w:rsidR="008978C5" w:rsidRPr="007C1873">
              <w:t>easy access to all the data related to their area/region.</w:t>
            </w:r>
          </w:p>
        </w:tc>
      </w:tr>
    </w:tbl>
    <w:p w:rsidR="002D479F" w:rsidRDefault="002D479F" w:rsidP="00BC6AFE"/>
    <w:p w:rsidR="004A6127" w:rsidRPr="008214E5" w:rsidRDefault="004A6127" w:rsidP="004A6127">
      <w:pPr>
        <w:pStyle w:val="Caption"/>
      </w:pPr>
      <w:proofErr w:type="gramStart"/>
      <w:r w:rsidRPr="008214E5">
        <w:t>Table 2.</w:t>
      </w:r>
      <w:proofErr w:type="gramEnd"/>
      <w:r w:rsidRPr="008214E5">
        <w:t xml:space="preserve"> Visually Oriented Intermediate User</w:t>
      </w:r>
    </w:p>
    <w:tbl>
      <w:tblPr>
        <w:tblStyle w:val="TableGrid"/>
        <w:tblW w:w="8755" w:type="dxa"/>
        <w:tblLook w:val="04A0" w:firstRow="1" w:lastRow="0" w:firstColumn="1" w:lastColumn="0" w:noHBand="0" w:noVBand="1"/>
      </w:tblPr>
      <w:tblGrid>
        <w:gridCol w:w="2518"/>
        <w:gridCol w:w="6237"/>
      </w:tblGrid>
      <w:tr w:rsidR="004A6127" w:rsidTr="008214E5">
        <w:tc>
          <w:tcPr>
            <w:tcW w:w="2518" w:type="dxa"/>
          </w:tcPr>
          <w:p w:rsidR="004A6127" w:rsidRDefault="004A6127" w:rsidP="008214E5">
            <w:pPr>
              <w:spacing w:after="0"/>
            </w:pPr>
            <w:r>
              <w:t>Persona</w:t>
            </w:r>
          </w:p>
        </w:tc>
        <w:tc>
          <w:tcPr>
            <w:tcW w:w="6237" w:type="dxa"/>
          </w:tcPr>
          <w:p w:rsidR="004A6127" w:rsidRPr="008214E5" w:rsidRDefault="00425F96" w:rsidP="00974B12">
            <w:pPr>
              <w:spacing w:after="0"/>
            </w:pPr>
            <w:r w:rsidRPr="008214E5">
              <w:t>Marie</w:t>
            </w:r>
            <w:r w:rsidR="004E6891" w:rsidRPr="008214E5">
              <w:t>-France</w:t>
            </w:r>
          </w:p>
          <w:p w:rsidR="004A6127" w:rsidRPr="008214E5" w:rsidRDefault="00425F96" w:rsidP="00974B12">
            <w:pPr>
              <w:spacing w:after="0"/>
            </w:pPr>
            <w:r w:rsidRPr="008214E5">
              <w:t>She visits Eurostat</w:t>
            </w:r>
            <w:r w:rsidR="00726433">
              <w:t>'s website</w:t>
            </w:r>
            <w:r w:rsidRPr="008214E5">
              <w:t xml:space="preserve"> whenever she needs to put things in a European perspective for her studies. She prefers to look at graphs and maps because they are easier to interpret and give an overview much more quickly. She does not mind getting conclusions from Eurostat’s publications and reports, but she draws her own when writing essays.</w:t>
            </w:r>
            <w:r w:rsidR="007776DD" w:rsidRPr="008214E5">
              <w:t xml:space="preserve"> Although she has a specific goal in mind, she often deviates from that goal and starts exploring other topics too.</w:t>
            </w:r>
          </w:p>
        </w:tc>
      </w:tr>
      <w:tr w:rsidR="004A6127" w:rsidTr="008214E5">
        <w:tc>
          <w:tcPr>
            <w:tcW w:w="2518" w:type="dxa"/>
          </w:tcPr>
          <w:p w:rsidR="004A6127" w:rsidRDefault="004A6127" w:rsidP="00BD3FDB">
            <w:r>
              <w:t>Main tasks of persona</w:t>
            </w:r>
          </w:p>
        </w:tc>
        <w:tc>
          <w:tcPr>
            <w:tcW w:w="6237" w:type="dxa"/>
          </w:tcPr>
          <w:p w:rsidR="00425F96" w:rsidRDefault="00FD1CAF" w:rsidP="00974B12">
            <w:pPr>
              <w:pStyle w:val="ListParagraph"/>
              <w:numPr>
                <w:ilvl w:val="0"/>
                <w:numId w:val="24"/>
              </w:numPr>
              <w:spacing w:after="0"/>
              <w:ind w:left="317" w:hanging="317"/>
            </w:pPr>
            <w:r>
              <w:t>Looking</w:t>
            </w:r>
            <w:r w:rsidR="00425F96" w:rsidRPr="00425F96">
              <w:t xml:space="preserve"> for </w:t>
            </w:r>
            <w:r>
              <w:t xml:space="preserve">reports and </w:t>
            </w:r>
            <w:r w:rsidR="00425F96" w:rsidRPr="00425F96">
              <w:t>publications</w:t>
            </w:r>
            <w:r>
              <w:t xml:space="preserve"> (including maps)</w:t>
            </w:r>
          </w:p>
          <w:p w:rsidR="00425F96" w:rsidRDefault="00FD1CAF" w:rsidP="00974B12">
            <w:pPr>
              <w:pStyle w:val="ListParagraph"/>
              <w:numPr>
                <w:ilvl w:val="0"/>
                <w:numId w:val="24"/>
              </w:numPr>
              <w:spacing w:after="0"/>
              <w:ind w:left="317" w:hanging="317"/>
            </w:pPr>
            <w:r>
              <w:t>Searching for visualizations and a</w:t>
            </w:r>
            <w:r w:rsidR="00425F96">
              <w:t>djusting</w:t>
            </w:r>
            <w:r>
              <w:t xml:space="preserve"> them</w:t>
            </w:r>
          </w:p>
          <w:p w:rsidR="004A6127" w:rsidRDefault="00425F96" w:rsidP="00974B12">
            <w:pPr>
              <w:pStyle w:val="ListParagraph"/>
              <w:numPr>
                <w:ilvl w:val="0"/>
                <w:numId w:val="24"/>
              </w:numPr>
              <w:spacing w:after="0"/>
              <w:ind w:left="317" w:hanging="317"/>
            </w:pPr>
            <w:r>
              <w:t xml:space="preserve">Making screenshots of </w:t>
            </w:r>
            <w:r w:rsidR="00FD1CAF">
              <w:t>tables, maps and</w:t>
            </w:r>
            <w:r>
              <w:t xml:space="preserve"> visualisations</w:t>
            </w:r>
          </w:p>
        </w:tc>
      </w:tr>
      <w:tr w:rsidR="004A6127" w:rsidTr="008214E5">
        <w:tc>
          <w:tcPr>
            <w:tcW w:w="2518" w:type="dxa"/>
          </w:tcPr>
          <w:p w:rsidR="004A6127" w:rsidRDefault="004A6127" w:rsidP="008214E5">
            <w:pPr>
              <w:spacing w:after="0"/>
            </w:pPr>
            <w:r>
              <w:t>Tools used by persona</w:t>
            </w:r>
          </w:p>
        </w:tc>
        <w:tc>
          <w:tcPr>
            <w:tcW w:w="6237" w:type="dxa"/>
          </w:tcPr>
          <w:p w:rsidR="00FD1CAF" w:rsidRDefault="00FD1CAF" w:rsidP="00974B12">
            <w:pPr>
              <w:pStyle w:val="ListParagraph"/>
              <w:numPr>
                <w:ilvl w:val="0"/>
                <w:numId w:val="24"/>
              </w:numPr>
              <w:spacing w:after="0"/>
              <w:ind w:left="317" w:hanging="317"/>
            </w:pPr>
            <w:r>
              <w:t>Visualisation tools</w:t>
            </w:r>
          </w:p>
          <w:p w:rsidR="004A6127" w:rsidRDefault="004A6127" w:rsidP="00974B12">
            <w:pPr>
              <w:pStyle w:val="ListParagraph"/>
              <w:numPr>
                <w:ilvl w:val="0"/>
                <w:numId w:val="24"/>
              </w:numPr>
              <w:spacing w:after="0"/>
              <w:ind w:left="317" w:hanging="317"/>
            </w:pPr>
            <w:r>
              <w:t xml:space="preserve">Database </w:t>
            </w:r>
            <w:r w:rsidR="00FD1CAF">
              <w:t>(but less</w:t>
            </w:r>
            <w:r>
              <w:t>)</w:t>
            </w:r>
          </w:p>
          <w:p w:rsidR="004A6127" w:rsidRDefault="004A6127" w:rsidP="00974B12">
            <w:pPr>
              <w:pStyle w:val="ListParagraph"/>
              <w:numPr>
                <w:ilvl w:val="0"/>
                <w:numId w:val="24"/>
              </w:numPr>
              <w:spacing w:after="0"/>
              <w:ind w:left="317" w:hanging="317"/>
            </w:pPr>
            <w:r>
              <w:t>Statistics Explained</w:t>
            </w:r>
          </w:p>
          <w:p w:rsidR="00FD1CAF" w:rsidRDefault="00FD1CAF" w:rsidP="00974B12">
            <w:pPr>
              <w:pStyle w:val="ListParagraph"/>
              <w:numPr>
                <w:ilvl w:val="0"/>
                <w:numId w:val="24"/>
              </w:numPr>
              <w:spacing w:after="0"/>
              <w:ind w:left="317" w:hanging="317"/>
            </w:pPr>
            <w:r>
              <w:t>Statistical Atlas</w:t>
            </w:r>
          </w:p>
          <w:p w:rsidR="00726433" w:rsidRDefault="00726433" w:rsidP="00974B12">
            <w:pPr>
              <w:pStyle w:val="ListParagraph"/>
              <w:numPr>
                <w:ilvl w:val="0"/>
                <w:numId w:val="24"/>
              </w:numPr>
              <w:spacing w:after="0"/>
              <w:ind w:left="317" w:hanging="317"/>
            </w:pPr>
            <w:r>
              <w:t>Regions and Cities Illustrated</w:t>
            </w:r>
          </w:p>
        </w:tc>
      </w:tr>
      <w:tr w:rsidR="004A6127" w:rsidTr="008214E5">
        <w:tc>
          <w:tcPr>
            <w:tcW w:w="2518" w:type="dxa"/>
          </w:tcPr>
          <w:p w:rsidR="004A6127" w:rsidRDefault="004A6127" w:rsidP="00974B12">
            <w:pPr>
              <w:spacing w:after="0"/>
            </w:pPr>
            <w:r>
              <w:t>Eurostat offer</w:t>
            </w:r>
          </w:p>
        </w:tc>
        <w:tc>
          <w:tcPr>
            <w:tcW w:w="6237" w:type="dxa"/>
          </w:tcPr>
          <w:p w:rsidR="004A6127" w:rsidRDefault="007776DD" w:rsidP="00974B12">
            <w:pPr>
              <w:spacing w:after="0"/>
            </w:pPr>
            <w:r>
              <w:t>For the brief</w:t>
            </w:r>
            <w:r w:rsidR="004E6891">
              <w:t xml:space="preserve"> description of the Database and Statistics Explained see Table 1.</w:t>
            </w:r>
          </w:p>
          <w:p w:rsidR="004E6891" w:rsidRDefault="004E6891" w:rsidP="00974B12">
            <w:pPr>
              <w:spacing w:after="0"/>
            </w:pPr>
            <w:r w:rsidRPr="00AD3263">
              <w:rPr>
                <w:b/>
              </w:rPr>
              <w:t xml:space="preserve">Regions and </w:t>
            </w:r>
            <w:r w:rsidR="00726433">
              <w:rPr>
                <w:b/>
              </w:rPr>
              <w:t>C</w:t>
            </w:r>
            <w:r w:rsidRPr="00AD3263">
              <w:rPr>
                <w:b/>
              </w:rPr>
              <w:t xml:space="preserve">ities </w:t>
            </w:r>
            <w:r w:rsidR="00726433">
              <w:rPr>
                <w:b/>
              </w:rPr>
              <w:t>I</w:t>
            </w:r>
            <w:r w:rsidRPr="00AD3263">
              <w:rPr>
                <w:b/>
              </w:rPr>
              <w:t>llustrated</w:t>
            </w:r>
            <w:r w:rsidRPr="004E6891">
              <w:t xml:space="preserve"> </w:t>
            </w:r>
            <w:r>
              <w:t>is a</w:t>
            </w:r>
            <w:r w:rsidR="007805D9">
              <w:t>n</w:t>
            </w:r>
            <w:r>
              <w:t xml:space="preserve"> interactive data visualisation tool which </w:t>
            </w:r>
            <w:r w:rsidRPr="004E6891">
              <w:t xml:space="preserve">contains data for a wide range of indicators covering </w:t>
            </w:r>
            <w:r>
              <w:t xml:space="preserve">regions, cities and several </w:t>
            </w:r>
            <w:r w:rsidRPr="004E6891">
              <w:t>typologies</w:t>
            </w:r>
            <w:r w:rsidR="00726433">
              <w:t>.</w:t>
            </w:r>
            <w:r w:rsidRPr="004E6891">
              <w:t xml:space="preserve"> </w:t>
            </w:r>
            <w:r>
              <w:t>Next to the map t</w:t>
            </w:r>
            <w:r w:rsidRPr="004E6891">
              <w:t xml:space="preserve">here are four standard visualisations (a distribution plot, a scatterplot, a bar chart and a data table); these provide an opportunity to make deeper analyses of the data as well as comparisons and rankings. Furthermore, an animated timeline can be used to explore how the various indicators have </w:t>
            </w:r>
            <w:r w:rsidR="00EC3DD6">
              <w:t>ev</w:t>
            </w:r>
            <w:r w:rsidRPr="004E6891">
              <w:t>o</w:t>
            </w:r>
            <w:r w:rsidR="00EC3DD6">
              <w:t>lv</w:t>
            </w:r>
            <w:r w:rsidRPr="004E6891">
              <w:t>ed over time.</w:t>
            </w:r>
          </w:p>
          <w:p w:rsidR="00AD3263" w:rsidRDefault="00974B12" w:rsidP="00974B12">
            <w:pPr>
              <w:spacing w:after="0"/>
            </w:pPr>
            <w:r w:rsidRPr="00EC3DD6">
              <w:t xml:space="preserve">The </w:t>
            </w:r>
            <w:r w:rsidRPr="00AD3263">
              <w:rPr>
                <w:b/>
              </w:rPr>
              <w:t>Statistical Atlas</w:t>
            </w:r>
            <w:r w:rsidRPr="00AD3263">
              <w:t xml:space="preserve"> is an interactive </w:t>
            </w:r>
            <w:r>
              <w:t xml:space="preserve">map </w:t>
            </w:r>
            <w:r w:rsidRPr="00AD3263">
              <w:t>viewer that allows users to study statistical data in combination with layers of geo</w:t>
            </w:r>
            <w:r>
              <w:t>spatial</w:t>
            </w:r>
            <w:r w:rsidRPr="00AD3263">
              <w:t xml:space="preserve"> information (for example, statistical regions, cities, roads or rivers). The Statistical Atlas can be used to view </w:t>
            </w:r>
            <w:r>
              <w:t xml:space="preserve">and download </w:t>
            </w:r>
            <w:r w:rsidRPr="00AD3263">
              <w:t xml:space="preserve">all the maps that are </w:t>
            </w:r>
            <w:r>
              <w:t xml:space="preserve">included </w:t>
            </w:r>
            <w:r w:rsidRPr="00AD3263">
              <w:t>in the Eurostat regional yearbook</w:t>
            </w:r>
            <w:r>
              <w:t>.</w:t>
            </w:r>
          </w:p>
        </w:tc>
      </w:tr>
      <w:tr w:rsidR="004A6127" w:rsidTr="008214E5">
        <w:tc>
          <w:tcPr>
            <w:tcW w:w="2518" w:type="dxa"/>
          </w:tcPr>
          <w:p w:rsidR="004A6127" w:rsidRDefault="004A6127" w:rsidP="00974B12">
            <w:pPr>
              <w:spacing w:after="0"/>
            </w:pPr>
            <w:r>
              <w:lastRenderedPageBreak/>
              <w:t>To what extent do we fulfil expectations?</w:t>
            </w:r>
          </w:p>
        </w:tc>
        <w:tc>
          <w:tcPr>
            <w:tcW w:w="6237" w:type="dxa"/>
          </w:tcPr>
          <w:p w:rsidR="00485B04" w:rsidRDefault="00485B04" w:rsidP="00974B12">
            <w:pPr>
              <w:spacing w:after="0"/>
            </w:pPr>
            <w:r>
              <w:t>Eurostat offer meets the need of the persona "Marie-France" to a large extent.</w:t>
            </w:r>
          </w:p>
          <w:p w:rsidR="004A6127" w:rsidRDefault="007776DD" w:rsidP="00974B12">
            <w:pPr>
              <w:spacing w:after="0"/>
            </w:pPr>
            <w:r>
              <w:t xml:space="preserve">Both Regions and </w:t>
            </w:r>
            <w:r w:rsidR="00726433">
              <w:t>C</w:t>
            </w:r>
            <w:r>
              <w:t xml:space="preserve">ities </w:t>
            </w:r>
            <w:r w:rsidR="00726433">
              <w:t>I</w:t>
            </w:r>
            <w:r>
              <w:t xml:space="preserve">llustrated and Statistical Atlas have been evaluated positively both in quantitative and qualitative terms. </w:t>
            </w:r>
          </w:p>
        </w:tc>
      </w:tr>
      <w:tr w:rsidR="004A6127" w:rsidTr="008214E5">
        <w:tc>
          <w:tcPr>
            <w:tcW w:w="2518" w:type="dxa"/>
          </w:tcPr>
          <w:p w:rsidR="004A6127" w:rsidRDefault="004A6127" w:rsidP="00974B12">
            <w:pPr>
              <w:spacing w:after="0"/>
            </w:pPr>
            <w:r>
              <w:t>How could we improve further?</w:t>
            </w:r>
          </w:p>
        </w:tc>
        <w:tc>
          <w:tcPr>
            <w:tcW w:w="6237" w:type="dxa"/>
          </w:tcPr>
          <w:p w:rsidR="00362432" w:rsidRDefault="004065BE" w:rsidP="00974B12">
            <w:pPr>
              <w:spacing w:after="0"/>
            </w:pPr>
            <w:r>
              <w:t>The product offer of the domain is vast, heterogeneous and complex; actually so complex that non-advanced users have trouble to find what they are looking for. Eu</w:t>
            </w:r>
            <w:r w:rsidR="00362432">
              <w:t>rostat could create an "overview</w:t>
            </w:r>
            <w:r>
              <w:t>" page of subnational data to provide easy access to intermediate users.</w:t>
            </w:r>
            <w:r w:rsidR="00C310C0">
              <w:t xml:space="preserve"> Going a step further – providing an overview of all subnational statistical data within the European Commission would be also most appreciated.</w:t>
            </w:r>
          </w:p>
          <w:p w:rsidR="004A6127" w:rsidRDefault="00362432" w:rsidP="00974B12">
            <w:pPr>
              <w:spacing w:after="0"/>
            </w:pPr>
            <w:r>
              <w:t>News and some interesting insights might be unnoticed by non-advanced users who visit the website monthly. A regular newsletter could help to raise awareness and to engage intermediate users.</w:t>
            </w:r>
          </w:p>
        </w:tc>
      </w:tr>
    </w:tbl>
    <w:p w:rsidR="004A6127" w:rsidRDefault="004A6127" w:rsidP="004A6127"/>
    <w:p w:rsidR="00BC6AFE" w:rsidRDefault="00BC6AFE" w:rsidP="00BC6AFE">
      <w:pPr>
        <w:pStyle w:val="Heading1"/>
      </w:pPr>
      <w:r>
        <w:t>Conclusions</w:t>
      </w:r>
    </w:p>
    <w:p w:rsidR="00BC6AFE" w:rsidRDefault="00A82C46" w:rsidP="00BC6AFE">
      <w:r>
        <w:t>The evaluation concluded that while the needs of personas are met to a large extent there is possibility to improve further. Eurostat could extend</w:t>
      </w:r>
      <w:r w:rsidR="00C310C0">
        <w:t xml:space="preserve"> its offer and provide</w:t>
      </w:r>
      <w:r w:rsidR="00BD3047">
        <w:t xml:space="preserve"> more datasets by territorial typologies to satisfy specific policy needs, like interest in border regions, outermost regions, mountain regions, etc. Several of these typologies are </w:t>
      </w:r>
      <w:r>
        <w:t>currently being produced and</w:t>
      </w:r>
      <w:r w:rsidR="00BD3047">
        <w:t xml:space="preserve"> included in the </w:t>
      </w:r>
      <w:r w:rsidR="00BD3047" w:rsidRPr="00BD3047">
        <w:t xml:space="preserve">Regions and </w:t>
      </w:r>
      <w:r w:rsidR="00726433">
        <w:t>C</w:t>
      </w:r>
      <w:r w:rsidR="00BD3047" w:rsidRPr="00BD3047">
        <w:t xml:space="preserve">ities </w:t>
      </w:r>
      <w:r w:rsidR="00726433">
        <w:t>I</w:t>
      </w:r>
      <w:r w:rsidR="00BD3047" w:rsidRPr="00BD3047">
        <w:t>llustrated tool.</w:t>
      </w:r>
      <w:r w:rsidR="00485B04">
        <w:t xml:space="preserve"> </w:t>
      </w:r>
      <w:r w:rsidR="004065BE">
        <w:t>E</w:t>
      </w:r>
      <w:r w:rsidR="00362432">
        <w:t xml:space="preserve">urostat have </w:t>
      </w:r>
      <w:r w:rsidR="00C310C0">
        <w:t xml:space="preserve">also </w:t>
      </w:r>
      <w:r w:rsidR="00362432">
        <w:t>recently released its new overview page on "Regions and cities"</w:t>
      </w:r>
      <w:r w:rsidR="004065BE">
        <w:t xml:space="preserve"> </w:t>
      </w:r>
      <w:r w:rsidR="00362432">
        <w:t>answering to the needs of intermediate users</w:t>
      </w:r>
      <w:r w:rsidR="00C310C0">
        <w:t>. T</w:t>
      </w:r>
      <w:r w:rsidR="00362432">
        <w:t>he future website monitoring will show the "success" of the</w:t>
      </w:r>
      <w:r w:rsidR="00C310C0">
        <w:t>se developments</w:t>
      </w:r>
      <w:r w:rsidR="00362432">
        <w:t xml:space="preserve">. </w:t>
      </w:r>
      <w:r w:rsidR="00C310C0">
        <w:t xml:space="preserve">Other improvement ideas, like a "geographical entry point" providing access to all data on a specific territory, a Commission wide joint data portal for subnational statistics, and a newsletter on regional and city data are currently being explored further. </w:t>
      </w:r>
    </w:p>
    <w:p w:rsidR="00C310C0" w:rsidRPr="00BC6AFE" w:rsidRDefault="00C310C0" w:rsidP="00BC6AFE"/>
    <w:p w:rsidR="00BC6AFE" w:rsidRDefault="00BC6AFE" w:rsidP="009B4EE0">
      <w:pPr>
        <w:pStyle w:val="Heading1"/>
        <w:numPr>
          <w:ilvl w:val="0"/>
          <w:numId w:val="0"/>
        </w:numPr>
        <w:ind w:left="480" w:hanging="480"/>
      </w:pPr>
      <w:r>
        <w:t>References</w:t>
      </w:r>
    </w:p>
    <w:p w:rsidR="00FC0645" w:rsidRDefault="00974B12" w:rsidP="00974B12">
      <w:pPr>
        <w:pStyle w:val="Text1"/>
        <w:numPr>
          <w:ilvl w:val="0"/>
          <w:numId w:val="20"/>
        </w:numPr>
      </w:pPr>
      <w:r>
        <w:t xml:space="preserve">Eurostat, </w:t>
      </w:r>
      <w:r w:rsidR="00FC0645">
        <w:t xml:space="preserve">European Statistics Code of Practice </w:t>
      </w:r>
      <w:r>
        <w:t>F</w:t>
      </w:r>
      <w:r w:rsidRPr="00974B12">
        <w:t>or the National Statistical Authorities and Eurostat (EU statistical authority)</w:t>
      </w:r>
      <w:r>
        <w:t>, 2017</w:t>
      </w:r>
    </w:p>
    <w:p w:rsidR="00127067" w:rsidRPr="00EC3DD6" w:rsidRDefault="00EC3DD6" w:rsidP="00EC3DD6">
      <w:pPr>
        <w:pStyle w:val="Text1"/>
        <w:numPr>
          <w:ilvl w:val="0"/>
          <w:numId w:val="20"/>
        </w:numPr>
      </w:pPr>
      <w:r w:rsidRPr="00EC3DD6">
        <w:t>Eurostat, User profiling of European statistics users, User profiling exercise, Report presented at the Eurostat CODIF meeting 1 April 2018</w:t>
      </w:r>
    </w:p>
    <w:p w:rsidR="00C310C0" w:rsidRPr="00C310C0" w:rsidRDefault="00C310C0" w:rsidP="00C310C0">
      <w:pPr>
        <w:pStyle w:val="Text1"/>
        <w:numPr>
          <w:ilvl w:val="0"/>
          <w:numId w:val="20"/>
        </w:numPr>
        <w:ind w:left="357" w:hanging="357"/>
      </w:pPr>
      <w:r w:rsidRPr="00C310C0">
        <w:t xml:space="preserve">Eurostat, </w:t>
      </w:r>
      <w:r w:rsidR="00974B12">
        <w:t xml:space="preserve">Eurostat </w:t>
      </w:r>
      <w:r w:rsidRPr="00C310C0">
        <w:t>Regional Yearbook</w:t>
      </w:r>
      <w:r w:rsidR="00974B12">
        <w:t>, 2017</w:t>
      </w:r>
      <w:r w:rsidRPr="00C310C0">
        <w:t xml:space="preserve"> </w:t>
      </w:r>
    </w:p>
    <w:p w:rsidR="00BC6AFE" w:rsidRPr="001B50CE" w:rsidRDefault="00BC6AFE" w:rsidP="00C310C0">
      <w:pPr>
        <w:pStyle w:val="Text1"/>
        <w:ind w:left="357"/>
        <w:rPr>
          <w:highlight w:val="yellow"/>
        </w:rPr>
      </w:pPr>
    </w:p>
    <w:sectPr w:rsidR="00BC6AFE" w:rsidRPr="001B50CE" w:rsidSect="00BC6AFE">
      <w:footerReference w:type="default" r:id="rId9"/>
      <w:headerReference w:type="first" r:id="rId10"/>
      <w:footerReference w:type="first" r:id="rId11"/>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D3" w:rsidRDefault="00D67AD3" w:rsidP="00BC6AFE">
      <w:pPr>
        <w:spacing w:after="0"/>
      </w:pPr>
      <w:r>
        <w:separator/>
      </w:r>
    </w:p>
  </w:endnote>
  <w:endnote w:type="continuationSeparator" w:id="0">
    <w:p w:rsidR="00D67AD3" w:rsidRDefault="00D67AD3"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E0618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D3" w:rsidRDefault="00D67AD3" w:rsidP="00BC6AFE">
      <w:pPr>
        <w:spacing w:after="0"/>
      </w:pPr>
      <w:r>
        <w:separator/>
      </w:r>
    </w:p>
  </w:footnote>
  <w:footnote w:type="continuationSeparator" w:id="0">
    <w:p w:rsidR="00D67AD3" w:rsidRDefault="00D67AD3" w:rsidP="00BC6AFE">
      <w:pPr>
        <w:spacing w:after="0"/>
      </w:pPr>
      <w:r>
        <w:continuationSeparator/>
      </w:r>
    </w:p>
  </w:footnote>
  <w:footnote w:id="1">
    <w:p w:rsidR="00000D5A" w:rsidRPr="00E21DDD" w:rsidRDefault="00000D5A" w:rsidP="00E21DDD">
      <w:pPr>
        <w:pStyle w:val="FootnoteText"/>
        <w:spacing w:after="120"/>
      </w:pPr>
      <w:r>
        <w:rPr>
          <w:rStyle w:val="FootnoteReference"/>
        </w:rPr>
        <w:footnoteRef/>
      </w:r>
      <w:r>
        <w:t xml:space="preserve"> </w:t>
      </w:r>
      <w:r w:rsidRPr="004A44E0">
        <w:tab/>
      </w:r>
      <w:r w:rsidR="00E21DDD">
        <w:t>Eurostat, Unit E-4: Regional statistics and geographical information</w:t>
      </w:r>
    </w:p>
  </w:footnote>
  <w:footnote w:id="2">
    <w:p w:rsidR="007C1873" w:rsidRPr="008531CB" w:rsidRDefault="007C1873" w:rsidP="007C1873">
      <w:pPr>
        <w:pStyle w:val="FootnoteText"/>
      </w:pPr>
      <w:r>
        <w:rPr>
          <w:rStyle w:val="FootnoteReference"/>
        </w:rPr>
        <w:footnoteRef/>
      </w:r>
      <w:r>
        <w:t xml:space="preserve"> </w:t>
      </w:r>
      <w:r w:rsidRPr="008531CB">
        <w:t>http://ec.europa.eu/eurostat/web/gisco/overview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CC27D4E"/>
    <w:multiLevelType w:val="hybridMultilevel"/>
    <w:tmpl w:val="D888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3B7A782B"/>
    <w:multiLevelType w:val="hybridMultilevel"/>
    <w:tmpl w:val="97589790"/>
    <w:lvl w:ilvl="0" w:tplc="6FCA281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8C0FF8"/>
    <w:multiLevelType w:val="hybridMultilevel"/>
    <w:tmpl w:val="A0FC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661422"/>
    <w:multiLevelType w:val="hybridMultilevel"/>
    <w:tmpl w:val="FBF0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8"/>
  </w:num>
  <w:num w:numId="5">
    <w:abstractNumId w:val="9"/>
  </w:num>
  <w:num w:numId="6">
    <w:abstractNumId w:val="8"/>
  </w:num>
  <w:num w:numId="7">
    <w:abstractNumId w:val="5"/>
  </w:num>
  <w:num w:numId="8">
    <w:abstractNumId w:val="4"/>
  </w:num>
  <w:num w:numId="9">
    <w:abstractNumId w:val="19"/>
  </w:num>
  <w:num w:numId="10">
    <w:abstractNumId w:val="21"/>
  </w:num>
  <w:num w:numId="11">
    <w:abstractNumId w:val="20"/>
  </w:num>
  <w:num w:numId="12">
    <w:abstractNumId w:val="22"/>
  </w:num>
  <w:num w:numId="13">
    <w:abstractNumId w:val="7"/>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3"/>
  </w:num>
  <w:num w:numId="21">
    <w:abstractNumId w:val="11"/>
  </w:num>
  <w:num w:numId="22">
    <w:abstractNumId w:val="17"/>
  </w:num>
  <w:num w:numId="23">
    <w:abstractNumId w:val="6"/>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67AD3"/>
    <w:rsid w:val="00000D5A"/>
    <w:rsid w:val="000642A1"/>
    <w:rsid w:val="000B2B0D"/>
    <w:rsid w:val="00127067"/>
    <w:rsid w:val="001412A5"/>
    <w:rsid w:val="001B50CE"/>
    <w:rsid w:val="001C0775"/>
    <w:rsid w:val="001F4F95"/>
    <w:rsid w:val="002012A8"/>
    <w:rsid w:val="00243A2C"/>
    <w:rsid w:val="0025339B"/>
    <w:rsid w:val="002D479F"/>
    <w:rsid w:val="00320C24"/>
    <w:rsid w:val="00332D6F"/>
    <w:rsid w:val="00362432"/>
    <w:rsid w:val="003836CA"/>
    <w:rsid w:val="004065BE"/>
    <w:rsid w:val="00425F96"/>
    <w:rsid w:val="004855ED"/>
    <w:rsid w:val="00485B04"/>
    <w:rsid w:val="004A2E74"/>
    <w:rsid w:val="004A6127"/>
    <w:rsid w:val="004E6891"/>
    <w:rsid w:val="004E6CA2"/>
    <w:rsid w:val="00573E28"/>
    <w:rsid w:val="005B4EA5"/>
    <w:rsid w:val="00627565"/>
    <w:rsid w:val="00677665"/>
    <w:rsid w:val="006875D6"/>
    <w:rsid w:val="006A53F6"/>
    <w:rsid w:val="00726433"/>
    <w:rsid w:val="007479A6"/>
    <w:rsid w:val="007776DD"/>
    <w:rsid w:val="007805D9"/>
    <w:rsid w:val="00795621"/>
    <w:rsid w:val="00795A26"/>
    <w:rsid w:val="007C1873"/>
    <w:rsid w:val="008214E5"/>
    <w:rsid w:val="00881273"/>
    <w:rsid w:val="008847C3"/>
    <w:rsid w:val="008978C5"/>
    <w:rsid w:val="008A362E"/>
    <w:rsid w:val="008A75D0"/>
    <w:rsid w:val="008E6507"/>
    <w:rsid w:val="00923850"/>
    <w:rsid w:val="00925972"/>
    <w:rsid w:val="00974B12"/>
    <w:rsid w:val="009A41E5"/>
    <w:rsid w:val="009B4EE0"/>
    <w:rsid w:val="00A17E8C"/>
    <w:rsid w:val="00A37BEA"/>
    <w:rsid w:val="00A82C46"/>
    <w:rsid w:val="00A95093"/>
    <w:rsid w:val="00AB2DF4"/>
    <w:rsid w:val="00AD3263"/>
    <w:rsid w:val="00B9492F"/>
    <w:rsid w:val="00BC6AFE"/>
    <w:rsid w:val="00BD3047"/>
    <w:rsid w:val="00C16E3E"/>
    <w:rsid w:val="00C310C0"/>
    <w:rsid w:val="00CF25CB"/>
    <w:rsid w:val="00D009FB"/>
    <w:rsid w:val="00D24082"/>
    <w:rsid w:val="00D52EA1"/>
    <w:rsid w:val="00D67AD3"/>
    <w:rsid w:val="00DB5F80"/>
    <w:rsid w:val="00DB601E"/>
    <w:rsid w:val="00DE579F"/>
    <w:rsid w:val="00DF0190"/>
    <w:rsid w:val="00E06183"/>
    <w:rsid w:val="00E21DDD"/>
    <w:rsid w:val="00E95B66"/>
    <w:rsid w:val="00EC3DD6"/>
    <w:rsid w:val="00EE2781"/>
    <w:rsid w:val="00F4300D"/>
    <w:rsid w:val="00FC0645"/>
    <w:rsid w:val="00FD1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paragraph" w:styleId="ListParagraph">
    <w:name w:val="List Paragraph"/>
    <w:basedOn w:val="Normal"/>
    <w:uiPriority w:val="34"/>
    <w:qFormat/>
    <w:rsid w:val="002D479F"/>
    <w:pPr>
      <w:ind w:left="720"/>
      <w:contextualSpacing/>
    </w:pPr>
  </w:style>
  <w:style w:type="paragraph" w:customStyle="1" w:styleId="Default">
    <w:name w:val="Default"/>
    <w:rsid w:val="004E6CA2"/>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4A6127"/>
    <w:rPr>
      <w:b/>
      <w:bCs/>
    </w:rPr>
  </w:style>
  <w:style w:type="character" w:styleId="CommentReference">
    <w:name w:val="annotation reference"/>
    <w:basedOn w:val="DefaultParagraphFont"/>
    <w:uiPriority w:val="99"/>
    <w:semiHidden/>
    <w:unhideWhenUsed/>
    <w:rsid w:val="00726433"/>
    <w:rPr>
      <w:sz w:val="16"/>
      <w:szCs w:val="16"/>
    </w:rPr>
  </w:style>
  <w:style w:type="paragraph" w:styleId="CommentSubject">
    <w:name w:val="annotation subject"/>
    <w:basedOn w:val="CommentText"/>
    <w:next w:val="CommentText"/>
    <w:link w:val="CommentSubjectChar"/>
    <w:uiPriority w:val="99"/>
    <w:semiHidden/>
    <w:unhideWhenUsed/>
    <w:rsid w:val="00726433"/>
    <w:rPr>
      <w:b/>
      <w:bCs/>
    </w:rPr>
  </w:style>
  <w:style w:type="character" w:customStyle="1" w:styleId="CommentTextChar">
    <w:name w:val="Comment Text Char"/>
    <w:basedOn w:val="DefaultParagraphFont"/>
    <w:link w:val="CommentText"/>
    <w:semiHidden/>
    <w:rsid w:val="00726433"/>
    <w:rPr>
      <w:lang w:eastAsia="en-US"/>
    </w:rPr>
  </w:style>
  <w:style w:type="character" w:customStyle="1" w:styleId="CommentSubjectChar">
    <w:name w:val="Comment Subject Char"/>
    <w:basedOn w:val="CommentTextChar"/>
    <w:link w:val="CommentSubject"/>
    <w:uiPriority w:val="99"/>
    <w:semiHidden/>
    <w:rsid w:val="0072643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paragraph" w:styleId="ListParagraph">
    <w:name w:val="List Paragraph"/>
    <w:basedOn w:val="Normal"/>
    <w:uiPriority w:val="34"/>
    <w:qFormat/>
    <w:rsid w:val="002D479F"/>
    <w:pPr>
      <w:ind w:left="720"/>
      <w:contextualSpacing/>
    </w:pPr>
  </w:style>
  <w:style w:type="paragraph" w:customStyle="1" w:styleId="Default">
    <w:name w:val="Default"/>
    <w:rsid w:val="004E6CA2"/>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4A6127"/>
    <w:rPr>
      <w:b/>
      <w:bCs/>
    </w:rPr>
  </w:style>
  <w:style w:type="character" w:styleId="CommentReference">
    <w:name w:val="annotation reference"/>
    <w:basedOn w:val="DefaultParagraphFont"/>
    <w:uiPriority w:val="99"/>
    <w:semiHidden/>
    <w:unhideWhenUsed/>
    <w:rsid w:val="00726433"/>
    <w:rPr>
      <w:sz w:val="16"/>
      <w:szCs w:val="16"/>
    </w:rPr>
  </w:style>
  <w:style w:type="paragraph" w:styleId="CommentSubject">
    <w:name w:val="annotation subject"/>
    <w:basedOn w:val="CommentText"/>
    <w:next w:val="CommentText"/>
    <w:link w:val="CommentSubjectChar"/>
    <w:uiPriority w:val="99"/>
    <w:semiHidden/>
    <w:unhideWhenUsed/>
    <w:rsid w:val="00726433"/>
    <w:rPr>
      <w:b/>
      <w:bCs/>
    </w:rPr>
  </w:style>
  <w:style w:type="character" w:customStyle="1" w:styleId="CommentTextChar">
    <w:name w:val="Comment Text Char"/>
    <w:basedOn w:val="DefaultParagraphFont"/>
    <w:link w:val="CommentText"/>
    <w:semiHidden/>
    <w:rsid w:val="00726433"/>
    <w:rPr>
      <w:lang w:eastAsia="en-US"/>
    </w:rPr>
  </w:style>
  <w:style w:type="character" w:customStyle="1" w:styleId="CommentSubjectChar">
    <w:name w:val="Comment Subject Char"/>
    <w:basedOn w:val="CommentTextChar"/>
    <w:link w:val="CommentSubject"/>
    <w:uiPriority w:val="99"/>
    <w:semiHidden/>
    <w:rsid w:val="0072643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B579-9D37-4CA0-BDAB-CEFF631F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4</Pages>
  <Words>1414</Words>
  <Characters>8111</Characters>
  <Application>Microsoft Office Word</Application>
  <DocSecurity>0</DocSecurity>
  <PresentationFormat>Microsoft Word 14.0</PresentationFormat>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BRANDMUELLER Teodora (ESTAT)</cp:lastModifiedBy>
  <cp:revision>2</cp:revision>
  <dcterms:created xsi:type="dcterms:W3CDTF">2018-06-14T09:51:00Z</dcterms:created>
  <dcterms:modified xsi:type="dcterms:W3CDTF">2018-06-14T09:51:00Z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