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B3" w:rsidRDefault="001100B3" w:rsidP="00000D5A">
      <w:pPr>
        <w:jc w:val="center"/>
        <w:rPr>
          <w:rFonts w:ascii="Arial" w:hAnsi="Arial"/>
          <w:b/>
          <w:kern w:val="28"/>
          <w:sz w:val="32"/>
        </w:rPr>
      </w:pPr>
      <w:r w:rsidRPr="001100B3">
        <w:rPr>
          <w:rFonts w:ascii="Arial" w:hAnsi="Arial"/>
          <w:b/>
          <w:kern w:val="28"/>
          <w:sz w:val="32"/>
        </w:rPr>
        <w:t>Effects of attrition on longitudinal EU-LFS estimates</w:t>
      </w:r>
    </w:p>
    <w:p w:rsidR="00000D5A" w:rsidRPr="00161DB4" w:rsidRDefault="00161DB4" w:rsidP="00000D5A">
      <w:pPr>
        <w:jc w:val="center"/>
        <w:rPr>
          <w:color w:val="FF0000"/>
          <w:sz w:val="20"/>
          <w:u w:val="single"/>
          <w:lang w:val="sv-SE"/>
        </w:rPr>
      </w:pPr>
      <w:r w:rsidRPr="00161DB4">
        <w:rPr>
          <w:sz w:val="20"/>
          <w:lang w:val="sv-SE"/>
        </w:rPr>
        <w:t xml:space="preserve">Hannah </w:t>
      </w:r>
      <w:proofErr w:type="spellStart"/>
      <w:r w:rsidRPr="00161DB4">
        <w:rPr>
          <w:sz w:val="20"/>
          <w:lang w:val="sv-SE"/>
        </w:rPr>
        <w:t>Kiiver</w:t>
      </w:r>
      <w:proofErr w:type="spellEnd"/>
      <w:r w:rsidR="00000D5A" w:rsidRPr="00161DB4">
        <w:rPr>
          <w:sz w:val="20"/>
          <w:u w:val="single"/>
          <w:lang w:val="sv-SE"/>
        </w:rPr>
        <w:t xml:space="preserve"> (</w:t>
      </w:r>
      <w:hyperlink r:id="rId9" w:history="1">
        <w:r w:rsidRPr="009179EC">
          <w:rPr>
            <w:rStyle w:val="Hyperlink"/>
            <w:color w:val="auto"/>
            <w:sz w:val="20"/>
            <w:lang w:val="sv-SE"/>
          </w:rPr>
          <w:t>hannah.kiiver@ec.europa.eu</w:t>
        </w:r>
      </w:hyperlink>
      <w:r w:rsidR="00000D5A" w:rsidRPr="009179EC">
        <w:rPr>
          <w:sz w:val="20"/>
          <w:lang w:val="sv-SE"/>
        </w:rPr>
        <w:t>)</w:t>
      </w:r>
      <w:r w:rsidR="00000D5A" w:rsidRPr="009179EC">
        <w:rPr>
          <w:rStyle w:val="FootnoteReference"/>
          <w:sz w:val="20"/>
        </w:rPr>
        <w:footnoteReference w:id="1"/>
      </w:r>
    </w:p>
    <w:p w:rsidR="00000D5A" w:rsidRPr="00096831" w:rsidRDefault="00000D5A" w:rsidP="00000D5A">
      <w:r w:rsidRPr="00096831">
        <w:rPr>
          <w:b/>
          <w:u w:val="single"/>
        </w:rPr>
        <w:t>Keywords</w:t>
      </w:r>
      <w:r w:rsidRPr="00096831">
        <w:rPr>
          <w:b/>
        </w:rPr>
        <w:t>:</w:t>
      </w:r>
      <w:r w:rsidRPr="00096831">
        <w:t xml:space="preserve"> </w:t>
      </w:r>
      <w:r w:rsidR="00161DB4" w:rsidRPr="00096831">
        <w:t xml:space="preserve">labour market flows, </w:t>
      </w:r>
      <w:r w:rsidR="00F01192" w:rsidRPr="00096831">
        <w:t>longitudinal data, attrition bias</w:t>
      </w:r>
    </w:p>
    <w:p w:rsidR="002012A8" w:rsidRPr="00096831" w:rsidRDefault="002012A8" w:rsidP="002012A8">
      <w:pPr>
        <w:pStyle w:val="Heading1"/>
      </w:pPr>
      <w:r w:rsidRPr="00096831">
        <w:t>Introduction</w:t>
      </w:r>
    </w:p>
    <w:p w:rsidR="00D52EA1" w:rsidRPr="00096831" w:rsidRDefault="00F01192" w:rsidP="00D52EA1">
      <w:r w:rsidRPr="00096831">
        <w:t xml:space="preserve">All countries that deliver Labour Force Survey data to Eurostat make use of a rotational pattern that results in annual overlaps of data, and with the exception of Germany, also overlaps of quarterly data. Rotational patterns are generally used </w:t>
      </w:r>
      <w:r w:rsidR="00001732" w:rsidRPr="00096831">
        <w:t xml:space="preserve">in sample surveys </w:t>
      </w:r>
      <w:r w:rsidRPr="00096831">
        <w:t xml:space="preserve">to reduce the variances of estimators. </w:t>
      </w:r>
      <w:r w:rsidR="001100B3" w:rsidRPr="00096831">
        <w:t>For</w:t>
      </w:r>
      <w:r w:rsidRPr="00096831">
        <w:t xml:space="preserve"> the EU-L</w:t>
      </w:r>
      <w:r w:rsidR="00001732" w:rsidRPr="00096831">
        <w:t>abour Force Survey (LFS)</w:t>
      </w:r>
      <w:r w:rsidR="001100B3" w:rsidRPr="00096831">
        <w:t>, this</w:t>
      </w:r>
      <w:r w:rsidRPr="00096831">
        <w:t xml:space="preserve"> longitudinal feature can </w:t>
      </w:r>
      <w:r w:rsidR="001100B3" w:rsidRPr="00096831">
        <w:t xml:space="preserve">be exploited to produce </w:t>
      </w:r>
      <w:r w:rsidR="00F745C2" w:rsidRPr="00781921">
        <w:t xml:space="preserve">highly </w:t>
      </w:r>
      <w:r w:rsidR="00781921">
        <w:t>demanded</w:t>
      </w:r>
      <w:r w:rsidR="00F745C2">
        <w:t xml:space="preserve"> </w:t>
      </w:r>
      <w:r w:rsidR="00001732" w:rsidRPr="00096831">
        <w:t xml:space="preserve">estimates of </w:t>
      </w:r>
      <w:r w:rsidR="001100B3" w:rsidRPr="00096831">
        <w:t>labour market transition</w:t>
      </w:r>
      <w:r w:rsidR="00001732" w:rsidRPr="00096831">
        <w:t>s</w:t>
      </w:r>
      <w:r w:rsidR="00455B2F">
        <w:t xml:space="preserve"> between the status employed, unemployed and economically inactive</w:t>
      </w:r>
      <w:r w:rsidR="001100B3" w:rsidRPr="00096831">
        <w:t xml:space="preserve">. When defining the longitudinal sample, Eurostat has to rely on the available overlapping data; </w:t>
      </w:r>
      <w:r w:rsidR="00001732" w:rsidRPr="00096831">
        <w:t>this me</w:t>
      </w:r>
      <w:r w:rsidR="00E733C1">
        <w:t>ans, that</w:t>
      </w:r>
      <w:r w:rsidR="00001732" w:rsidRPr="00096831">
        <w:t xml:space="preserve"> </w:t>
      </w:r>
      <w:r w:rsidR="00E733C1">
        <w:t>i</w:t>
      </w:r>
      <w:r w:rsidR="00001732" w:rsidRPr="00096831">
        <w:t xml:space="preserve">nformation on individuals </w:t>
      </w:r>
      <w:r w:rsidR="00455B2F">
        <w:t>who drop out of the survey before completing all interviews is lost</w:t>
      </w:r>
      <w:r w:rsidR="00001732" w:rsidRPr="00096831">
        <w:t xml:space="preserve">. The individuals dropping out may have moved away, it may have been impossible to contact them, they may have refused to answer, or they may have died. Eurostat does not have information on the </w:t>
      </w:r>
      <w:r w:rsidR="00510A72" w:rsidRPr="00096831">
        <w:t xml:space="preserve">reason why individuals drop </w:t>
      </w:r>
      <w:proofErr w:type="spellStart"/>
      <w:r w:rsidR="00510A72" w:rsidRPr="00096831">
        <w:t>out</w:t>
      </w:r>
      <w:r w:rsidR="00455B2F">
        <w:t>,nor</w:t>
      </w:r>
      <w:proofErr w:type="spellEnd"/>
      <w:r w:rsidR="00001732" w:rsidRPr="00096831">
        <w:t xml:space="preserve"> </w:t>
      </w:r>
      <w:r w:rsidR="001100B3" w:rsidRPr="00096831">
        <w:t xml:space="preserve">the information that would be necessary to fill or estimate the </w:t>
      </w:r>
      <w:r w:rsidR="00510A72" w:rsidRPr="00096831">
        <w:t>missing labour market</w:t>
      </w:r>
      <w:r w:rsidR="001100B3" w:rsidRPr="00096831">
        <w:t xml:space="preserve"> </w:t>
      </w:r>
      <w:r w:rsidR="00510A72" w:rsidRPr="00096831">
        <w:t>data</w:t>
      </w:r>
      <w:r w:rsidR="001100B3" w:rsidRPr="00096831">
        <w:t xml:space="preserve"> for those individuals</w:t>
      </w:r>
      <w:r w:rsidR="00105B27" w:rsidRPr="00096831">
        <w:t xml:space="preserve">. </w:t>
      </w:r>
      <w:r w:rsidR="0036749F" w:rsidRPr="00096831">
        <w:t xml:space="preserve">If </w:t>
      </w:r>
      <w:r w:rsidR="00074318" w:rsidRPr="00096831">
        <w:t>those individuals that drop out are on average no different from those that stay in the sample, this attrition will only lead to less precise estimates. If</w:t>
      </w:r>
      <w:r w:rsidR="001F3E9D">
        <w:t>,</w:t>
      </w:r>
      <w:r w:rsidR="00074318" w:rsidRPr="00096831">
        <w:t xml:space="preserve"> however, these individuals differ with regard to their labour market status from</w:t>
      </w:r>
      <w:r w:rsidR="00510A72" w:rsidRPr="00096831">
        <w:t xml:space="preserve"> the remaining sample, estimates based on this sample would not be representative. In short,</w:t>
      </w:r>
      <w:r w:rsidR="00105B27" w:rsidRPr="00096831">
        <w:t xml:space="preserve"> transition statistics derived </w:t>
      </w:r>
      <w:r w:rsidR="00510A72" w:rsidRPr="00096831">
        <w:t>by Eurostat using LFS data</w:t>
      </w:r>
      <w:r w:rsidR="00105B27" w:rsidRPr="00096831">
        <w:t xml:space="preserve"> may </w:t>
      </w:r>
      <w:r w:rsidR="00510A72" w:rsidRPr="00096831">
        <w:t xml:space="preserve">possibly </w:t>
      </w:r>
      <w:r w:rsidR="00105B27" w:rsidRPr="00096831">
        <w:t xml:space="preserve">suffer from attrition bias. In this paper, simple binary regression is used to determine whether </w:t>
      </w:r>
      <w:r w:rsidR="00510A72" w:rsidRPr="00096831">
        <w:t xml:space="preserve">attrition bias may be a </w:t>
      </w:r>
      <w:r w:rsidR="00096831" w:rsidRPr="00096831">
        <w:t>problem, and</w:t>
      </w:r>
      <w:r w:rsidR="00105B27" w:rsidRPr="00096831">
        <w:t xml:space="preserve"> simple simulations</w:t>
      </w:r>
      <w:r w:rsidR="00096831" w:rsidRPr="00096831">
        <w:t xml:space="preserve"> are used</w:t>
      </w:r>
      <w:r w:rsidR="00105B27" w:rsidRPr="00096831">
        <w:t xml:space="preserve"> to estimate the </w:t>
      </w:r>
      <w:r w:rsidR="00A71B98" w:rsidRPr="00096831">
        <w:t>potential</w:t>
      </w:r>
      <w:r w:rsidR="00E733C1">
        <w:t xml:space="preserve"> size</w:t>
      </w:r>
      <w:r w:rsidR="00A71B98" w:rsidRPr="00096831">
        <w:t xml:space="preserve"> effect differential attrition might have on the estimates. </w:t>
      </w:r>
    </w:p>
    <w:p w:rsidR="00BC6AFE" w:rsidRDefault="00BC6AFE" w:rsidP="00BC6AFE">
      <w:pPr>
        <w:pStyle w:val="Heading1"/>
      </w:pPr>
      <w:r>
        <w:t>Methods</w:t>
      </w:r>
    </w:p>
    <w:p w:rsidR="00096831" w:rsidRDefault="001100B3" w:rsidP="001100B3">
      <w:pPr>
        <w:pStyle w:val="Text1"/>
        <w:ind w:left="0"/>
      </w:pPr>
      <w:r w:rsidRPr="001100B3">
        <w:t xml:space="preserve">There are in total </w:t>
      </w:r>
      <w:r>
        <w:t>7</w:t>
      </w:r>
      <w:r w:rsidRPr="001100B3">
        <w:t xml:space="preserve"> different rotation patterns in use in the EU-LFS at th</w:t>
      </w:r>
      <w:r>
        <w:t>e moment, such that c</w:t>
      </w:r>
      <w:r w:rsidRPr="001100B3">
        <w:t>omparable attrition measures can only be derived for attrition after one quarter as well as after one year.</w:t>
      </w:r>
      <w:r w:rsidR="00F81656">
        <w:t xml:space="preserve"> Table 1 gives an overview of the current situation, excluding Germany due to the missing quarterly overlap in its rotational pattern.</w:t>
      </w:r>
      <w:r w:rsidR="001D7363">
        <w:t xml:space="preserve"> In this table "in" refers to a quarter in which an interview </w:t>
      </w:r>
      <w:r w:rsidR="001F3E9D">
        <w:t xml:space="preserve">should </w:t>
      </w:r>
      <w:r w:rsidR="001D7363">
        <w:t xml:space="preserve">take place, "out" to a quarter where an individual is not </w:t>
      </w:r>
      <w:r w:rsidR="001F3E9D">
        <w:t xml:space="preserve">to be </w:t>
      </w:r>
      <w:r w:rsidR="001D7363">
        <w:t xml:space="preserve">interviewed. This means that the first pattern describes a situation where individuals are </w:t>
      </w:r>
      <w:r w:rsidR="001F3E9D">
        <w:t xml:space="preserve">to be </w:t>
      </w:r>
      <w:r w:rsidR="001D7363">
        <w:t>interviewed in two consecutive</w:t>
      </w:r>
      <w:r w:rsidR="009179EC">
        <w:t xml:space="preserve"> quarters</w:t>
      </w:r>
      <w:r w:rsidR="001D7363">
        <w:t xml:space="preserve">, than no interview takes place for two quarters, then </w:t>
      </w:r>
      <w:r w:rsidR="00E733C1">
        <w:t xml:space="preserve">the final two interviews are </w:t>
      </w:r>
      <w:r w:rsidR="001F3E9D">
        <w:t xml:space="preserve">to be </w:t>
      </w:r>
      <w:r w:rsidR="00E733C1">
        <w:t>conducted. Following the same logic, the second pattern refers to 5 consecutive quarterly interviews.</w:t>
      </w:r>
    </w:p>
    <w:p w:rsidR="00096831" w:rsidRPr="006A6F42" w:rsidRDefault="00096831" w:rsidP="00096831">
      <w:pPr>
        <w:pStyle w:val="Caption"/>
        <w:keepNext/>
        <w:rPr>
          <w:sz w:val="20"/>
        </w:rPr>
      </w:pPr>
      <w:r w:rsidRPr="006A6F42">
        <w:rPr>
          <w:sz w:val="20"/>
        </w:rPr>
        <w:t xml:space="preserve">Table </w:t>
      </w:r>
      <w:r w:rsidRPr="006A6F42">
        <w:rPr>
          <w:sz w:val="20"/>
        </w:rPr>
        <w:fldChar w:fldCharType="begin"/>
      </w:r>
      <w:r w:rsidRPr="006A6F42">
        <w:rPr>
          <w:sz w:val="20"/>
        </w:rPr>
        <w:instrText xml:space="preserve"> SEQ Table \* ARABIC </w:instrText>
      </w:r>
      <w:r w:rsidRPr="006A6F42">
        <w:rPr>
          <w:sz w:val="20"/>
        </w:rPr>
        <w:fldChar w:fldCharType="separate"/>
      </w:r>
      <w:r w:rsidRPr="006A6F42">
        <w:rPr>
          <w:noProof/>
          <w:sz w:val="20"/>
        </w:rPr>
        <w:t>1</w:t>
      </w:r>
      <w:r w:rsidRPr="006A6F42">
        <w:rPr>
          <w:sz w:val="20"/>
        </w:rPr>
        <w:fldChar w:fldCharType="end"/>
      </w:r>
      <w:r w:rsidRPr="006A6F42">
        <w:rPr>
          <w:sz w:val="20"/>
        </w:rPr>
        <w:t xml:space="preserve">: Overview of </w:t>
      </w:r>
      <w:r w:rsidR="00F81656">
        <w:rPr>
          <w:sz w:val="20"/>
        </w:rPr>
        <w:t>EU-</w:t>
      </w:r>
      <w:r w:rsidRPr="006A6F42">
        <w:rPr>
          <w:sz w:val="20"/>
        </w:rPr>
        <w:t>LFS rotational patterns</w:t>
      </w:r>
      <w:r w:rsidR="001F3E9D">
        <w:rPr>
          <w:sz w:val="20"/>
        </w:rPr>
        <w:t xml:space="preserve"> with quarterly overlap</w:t>
      </w:r>
    </w:p>
    <w:tbl>
      <w:tblPr>
        <w:tblStyle w:val="LightList"/>
        <w:tblW w:w="9506" w:type="dxa"/>
        <w:tblLook w:val="04A0" w:firstRow="1" w:lastRow="0" w:firstColumn="1" w:lastColumn="0" w:noHBand="0" w:noVBand="1"/>
      </w:tblPr>
      <w:tblGrid>
        <w:gridCol w:w="2518"/>
        <w:gridCol w:w="6988"/>
      </w:tblGrid>
      <w:tr w:rsidR="00096831" w:rsidRPr="00E733C1" w:rsidTr="00E733C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Rotational pattern</w:t>
            </w:r>
          </w:p>
        </w:tc>
        <w:tc>
          <w:tcPr>
            <w:tcW w:w="6988" w:type="dxa"/>
          </w:tcPr>
          <w:p w:rsidR="00096831" w:rsidRPr="00E733C1" w:rsidRDefault="00096831" w:rsidP="00096831">
            <w:pPr>
              <w:pStyle w:val="Text1"/>
              <w:ind w:right="-1988"/>
              <w:cnfStyle w:val="100000000000" w:firstRow="1" w:lastRow="0" w:firstColumn="0" w:lastColumn="0" w:oddVBand="0" w:evenVBand="0" w:oddHBand="0" w:evenHBand="0" w:firstRowFirstColumn="0" w:firstRowLastColumn="0" w:lastRowFirstColumn="0" w:lastRowLastColumn="0"/>
              <w:rPr>
                <w:sz w:val="18"/>
                <w:szCs w:val="18"/>
              </w:rPr>
            </w:pPr>
            <w:r w:rsidRPr="00E733C1">
              <w:rPr>
                <w:sz w:val="18"/>
                <w:szCs w:val="18"/>
              </w:rPr>
              <w:t>Country</w:t>
            </w:r>
          </w:p>
        </w:tc>
      </w:tr>
      <w:tr w:rsidR="00096831" w:rsidRPr="00E733C1" w:rsidTr="00E733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2 in 2 out 2 in</w:t>
            </w:r>
          </w:p>
        </w:tc>
        <w:tc>
          <w:tcPr>
            <w:tcW w:w="6988" w:type="dxa"/>
          </w:tcPr>
          <w:p w:rsidR="00096831" w:rsidRPr="00E733C1" w:rsidRDefault="00F81656" w:rsidP="00F81656">
            <w:pPr>
              <w:pStyle w:val="Text1"/>
              <w:cnfStyle w:val="000000100000" w:firstRow="0" w:lastRow="0" w:firstColumn="0" w:lastColumn="0" w:oddVBand="0" w:evenVBand="0" w:oddHBand="1" w:evenHBand="0" w:firstRowFirstColumn="0" w:firstRowLastColumn="0" w:lastRowFirstColumn="0" w:lastRowLastColumn="0"/>
              <w:rPr>
                <w:sz w:val="18"/>
                <w:szCs w:val="18"/>
              </w:rPr>
            </w:pPr>
            <w:r w:rsidRPr="00E733C1">
              <w:rPr>
                <w:b/>
                <w:bCs/>
                <w:sz w:val="18"/>
                <w:szCs w:val="18"/>
              </w:rPr>
              <w:t>BE,</w:t>
            </w:r>
            <w:r w:rsidR="00096831" w:rsidRPr="00E733C1">
              <w:rPr>
                <w:b/>
                <w:bCs/>
                <w:sz w:val="18"/>
                <w:szCs w:val="18"/>
              </w:rPr>
              <w:t>BG,DK,EE,HR,IT,LV,LT,MT,PL,RO,</w:t>
            </w:r>
            <w:r w:rsidRPr="00E733C1">
              <w:rPr>
                <w:b/>
                <w:bCs/>
                <w:sz w:val="18"/>
                <w:szCs w:val="18"/>
              </w:rPr>
              <w:t>CH</w:t>
            </w:r>
          </w:p>
        </w:tc>
      </w:tr>
      <w:tr w:rsidR="00096831" w:rsidRPr="00112910" w:rsidTr="00E733C1">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5 in</w:t>
            </w:r>
          </w:p>
        </w:tc>
        <w:tc>
          <w:tcPr>
            <w:tcW w:w="6988" w:type="dxa"/>
          </w:tcPr>
          <w:p w:rsidR="00096831" w:rsidRPr="00E733C1" w:rsidRDefault="00096831" w:rsidP="00096831">
            <w:pPr>
              <w:pStyle w:val="Text1"/>
              <w:cnfStyle w:val="000000000000" w:firstRow="0" w:lastRow="0" w:firstColumn="0" w:lastColumn="0" w:oddVBand="0" w:evenVBand="0" w:oddHBand="0" w:evenHBand="0" w:firstRowFirstColumn="0" w:firstRowLastColumn="0" w:lastRowFirstColumn="0" w:lastRowLastColumn="0"/>
              <w:rPr>
                <w:b/>
                <w:bCs/>
                <w:sz w:val="18"/>
                <w:szCs w:val="18"/>
                <w:lang w:val="da-DK"/>
              </w:rPr>
            </w:pPr>
            <w:r w:rsidRPr="00E733C1">
              <w:rPr>
                <w:b/>
                <w:bCs/>
                <w:sz w:val="18"/>
                <w:szCs w:val="18"/>
                <w:lang w:val="da-DK"/>
              </w:rPr>
              <w:t>CZ,IE,NL,AT,SK,UK,LU</w:t>
            </w:r>
          </w:p>
        </w:tc>
      </w:tr>
      <w:tr w:rsidR="00096831" w:rsidRPr="00112910" w:rsidTr="00E733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 xml:space="preserve">6 in </w:t>
            </w:r>
          </w:p>
        </w:tc>
        <w:tc>
          <w:tcPr>
            <w:tcW w:w="6988" w:type="dxa"/>
          </w:tcPr>
          <w:p w:rsidR="00096831" w:rsidRPr="00E733C1" w:rsidRDefault="00096831" w:rsidP="00096831">
            <w:pPr>
              <w:pStyle w:val="Text1"/>
              <w:cnfStyle w:val="000000100000" w:firstRow="0" w:lastRow="0" w:firstColumn="0" w:lastColumn="0" w:oddVBand="0" w:evenVBand="0" w:oddHBand="1" w:evenHBand="0" w:firstRowFirstColumn="0" w:firstRowLastColumn="0" w:lastRowFirstColumn="0" w:lastRowLastColumn="0"/>
              <w:rPr>
                <w:sz w:val="18"/>
                <w:szCs w:val="18"/>
                <w:lang w:val="es-ES"/>
              </w:rPr>
            </w:pPr>
            <w:r w:rsidRPr="00E733C1">
              <w:rPr>
                <w:b/>
                <w:bCs/>
                <w:sz w:val="18"/>
                <w:szCs w:val="18"/>
                <w:lang w:val="es-ES"/>
              </w:rPr>
              <w:t>EL,ES,FR,CY,HU,PT</w:t>
            </w:r>
          </w:p>
        </w:tc>
      </w:tr>
      <w:tr w:rsidR="00096831" w:rsidRPr="00E733C1" w:rsidTr="00E733C1">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8 in</w:t>
            </w:r>
          </w:p>
        </w:tc>
        <w:tc>
          <w:tcPr>
            <w:tcW w:w="6988" w:type="dxa"/>
          </w:tcPr>
          <w:p w:rsidR="00096831" w:rsidRPr="00E733C1" w:rsidRDefault="00096831" w:rsidP="00096831">
            <w:pPr>
              <w:pStyle w:val="Text1"/>
              <w:cnfStyle w:val="000000000000" w:firstRow="0" w:lastRow="0" w:firstColumn="0" w:lastColumn="0" w:oddVBand="0" w:evenVBand="0" w:oddHBand="0" w:evenHBand="0" w:firstRowFirstColumn="0" w:firstRowLastColumn="0" w:lastRowFirstColumn="0" w:lastRowLastColumn="0"/>
              <w:rPr>
                <w:sz w:val="18"/>
                <w:szCs w:val="18"/>
              </w:rPr>
            </w:pPr>
            <w:r w:rsidRPr="00E733C1">
              <w:rPr>
                <w:b/>
                <w:bCs/>
                <w:sz w:val="18"/>
                <w:szCs w:val="18"/>
              </w:rPr>
              <w:t>SE,NO</w:t>
            </w:r>
          </w:p>
        </w:tc>
      </w:tr>
      <w:tr w:rsidR="00096831" w:rsidRPr="00E733C1" w:rsidTr="00E733C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3 in 1 out 2 in</w:t>
            </w:r>
          </w:p>
        </w:tc>
        <w:tc>
          <w:tcPr>
            <w:tcW w:w="6988" w:type="dxa"/>
          </w:tcPr>
          <w:p w:rsidR="00096831" w:rsidRPr="00E733C1" w:rsidRDefault="00096831" w:rsidP="00096831">
            <w:pPr>
              <w:pStyle w:val="Text1"/>
              <w:cnfStyle w:val="000000100000" w:firstRow="0" w:lastRow="0" w:firstColumn="0" w:lastColumn="0" w:oddVBand="0" w:evenVBand="0" w:oddHBand="1" w:evenHBand="0" w:firstRowFirstColumn="0" w:firstRowLastColumn="0" w:lastRowFirstColumn="0" w:lastRowLastColumn="0"/>
              <w:rPr>
                <w:b/>
                <w:sz w:val="18"/>
                <w:szCs w:val="18"/>
              </w:rPr>
            </w:pPr>
            <w:r w:rsidRPr="00E733C1">
              <w:rPr>
                <w:b/>
                <w:sz w:val="18"/>
                <w:szCs w:val="18"/>
              </w:rPr>
              <w:t>SI,FI</w:t>
            </w:r>
          </w:p>
        </w:tc>
      </w:tr>
      <w:tr w:rsidR="00096831" w:rsidRPr="00E733C1" w:rsidTr="00E733C1">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rsidR="00096831" w:rsidRPr="00E733C1" w:rsidRDefault="00096831" w:rsidP="00096831">
            <w:pPr>
              <w:pStyle w:val="Text1"/>
              <w:rPr>
                <w:sz w:val="18"/>
                <w:szCs w:val="18"/>
              </w:rPr>
            </w:pPr>
            <w:r w:rsidRPr="00E733C1">
              <w:rPr>
                <w:sz w:val="18"/>
                <w:szCs w:val="18"/>
              </w:rPr>
              <w:t>3 in 2 out 2 in</w:t>
            </w:r>
          </w:p>
        </w:tc>
        <w:tc>
          <w:tcPr>
            <w:tcW w:w="6988" w:type="dxa"/>
          </w:tcPr>
          <w:p w:rsidR="00096831" w:rsidRPr="00E733C1" w:rsidRDefault="00096831" w:rsidP="00096831">
            <w:pPr>
              <w:pStyle w:val="Text1"/>
              <w:keepNext/>
              <w:cnfStyle w:val="000000000000" w:firstRow="0" w:lastRow="0" w:firstColumn="0" w:lastColumn="0" w:oddVBand="0" w:evenVBand="0" w:oddHBand="0" w:evenHBand="0" w:firstRowFirstColumn="0" w:firstRowLastColumn="0" w:lastRowFirstColumn="0" w:lastRowLastColumn="0"/>
              <w:rPr>
                <w:b/>
                <w:sz w:val="18"/>
                <w:szCs w:val="18"/>
              </w:rPr>
            </w:pPr>
            <w:r w:rsidRPr="00E733C1">
              <w:rPr>
                <w:b/>
                <w:sz w:val="18"/>
                <w:szCs w:val="18"/>
              </w:rPr>
              <w:t>IS</w:t>
            </w:r>
          </w:p>
        </w:tc>
      </w:tr>
    </w:tbl>
    <w:p w:rsidR="00F81656" w:rsidRDefault="00F81656" w:rsidP="001100B3">
      <w:pPr>
        <w:pStyle w:val="Text1"/>
        <w:ind w:left="0"/>
      </w:pPr>
    </w:p>
    <w:p w:rsidR="001100B3" w:rsidRPr="001100B3" w:rsidRDefault="00CD1C67" w:rsidP="001100B3">
      <w:pPr>
        <w:pStyle w:val="Text1"/>
        <w:ind w:left="0"/>
      </w:pPr>
      <w:r w:rsidRPr="00CD1C67">
        <w:t>The data used covers the years 2010 to 2017.</w:t>
      </w:r>
      <w:r>
        <w:t xml:space="preserve"> The quarterly attrition rate is defined</w:t>
      </w:r>
      <w:r w:rsidR="001100B3" w:rsidRPr="001100B3">
        <w:t xml:space="preserve"> as the share of individuals who answered the LFS in one wave and should have answered it in the next wave, but did not, expressed as % of initial answers.  For this paper, quarterly samples have been matched for each year, and the results are presented for quarterly averages for each year.</w:t>
      </w:r>
      <w:r w:rsidR="00E733C1">
        <w:t xml:space="preserve"> </w:t>
      </w:r>
    </w:p>
    <w:p w:rsidR="001100B3" w:rsidRDefault="001100B3" w:rsidP="001100B3">
      <w:pPr>
        <w:pStyle w:val="Text1"/>
        <w:ind w:left="0"/>
      </w:pPr>
      <w:r w:rsidRPr="001100B3">
        <w:t xml:space="preserve">Annual attrition rates refer to the share of individuals who answered the LFS in </w:t>
      </w:r>
      <w:r w:rsidR="006B0D63">
        <w:t>any one</w:t>
      </w:r>
      <w:r w:rsidRPr="001100B3">
        <w:t xml:space="preserve"> quarter of ye</w:t>
      </w:r>
      <w:r>
        <w:t>ar t, and should have answered</w:t>
      </w:r>
      <w:r w:rsidRPr="001100B3">
        <w:t xml:space="preserve"> in the same quarter of year t+1. Again, averages of these results are taken. </w:t>
      </w:r>
    </w:p>
    <w:p w:rsidR="001100B3" w:rsidRDefault="00A71B98" w:rsidP="007A39AC">
      <w:pPr>
        <w:pStyle w:val="Text1"/>
        <w:ind w:left="0"/>
      </w:pPr>
      <w:r>
        <w:t>In a second step, differential attrition</w:t>
      </w:r>
      <w:r w:rsidR="00725835">
        <w:t xml:space="preserve"> for quarterly as well as annual data</w:t>
      </w:r>
      <w:r>
        <w:t xml:space="preserve"> is determined by running logistic regression on the probability of staying in the sample.</w:t>
      </w:r>
      <w:r w:rsidR="00E733C1">
        <w:t xml:space="preserve"> </w:t>
      </w:r>
      <w:r w:rsidR="009520D6">
        <w:t>Since in some cases repeated observations of</w:t>
      </w:r>
      <w:r w:rsidR="006B0D63">
        <w:t xml:space="preserve"> the same individuals</w:t>
      </w:r>
      <w:r w:rsidR="009520D6">
        <w:t xml:space="preserve"> are part of the sample</w:t>
      </w:r>
      <w:r w:rsidR="006B0D63">
        <w:t xml:space="preserve">, </w:t>
      </w:r>
      <w:r w:rsidR="009520D6">
        <w:t>cluster</w:t>
      </w:r>
      <w:r w:rsidR="00A05E74">
        <w:t>-</w:t>
      </w:r>
      <w:r w:rsidR="009520D6">
        <w:t>robust standard errors are calculated.</w:t>
      </w:r>
      <w:r w:rsidR="006B0D63">
        <w:t xml:space="preserve"> </w:t>
      </w:r>
      <w:r>
        <w:t xml:space="preserve">The vector of </w:t>
      </w:r>
      <w:proofErr w:type="spellStart"/>
      <w:r>
        <w:t>regressors</w:t>
      </w:r>
      <w:proofErr w:type="spellEnd"/>
      <w:r>
        <w:t xml:space="preserve"> contains a number of variables that may be related to drop-out or refusals</w:t>
      </w:r>
      <w:r w:rsidR="00725835">
        <w:t xml:space="preserve">. Those </w:t>
      </w:r>
      <w:proofErr w:type="spellStart"/>
      <w:r w:rsidR="00725835">
        <w:t>regressors</w:t>
      </w:r>
      <w:proofErr w:type="spellEnd"/>
      <w:r w:rsidR="00A421DF">
        <w:t xml:space="preserve">, or groups defined by interaction of </w:t>
      </w:r>
      <w:proofErr w:type="spellStart"/>
      <w:r w:rsidR="00A421DF">
        <w:t>regressors</w:t>
      </w:r>
      <w:proofErr w:type="spellEnd"/>
      <w:r w:rsidR="00A421DF">
        <w:t>,</w:t>
      </w:r>
      <w:r w:rsidR="00725835">
        <w:t xml:space="preserve"> with significantly different odds in the probability to stay in the sample are identified, and the</w:t>
      </w:r>
      <w:r w:rsidR="00CD1C67">
        <w:t>ir</w:t>
      </w:r>
      <w:r w:rsidR="00725835">
        <w:t xml:space="preserve"> </w:t>
      </w:r>
      <w:r w:rsidR="0022579E">
        <w:t>share in the population is determined.</w:t>
      </w:r>
      <w:r w:rsidR="00A421DF">
        <w:t xml:space="preserve"> </w:t>
      </w:r>
    </w:p>
    <w:p w:rsidR="00CD1C67" w:rsidRPr="001100B3" w:rsidRDefault="0022579E" w:rsidP="007A39AC">
      <w:pPr>
        <w:pStyle w:val="Text1"/>
        <w:ind w:left="0"/>
      </w:pPr>
      <w:r>
        <w:t xml:space="preserve">Two simulations are run for each </w:t>
      </w:r>
      <w:r w:rsidR="00E6260E">
        <w:t xml:space="preserve">of these groups: one, where the labour market status in the target quarter is estimated based on the available data, and one, where the </w:t>
      </w:r>
      <w:r w:rsidR="000F3061">
        <w:t xml:space="preserve">extreme </w:t>
      </w:r>
      <w:r w:rsidR="00E6260E">
        <w:t xml:space="preserve">assumption </w:t>
      </w:r>
      <w:r w:rsidR="000F3061">
        <w:t>of one labour market status only is made</w:t>
      </w:r>
      <w:bookmarkStart w:id="0" w:name="_GoBack"/>
      <w:bookmarkEnd w:id="0"/>
      <w:r w:rsidR="000F3061">
        <w:t>. Transition rates for both of these scenarios are calculated.</w:t>
      </w:r>
      <w:r w:rsidR="00E6260E">
        <w:t xml:space="preserve"> </w:t>
      </w:r>
    </w:p>
    <w:p w:rsidR="00725835" w:rsidRDefault="00BC6AFE" w:rsidP="00BC6AFE">
      <w:pPr>
        <w:pStyle w:val="Heading1"/>
      </w:pPr>
      <w:r>
        <w:t>Results</w:t>
      </w:r>
    </w:p>
    <w:p w:rsidR="00A421DF" w:rsidRDefault="00A421DF" w:rsidP="00725835">
      <w:pPr>
        <w:pStyle w:val="Text1"/>
        <w:ind w:left="0"/>
      </w:pPr>
      <w:r>
        <w:t>--------------------Work is still ongoing, and results are not yet finalised---------------</w:t>
      </w:r>
    </w:p>
    <w:p w:rsidR="00096831" w:rsidRDefault="007A39AC" w:rsidP="00725835">
      <w:pPr>
        <w:pStyle w:val="Text1"/>
        <w:ind w:left="0"/>
      </w:pPr>
      <w:r>
        <w:t>Results vary strongly by country</w:t>
      </w:r>
      <w:r w:rsidR="00510A72">
        <w:t>, and for some countries between quarterly and annual attrition</w:t>
      </w:r>
      <w:r>
        <w:t xml:space="preserve">. </w:t>
      </w:r>
      <w:r w:rsidR="00510A72">
        <w:t>Figure 1 shows</w:t>
      </w:r>
      <w:r w:rsidR="00096831">
        <w:t xml:space="preserve"> the extent of average quarterly transition for 2016, and the average annual attrition for 2015-2016</w:t>
      </w:r>
      <w:r w:rsidR="001D7363">
        <w:t>, sorted by average quarterly attrition</w:t>
      </w:r>
      <w:r w:rsidR="008153B9">
        <w:t xml:space="preserve"> rate</w:t>
      </w:r>
      <w:r w:rsidR="00096831">
        <w:t xml:space="preserve">. </w:t>
      </w:r>
    </w:p>
    <w:p w:rsidR="001D7363" w:rsidRDefault="001D7363" w:rsidP="001D7363">
      <w:pPr>
        <w:pStyle w:val="Text1"/>
        <w:keepNext/>
        <w:ind w:left="0"/>
      </w:pPr>
      <w:r>
        <w:rPr>
          <w:noProof/>
          <w:lang w:eastAsia="en-GB"/>
        </w:rPr>
        <w:drawing>
          <wp:inline distT="0" distB="0" distL="0" distR="0" wp14:anchorId="4E1ED3B6" wp14:editId="0FACDC2A">
            <wp:extent cx="4415652" cy="3221720"/>
            <wp:effectExtent l="0" t="0" r="2349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6831" w:rsidRPr="001D7363" w:rsidRDefault="001D7363" w:rsidP="001D7363">
      <w:pPr>
        <w:pStyle w:val="Caption"/>
        <w:rPr>
          <w:sz w:val="20"/>
        </w:rPr>
      </w:pPr>
      <w:r w:rsidRPr="001D7363">
        <w:rPr>
          <w:sz w:val="20"/>
        </w:rPr>
        <w:t xml:space="preserve">Figure </w:t>
      </w:r>
      <w:r w:rsidRPr="001D7363">
        <w:rPr>
          <w:sz w:val="20"/>
        </w:rPr>
        <w:fldChar w:fldCharType="begin"/>
      </w:r>
      <w:r w:rsidRPr="001D7363">
        <w:rPr>
          <w:sz w:val="20"/>
        </w:rPr>
        <w:instrText xml:space="preserve"> SEQ Figure \* ARABIC </w:instrText>
      </w:r>
      <w:r w:rsidRPr="001D7363">
        <w:rPr>
          <w:sz w:val="20"/>
        </w:rPr>
        <w:fldChar w:fldCharType="separate"/>
      </w:r>
      <w:r w:rsidRPr="001D7363">
        <w:rPr>
          <w:noProof/>
          <w:sz w:val="20"/>
        </w:rPr>
        <w:t>1</w:t>
      </w:r>
      <w:r w:rsidRPr="001D7363">
        <w:rPr>
          <w:sz w:val="20"/>
        </w:rPr>
        <w:fldChar w:fldCharType="end"/>
      </w:r>
      <w:r w:rsidRPr="001D7363">
        <w:rPr>
          <w:sz w:val="20"/>
        </w:rPr>
        <w:t>: Average quarterly and annual attrition rates, 2015-2016, in %</w:t>
      </w:r>
    </w:p>
    <w:p w:rsidR="009179EC" w:rsidRDefault="001D7363" w:rsidP="009179EC">
      <w:pPr>
        <w:pStyle w:val="Text1"/>
        <w:ind w:left="0"/>
      </w:pPr>
      <w:r>
        <w:lastRenderedPageBreak/>
        <w:t>After running th</w:t>
      </w:r>
      <w:r w:rsidR="00655616">
        <w:t>e logistic regressions,</w:t>
      </w:r>
      <w:r w:rsidR="007A39AC">
        <w:t xml:space="preserve"> </w:t>
      </w:r>
      <w:r w:rsidR="008153B9">
        <w:t xml:space="preserve">for some countries </w:t>
      </w:r>
      <w:r w:rsidR="007A39AC">
        <w:t xml:space="preserve">there is little evidence of differential attrition to begin with. Other countries show sizeable differential attrition, but the concerned population groups are so small that overall transition rates are </w:t>
      </w:r>
      <w:r w:rsidR="00635EF7">
        <w:t>not</w:t>
      </w:r>
      <w:r w:rsidR="007A39AC">
        <w:t xml:space="preserve"> influenced</w:t>
      </w:r>
      <w:r w:rsidR="00635EF7">
        <w:t xml:space="preserve"> under either scenario</w:t>
      </w:r>
      <w:r w:rsidR="007A39AC">
        <w:t>.</w:t>
      </w:r>
      <w:r w:rsidR="00F21480">
        <w:t xml:space="preserve"> For the largest group of countries though, differential attrition can be found for a sizeable group of individuals. Simulation of the t</w:t>
      </w:r>
      <w:r w:rsidR="00635EF7">
        <w:t>wo</w:t>
      </w:r>
      <w:r w:rsidR="00F21480">
        <w:t xml:space="preserve"> scenarios shows that </w:t>
      </w:r>
      <w:r w:rsidR="00635EF7">
        <w:t xml:space="preserve">there generally is an impact on the flow estimates, but that the transition probabilities calculated in each of the scenarios </w:t>
      </w:r>
      <w:r w:rsidR="000F3061">
        <w:t xml:space="preserve">nevertheless </w:t>
      </w:r>
      <w:r w:rsidR="00635EF7">
        <w:t xml:space="preserve">rarely falls outside the confidence intervals of the original estimate. </w:t>
      </w:r>
    </w:p>
    <w:p w:rsidR="00BC6AFE" w:rsidRDefault="00BC6AFE" w:rsidP="00725835">
      <w:pPr>
        <w:pStyle w:val="Heading1"/>
      </w:pPr>
      <w:r>
        <w:t>Conclusions</w:t>
      </w:r>
    </w:p>
    <w:p w:rsidR="00BC6AFE" w:rsidRPr="001B50CE" w:rsidRDefault="009520D6" w:rsidP="000F3061">
      <w:pPr>
        <w:rPr>
          <w:highlight w:val="yellow"/>
        </w:rPr>
      </w:pPr>
      <w:r>
        <w:t xml:space="preserve">At this point in the analysis, there is evidence of </w:t>
      </w:r>
      <w:r w:rsidR="00635EF7">
        <w:t>some</w:t>
      </w:r>
      <w:r>
        <w:t xml:space="preserve"> differential attrition in a number of countries. </w:t>
      </w:r>
      <w:r w:rsidR="0022579E">
        <w:t>However,</w:t>
      </w:r>
      <w:r w:rsidR="000F3061">
        <w:t xml:space="preserve"> overall transition estimates are generally not biased in a significant way, and there is no evidence that transition estimates should or cannot be used due to attrition bias. This conclusion may differ for specific breakdowns of transition statistics, and the potential impact as well as strategies to correct for bias should be investigated.</w:t>
      </w:r>
    </w:p>
    <w:sectPr w:rsidR="00BC6AFE" w:rsidRPr="001B50CE"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D9" w:rsidRDefault="00EC6AD9" w:rsidP="00BC6AFE">
      <w:pPr>
        <w:spacing w:after="0"/>
      </w:pPr>
      <w:r>
        <w:separator/>
      </w:r>
    </w:p>
  </w:endnote>
  <w:endnote w:type="continuationSeparator" w:id="0">
    <w:p w:rsidR="00EC6AD9" w:rsidRDefault="00EC6AD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1129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D9" w:rsidRDefault="00EC6AD9" w:rsidP="00BC6AFE">
      <w:pPr>
        <w:spacing w:after="0"/>
      </w:pPr>
      <w:r>
        <w:separator/>
      </w:r>
    </w:p>
  </w:footnote>
  <w:footnote w:type="continuationSeparator" w:id="0">
    <w:p w:rsidR="00EC6AD9" w:rsidRDefault="00EC6AD9" w:rsidP="00BC6AFE">
      <w:pPr>
        <w:spacing w:after="0"/>
      </w:pPr>
      <w:r>
        <w:continuationSeparator/>
      </w:r>
    </w:p>
  </w:footnote>
  <w:footnote w:id="1">
    <w:p w:rsidR="00000D5A" w:rsidRPr="004A44E0" w:rsidRDefault="00000D5A" w:rsidP="00000D5A">
      <w:pPr>
        <w:pStyle w:val="FootnoteText"/>
        <w:spacing w:after="120"/>
      </w:pPr>
      <w:r>
        <w:rPr>
          <w:rStyle w:val="FootnoteReference"/>
        </w:rPr>
        <w:footnoteRef/>
      </w:r>
      <w:r>
        <w:t xml:space="preserve"> </w:t>
      </w:r>
      <w:r w:rsidRPr="004A44E0">
        <w:tab/>
      </w:r>
      <w:r w:rsidR="00161DB4">
        <w:t>European Commission, Eurostat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01732"/>
    <w:rsid w:val="000642A1"/>
    <w:rsid w:val="00074318"/>
    <w:rsid w:val="00096831"/>
    <w:rsid w:val="000B2B0D"/>
    <w:rsid w:val="000F3061"/>
    <w:rsid w:val="00105B27"/>
    <w:rsid w:val="001100B3"/>
    <w:rsid w:val="00112910"/>
    <w:rsid w:val="00127067"/>
    <w:rsid w:val="00161DB4"/>
    <w:rsid w:val="001B50CE"/>
    <w:rsid w:val="001D7363"/>
    <w:rsid w:val="001E3A58"/>
    <w:rsid w:val="001F3E9D"/>
    <w:rsid w:val="002012A8"/>
    <w:rsid w:val="0022579E"/>
    <w:rsid w:val="00243A2C"/>
    <w:rsid w:val="002C4A25"/>
    <w:rsid w:val="002C669B"/>
    <w:rsid w:val="00332D6F"/>
    <w:rsid w:val="0036749F"/>
    <w:rsid w:val="003836CA"/>
    <w:rsid w:val="00455B2F"/>
    <w:rsid w:val="00510A72"/>
    <w:rsid w:val="00573E28"/>
    <w:rsid w:val="00574718"/>
    <w:rsid w:val="005B4EA5"/>
    <w:rsid w:val="005F4413"/>
    <w:rsid w:val="00635EF7"/>
    <w:rsid w:val="00655616"/>
    <w:rsid w:val="006875D6"/>
    <w:rsid w:val="006A6F42"/>
    <w:rsid w:val="006B0D63"/>
    <w:rsid w:val="00725835"/>
    <w:rsid w:val="007479A6"/>
    <w:rsid w:val="00781921"/>
    <w:rsid w:val="007A39AC"/>
    <w:rsid w:val="008153B9"/>
    <w:rsid w:val="00881273"/>
    <w:rsid w:val="008847C3"/>
    <w:rsid w:val="008A75D0"/>
    <w:rsid w:val="009179EC"/>
    <w:rsid w:val="00923850"/>
    <w:rsid w:val="009520D6"/>
    <w:rsid w:val="009A41E5"/>
    <w:rsid w:val="009B4EE0"/>
    <w:rsid w:val="00A05E74"/>
    <w:rsid w:val="00A17E8C"/>
    <w:rsid w:val="00A421DF"/>
    <w:rsid w:val="00A71B98"/>
    <w:rsid w:val="00B9492F"/>
    <w:rsid w:val="00BC6AFE"/>
    <w:rsid w:val="00C16E3E"/>
    <w:rsid w:val="00CD1C67"/>
    <w:rsid w:val="00D24082"/>
    <w:rsid w:val="00D52EA1"/>
    <w:rsid w:val="00D67AD3"/>
    <w:rsid w:val="00DB601E"/>
    <w:rsid w:val="00E6260E"/>
    <w:rsid w:val="00E733C1"/>
    <w:rsid w:val="00EC6AD9"/>
    <w:rsid w:val="00F01192"/>
    <w:rsid w:val="00F21480"/>
    <w:rsid w:val="00F745C2"/>
    <w:rsid w:val="00F81656"/>
    <w:rsid w:val="00FB2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table" w:styleId="LightList">
    <w:name w:val="Light List"/>
    <w:basedOn w:val="TableNormal"/>
    <w:uiPriority w:val="61"/>
    <w:rsid w:val="0009683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655616"/>
    <w:rPr>
      <w:sz w:val="16"/>
      <w:szCs w:val="16"/>
    </w:rPr>
  </w:style>
  <w:style w:type="paragraph" w:styleId="CommentSubject">
    <w:name w:val="annotation subject"/>
    <w:basedOn w:val="CommentText"/>
    <w:next w:val="CommentText"/>
    <w:link w:val="CommentSubjectChar"/>
    <w:uiPriority w:val="99"/>
    <w:semiHidden/>
    <w:unhideWhenUsed/>
    <w:rsid w:val="00655616"/>
    <w:rPr>
      <w:b/>
      <w:bCs/>
    </w:rPr>
  </w:style>
  <w:style w:type="character" w:customStyle="1" w:styleId="CommentTextChar">
    <w:name w:val="Comment Text Char"/>
    <w:basedOn w:val="DefaultParagraphFont"/>
    <w:link w:val="CommentText"/>
    <w:semiHidden/>
    <w:rsid w:val="00655616"/>
    <w:rPr>
      <w:lang w:eastAsia="en-US"/>
    </w:rPr>
  </w:style>
  <w:style w:type="character" w:customStyle="1" w:styleId="CommentSubjectChar">
    <w:name w:val="Comment Subject Char"/>
    <w:basedOn w:val="CommentTextChar"/>
    <w:link w:val="CommentSubject"/>
    <w:uiPriority w:val="99"/>
    <w:semiHidden/>
    <w:rsid w:val="0065561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table" w:styleId="LightList">
    <w:name w:val="Light List"/>
    <w:basedOn w:val="TableNormal"/>
    <w:uiPriority w:val="61"/>
    <w:rsid w:val="0009683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655616"/>
    <w:rPr>
      <w:sz w:val="16"/>
      <w:szCs w:val="16"/>
    </w:rPr>
  </w:style>
  <w:style w:type="paragraph" w:styleId="CommentSubject">
    <w:name w:val="annotation subject"/>
    <w:basedOn w:val="CommentText"/>
    <w:next w:val="CommentText"/>
    <w:link w:val="CommentSubjectChar"/>
    <w:uiPriority w:val="99"/>
    <w:semiHidden/>
    <w:unhideWhenUsed/>
    <w:rsid w:val="00655616"/>
    <w:rPr>
      <w:b/>
      <w:bCs/>
    </w:rPr>
  </w:style>
  <w:style w:type="character" w:customStyle="1" w:styleId="CommentTextChar">
    <w:name w:val="Comment Text Char"/>
    <w:basedOn w:val="DefaultParagraphFont"/>
    <w:link w:val="CommentText"/>
    <w:semiHidden/>
    <w:rsid w:val="00655616"/>
    <w:rPr>
      <w:lang w:eastAsia="en-US"/>
    </w:rPr>
  </w:style>
  <w:style w:type="character" w:customStyle="1" w:styleId="CommentSubjectChar">
    <w:name w:val="Comment Subject Char"/>
    <w:basedOn w:val="CommentTextChar"/>
    <w:link w:val="CommentSubject"/>
    <w:uiPriority w:val="99"/>
    <w:semiHidden/>
    <w:rsid w:val="006556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hannah.kiiver@ec.europa.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92052072965222"/>
          <c:y val="2.7801985342206702E-2"/>
          <c:w val="0.85412684490784085"/>
          <c:h val="0.92904357124788717"/>
        </c:manualLayout>
      </c:layout>
      <c:barChart>
        <c:barDir val="bar"/>
        <c:grouping val="clustered"/>
        <c:varyColors val="0"/>
        <c:ser>
          <c:idx val="0"/>
          <c:order val="0"/>
          <c:tx>
            <c:strRef>
              <c:f>Sheet1!$E$33</c:f>
              <c:strCache>
                <c:ptCount val="1"/>
                <c:pt idx="0">
                  <c:v>average annual attrition rate</c:v>
                </c:pt>
              </c:strCache>
            </c:strRef>
          </c:tx>
          <c:invertIfNegative val="0"/>
          <c:dLbls>
            <c:dLbl>
              <c:idx val="24"/>
              <c:layout>
                <c:manualLayout>
                  <c:x val="-9.1996388679258315E-3"/>
                  <c:y val="-2.9521537239908281E-3"/>
                </c:manualLayout>
              </c:layout>
              <c:dLblPos val="outEnd"/>
              <c:showLegendKey val="0"/>
              <c:showVal val="1"/>
              <c:showCatName val="0"/>
              <c:showSerName val="0"/>
              <c:showPercent val="0"/>
              <c:showBubbleSize val="0"/>
            </c:dLbl>
            <c:numFmt formatCode="General" sourceLinked="0"/>
            <c:dLblPos val="inEnd"/>
            <c:showLegendKey val="0"/>
            <c:showVal val="1"/>
            <c:showCatName val="0"/>
            <c:showSerName val="0"/>
            <c:showPercent val="0"/>
            <c:showBubbleSize val="0"/>
            <c:showLeaderLines val="0"/>
          </c:dLbls>
          <c:cat>
            <c:strRef>
              <c:f>Sheet1!$D$34:$D$58</c:f>
              <c:strCache>
                <c:ptCount val="25"/>
                <c:pt idx="0">
                  <c:v>NL</c:v>
                </c:pt>
                <c:pt idx="1">
                  <c:v>DK</c:v>
                </c:pt>
                <c:pt idx="2">
                  <c:v>IE</c:v>
                </c:pt>
                <c:pt idx="3">
                  <c:v>MT</c:v>
                </c:pt>
                <c:pt idx="4">
                  <c:v>HR</c:v>
                </c:pt>
                <c:pt idx="5">
                  <c:v>SI</c:v>
                </c:pt>
                <c:pt idx="6">
                  <c:v>UK</c:v>
                </c:pt>
                <c:pt idx="7">
                  <c:v>IT</c:v>
                </c:pt>
                <c:pt idx="8">
                  <c:v>LV</c:v>
                </c:pt>
                <c:pt idx="9">
                  <c:v>SE</c:v>
                </c:pt>
                <c:pt idx="10">
                  <c:v>PT</c:v>
                </c:pt>
                <c:pt idx="11">
                  <c:v>EE</c:v>
                </c:pt>
                <c:pt idx="12">
                  <c:v>FR</c:v>
                </c:pt>
                <c:pt idx="13">
                  <c:v>FI</c:v>
                </c:pt>
                <c:pt idx="14">
                  <c:v>ES</c:v>
                </c:pt>
                <c:pt idx="15">
                  <c:v>LT</c:v>
                </c:pt>
                <c:pt idx="16">
                  <c:v>AT</c:v>
                </c:pt>
                <c:pt idx="17">
                  <c:v>PL</c:v>
                </c:pt>
                <c:pt idx="18">
                  <c:v>CZ</c:v>
                </c:pt>
                <c:pt idx="19">
                  <c:v>SK</c:v>
                </c:pt>
                <c:pt idx="20">
                  <c:v>CY</c:v>
                </c:pt>
                <c:pt idx="21">
                  <c:v>GR</c:v>
                </c:pt>
                <c:pt idx="22">
                  <c:v>BG</c:v>
                </c:pt>
                <c:pt idx="23">
                  <c:v>HU</c:v>
                </c:pt>
                <c:pt idx="24">
                  <c:v>RO</c:v>
                </c:pt>
              </c:strCache>
            </c:strRef>
          </c:cat>
          <c:val>
            <c:numRef>
              <c:f>Sheet1!$E$34:$E$58</c:f>
              <c:numCache>
                <c:formatCode>General</c:formatCode>
                <c:ptCount val="25"/>
                <c:pt idx="0">
                  <c:v>56.4</c:v>
                </c:pt>
                <c:pt idx="1">
                  <c:v>30.300000000000011</c:v>
                </c:pt>
                <c:pt idx="2">
                  <c:v>33.799999999999997</c:v>
                </c:pt>
                <c:pt idx="3">
                  <c:v>29.5</c:v>
                </c:pt>
                <c:pt idx="4">
                  <c:v>32.099999999999994</c:v>
                </c:pt>
                <c:pt idx="5">
                  <c:v>38</c:v>
                </c:pt>
                <c:pt idx="6">
                  <c:v>47.599999999999994</c:v>
                </c:pt>
                <c:pt idx="7">
                  <c:v>17.400000000000006</c:v>
                </c:pt>
                <c:pt idx="8">
                  <c:v>25.400000000000006</c:v>
                </c:pt>
                <c:pt idx="9">
                  <c:v>21.700000000000003</c:v>
                </c:pt>
                <c:pt idx="10">
                  <c:v>21.700000000000003</c:v>
                </c:pt>
                <c:pt idx="11">
                  <c:v>19.899999999999991</c:v>
                </c:pt>
                <c:pt idx="12">
                  <c:v>20.399999999999991</c:v>
                </c:pt>
                <c:pt idx="13">
                  <c:v>13.200000000000003</c:v>
                </c:pt>
                <c:pt idx="14">
                  <c:v>16.400000000000006</c:v>
                </c:pt>
                <c:pt idx="15">
                  <c:v>11</c:v>
                </c:pt>
                <c:pt idx="16">
                  <c:v>14.200000000000003</c:v>
                </c:pt>
                <c:pt idx="17">
                  <c:v>10.399999999999991</c:v>
                </c:pt>
                <c:pt idx="18">
                  <c:v>13.700000000000003</c:v>
                </c:pt>
                <c:pt idx="19">
                  <c:v>5.6000000000000085</c:v>
                </c:pt>
                <c:pt idx="20">
                  <c:v>10.900000000000006</c:v>
                </c:pt>
                <c:pt idx="21">
                  <c:v>10.799999999999997</c:v>
                </c:pt>
                <c:pt idx="22">
                  <c:v>7.5999999999999943</c:v>
                </c:pt>
                <c:pt idx="23">
                  <c:v>8.7999999999999972</c:v>
                </c:pt>
                <c:pt idx="24">
                  <c:v>3.6000000000000085</c:v>
                </c:pt>
              </c:numCache>
            </c:numRef>
          </c:val>
        </c:ser>
        <c:ser>
          <c:idx val="1"/>
          <c:order val="1"/>
          <c:tx>
            <c:strRef>
              <c:f>Sheet1!$F$33</c:f>
              <c:strCache>
                <c:ptCount val="1"/>
                <c:pt idx="0">
                  <c:v>average quarterly attrition rate</c:v>
                </c:pt>
              </c:strCache>
            </c:strRef>
          </c:tx>
          <c:spPr>
            <a:solidFill>
              <a:schemeClr val="accent2">
                <a:lumMod val="40000"/>
                <a:lumOff val="60000"/>
              </a:schemeClr>
            </a:solidFill>
          </c:spPr>
          <c:invertIfNegative val="0"/>
          <c:dLbls>
            <c:dLbl>
              <c:idx val="24"/>
              <c:layout>
                <c:manualLayout>
                  <c:x val="-2.1572323360953494E-2"/>
                  <c:y val="0"/>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Sheet1!$D$34:$D$58</c:f>
              <c:strCache>
                <c:ptCount val="25"/>
                <c:pt idx="0">
                  <c:v>NL</c:v>
                </c:pt>
                <c:pt idx="1">
                  <c:v>DK</c:v>
                </c:pt>
                <c:pt idx="2">
                  <c:v>IE</c:v>
                </c:pt>
                <c:pt idx="3">
                  <c:v>MT</c:v>
                </c:pt>
                <c:pt idx="4">
                  <c:v>HR</c:v>
                </c:pt>
                <c:pt idx="5">
                  <c:v>SI</c:v>
                </c:pt>
                <c:pt idx="6">
                  <c:v>UK</c:v>
                </c:pt>
                <c:pt idx="7">
                  <c:v>IT</c:v>
                </c:pt>
                <c:pt idx="8">
                  <c:v>LV</c:v>
                </c:pt>
                <c:pt idx="9">
                  <c:v>SE</c:v>
                </c:pt>
                <c:pt idx="10">
                  <c:v>PT</c:v>
                </c:pt>
                <c:pt idx="11">
                  <c:v>EE</c:v>
                </c:pt>
                <c:pt idx="12">
                  <c:v>FR</c:v>
                </c:pt>
                <c:pt idx="13">
                  <c:v>FI</c:v>
                </c:pt>
                <c:pt idx="14">
                  <c:v>ES</c:v>
                </c:pt>
                <c:pt idx="15">
                  <c:v>LT</c:v>
                </c:pt>
                <c:pt idx="16">
                  <c:v>AT</c:v>
                </c:pt>
                <c:pt idx="17">
                  <c:v>PL</c:v>
                </c:pt>
                <c:pt idx="18">
                  <c:v>CZ</c:v>
                </c:pt>
                <c:pt idx="19">
                  <c:v>SK</c:v>
                </c:pt>
                <c:pt idx="20">
                  <c:v>CY</c:v>
                </c:pt>
                <c:pt idx="21">
                  <c:v>GR</c:v>
                </c:pt>
                <c:pt idx="22">
                  <c:v>BG</c:v>
                </c:pt>
                <c:pt idx="23">
                  <c:v>HU</c:v>
                </c:pt>
                <c:pt idx="24">
                  <c:v>RO</c:v>
                </c:pt>
              </c:strCache>
            </c:strRef>
          </c:cat>
          <c:val>
            <c:numRef>
              <c:f>Sheet1!$F$34:$F$58</c:f>
              <c:numCache>
                <c:formatCode>General</c:formatCode>
                <c:ptCount val="25"/>
                <c:pt idx="0">
                  <c:v>25.400000000000006</c:v>
                </c:pt>
                <c:pt idx="1">
                  <c:v>25.400000000000006</c:v>
                </c:pt>
                <c:pt idx="2">
                  <c:v>19.799999999999997</c:v>
                </c:pt>
                <c:pt idx="3">
                  <c:v>19.5</c:v>
                </c:pt>
                <c:pt idx="4">
                  <c:v>17.300000000000011</c:v>
                </c:pt>
                <c:pt idx="5">
                  <c:v>16.900000000000006</c:v>
                </c:pt>
                <c:pt idx="6">
                  <c:v>16.600000000000009</c:v>
                </c:pt>
                <c:pt idx="7">
                  <c:v>13.200000000000003</c:v>
                </c:pt>
                <c:pt idx="8">
                  <c:v>12.099999999999994</c:v>
                </c:pt>
                <c:pt idx="9">
                  <c:v>11.799999999999997</c:v>
                </c:pt>
                <c:pt idx="10">
                  <c:v>11.599999999999994</c:v>
                </c:pt>
                <c:pt idx="11">
                  <c:v>11.400000000000006</c:v>
                </c:pt>
                <c:pt idx="12">
                  <c:v>10.299999999999997</c:v>
                </c:pt>
                <c:pt idx="13">
                  <c:v>8.3999999999999915</c:v>
                </c:pt>
                <c:pt idx="14">
                  <c:v>7</c:v>
                </c:pt>
                <c:pt idx="15">
                  <c:v>6.1000000000000085</c:v>
                </c:pt>
                <c:pt idx="16">
                  <c:v>5.3000000000000114</c:v>
                </c:pt>
                <c:pt idx="17">
                  <c:v>5.1000000000000085</c:v>
                </c:pt>
                <c:pt idx="18">
                  <c:v>4.2999999999999972</c:v>
                </c:pt>
                <c:pt idx="19">
                  <c:v>4.1000000000000085</c:v>
                </c:pt>
                <c:pt idx="20">
                  <c:v>3.4000000000000057</c:v>
                </c:pt>
                <c:pt idx="21">
                  <c:v>3.2999999999999972</c:v>
                </c:pt>
                <c:pt idx="22">
                  <c:v>2.9000000000000057</c:v>
                </c:pt>
                <c:pt idx="23">
                  <c:v>2.4000000000000057</c:v>
                </c:pt>
                <c:pt idx="24">
                  <c:v>1.7000000000000028</c:v>
                </c:pt>
              </c:numCache>
            </c:numRef>
          </c:val>
        </c:ser>
        <c:dLbls>
          <c:showLegendKey val="0"/>
          <c:showVal val="1"/>
          <c:showCatName val="0"/>
          <c:showSerName val="0"/>
          <c:showPercent val="0"/>
          <c:showBubbleSize val="0"/>
        </c:dLbls>
        <c:gapWidth val="75"/>
        <c:axId val="96031872"/>
        <c:axId val="96033408"/>
      </c:barChart>
      <c:catAx>
        <c:axId val="96031872"/>
        <c:scaling>
          <c:orientation val="minMax"/>
        </c:scaling>
        <c:delete val="0"/>
        <c:axPos val="l"/>
        <c:majorTickMark val="none"/>
        <c:minorTickMark val="none"/>
        <c:tickLblPos val="nextTo"/>
        <c:txPr>
          <a:bodyPr/>
          <a:lstStyle/>
          <a:p>
            <a:pPr>
              <a:defRPr sz="700"/>
            </a:pPr>
            <a:endParaRPr lang="en-US"/>
          </a:p>
        </c:txPr>
        <c:crossAx val="96033408"/>
        <c:crosses val="autoZero"/>
        <c:auto val="1"/>
        <c:lblAlgn val="ctr"/>
        <c:lblOffset val="100"/>
        <c:noMultiLvlLbl val="0"/>
      </c:catAx>
      <c:valAx>
        <c:axId val="96033408"/>
        <c:scaling>
          <c:orientation val="minMax"/>
        </c:scaling>
        <c:delete val="0"/>
        <c:axPos val="b"/>
        <c:numFmt formatCode="General" sourceLinked="1"/>
        <c:majorTickMark val="none"/>
        <c:minorTickMark val="none"/>
        <c:tickLblPos val="nextTo"/>
        <c:crossAx val="96031872"/>
        <c:crosses val="autoZero"/>
        <c:crossBetween val="between"/>
      </c:valAx>
    </c:plotArea>
    <c:legend>
      <c:legendPos val="b"/>
      <c:layout>
        <c:manualLayout>
          <c:xMode val="edge"/>
          <c:yMode val="edge"/>
          <c:x val="0.3741580253288011"/>
          <c:y val="0.32826144233082588"/>
          <c:w val="0.53095437538392809"/>
          <c:h val="0.1166570765705816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3 Population and social conditions">
    <a:dk1>
      <a:sysClr val="windowText" lastClr="000000"/>
    </a:dk1>
    <a:lt1>
      <a:sysClr val="window" lastClr="FFFFFF"/>
    </a:lt1>
    <a:dk2>
      <a:srgbClr val="1F497D"/>
    </a:dk2>
    <a:lt2>
      <a:srgbClr val="EEECE1"/>
    </a:lt2>
    <a:accent1>
      <a:srgbClr val="FAA519"/>
    </a:accent1>
    <a:accent2>
      <a:srgbClr val="286EB4"/>
    </a:accent2>
    <a:accent3>
      <a:srgbClr val="F06423"/>
    </a:accent3>
    <a:accent4>
      <a:srgbClr val="B9C31E"/>
    </a:accent4>
    <a:accent5>
      <a:srgbClr val="5FB441"/>
    </a:accent5>
    <a:accent6>
      <a:srgbClr val="32AFAF"/>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1FEC-AF66-4434-A17B-7F4ECA9E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TotalTime>
  <Pages>3</Pages>
  <Words>950</Words>
  <Characters>5180</Characters>
  <Application>Microsoft Office Word</Application>
  <DocSecurity>0</DocSecurity>
  <PresentationFormat>Microsoft Word 14.0</PresentationFormat>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KIIVER Hannah (ESTAT)</cp:lastModifiedBy>
  <cp:revision>3</cp:revision>
  <dcterms:created xsi:type="dcterms:W3CDTF">2018-05-23T13:02:00Z</dcterms:created>
  <dcterms:modified xsi:type="dcterms:W3CDTF">2018-05-23T13:03:00Z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