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CE" w:rsidRPr="003F3BBE" w:rsidRDefault="00B9647E" w:rsidP="00822494">
      <w:pPr>
        <w:pStyle w:val="Titel"/>
        <w:spacing w:before="0" w:after="240"/>
      </w:pPr>
      <w:r w:rsidRPr="003F3BBE">
        <w:t>Experimental leading indicator for turnover development from advance VAT returns</w:t>
      </w:r>
    </w:p>
    <w:p w:rsidR="00243A2C" w:rsidRPr="003F3BBE" w:rsidRDefault="00243A2C" w:rsidP="00243A2C">
      <w:r w:rsidRPr="003F3BBE">
        <w:rPr>
          <w:b/>
          <w:u w:val="single"/>
        </w:rPr>
        <w:t>Keywords</w:t>
      </w:r>
      <w:r w:rsidRPr="003F3BBE">
        <w:rPr>
          <w:b/>
        </w:rPr>
        <w:t>:</w:t>
      </w:r>
      <w:r w:rsidRPr="003F3BBE">
        <w:t xml:space="preserve"> </w:t>
      </w:r>
      <w:r w:rsidR="00B9647E" w:rsidRPr="003F3BBE">
        <w:t>administrative data, short-term statistics, advance VAT returns, turnover index</w:t>
      </w:r>
    </w:p>
    <w:p w:rsidR="002012A8" w:rsidRPr="003F3BBE" w:rsidRDefault="002012A8" w:rsidP="002012A8">
      <w:pPr>
        <w:pStyle w:val="berschrift1"/>
      </w:pPr>
      <w:r w:rsidRPr="003F3BBE">
        <w:t>Introduction</w:t>
      </w:r>
    </w:p>
    <w:p w:rsidR="00B9647E" w:rsidRPr="003F3BBE" w:rsidRDefault="00B9647E" w:rsidP="00F26754">
      <w:pPr>
        <w:spacing w:after="120"/>
      </w:pPr>
      <w:r w:rsidRPr="003F3BBE">
        <w:t xml:space="preserve">In times of crisis such as the current corona pandemic, the need for up-to-date statistical data (nowcasts) for early assessment of the resulting economic impact is particularly high. Against this background, a new experimental early indicator for the economic development of the </w:t>
      </w:r>
      <w:r w:rsidR="001C1AE2" w:rsidRPr="003F3BBE">
        <w:t>“</w:t>
      </w:r>
      <w:r w:rsidRPr="003F3BBE">
        <w:t>non-financial business economy</w:t>
      </w:r>
      <w:r w:rsidR="001C1AE2" w:rsidRPr="003F3BBE">
        <w:t>”</w:t>
      </w:r>
      <w:r w:rsidR="001C1AE2" w:rsidRPr="003F3BBE">
        <w:rPr>
          <w:rStyle w:val="Funotenzeichen"/>
        </w:rPr>
        <w:footnoteReference w:id="1"/>
      </w:r>
      <w:r w:rsidRPr="003F3BBE">
        <w:t xml:space="preserve"> was developed building on advance VAT returns. This indicator enables early statements on the development of turnover in the “n</w:t>
      </w:r>
      <w:r w:rsidR="001C1AE2" w:rsidRPr="003F3BBE">
        <w:t>on-financial business economy”</w:t>
      </w:r>
      <w:r w:rsidRPr="003F3BBE">
        <w:t xml:space="preserve"> in Germany before the official results from the surveys by economic sector are available. </w:t>
      </w:r>
    </w:p>
    <w:p w:rsidR="00B9647E" w:rsidRPr="003F3BBE" w:rsidRDefault="00B9647E" w:rsidP="00F26754">
      <w:pPr>
        <w:spacing w:after="120"/>
      </w:pPr>
      <w:r w:rsidRPr="003F3BBE">
        <w:t>As part of the advance VAT return, companies must report their monthly or quarterly sales to the tax authorities. The Federal Statistical Office can employ this turnover data. Previously, data on advance VAT returns were only used at the Federal Statistical Office to supplement primary surveys by means of micro-linkage. The new leading indicator for the development of turnover expands the scope of application of advance VAT returns in several respects. For the first time, the data will be evaluated for the entire non-financial business economy. In contrast to previous short-term statistics purposes, this is a purely administrative data evaluation. No information f</w:t>
      </w:r>
      <w:r w:rsidR="001C1AE2" w:rsidRPr="003F3BBE">
        <w:t>rom primary surveys is included</w:t>
      </w:r>
      <w:r w:rsidR="001C1AE2" w:rsidRPr="003F3BBE">
        <w:rPr>
          <w:rStyle w:val="Funotenzeichen"/>
        </w:rPr>
        <w:footnoteReference w:id="2"/>
      </w:r>
      <w:r w:rsidRPr="003F3BBE">
        <w:t>. The advance VAT returns are available with a time-lag of less than 30 days after the end of the month. At this point in time, the advance VAT returns are not yet available in full, but by using suitable methods they can be used as a meaningful indicator. The evaluations in this form are new and therefore experimental in nature.</w:t>
      </w:r>
    </w:p>
    <w:p w:rsidR="00D52EA1" w:rsidRPr="003F3BBE" w:rsidRDefault="00B9647E" w:rsidP="00D52EA1">
      <w:r w:rsidRPr="003F3BBE">
        <w:t>This contribution first explains the special features of the data source. Afterwards, it deals with important methodological aspects for the preparation, evaluation and seasonal adjustment of the data. Finally, an assessment of the quality of the indicator is provided.</w:t>
      </w:r>
    </w:p>
    <w:p w:rsidR="00BC6AFE" w:rsidRPr="003F3BBE" w:rsidRDefault="00BC6AFE" w:rsidP="00BC6AFE">
      <w:pPr>
        <w:pStyle w:val="berschrift1"/>
      </w:pPr>
      <w:r w:rsidRPr="003F3BBE">
        <w:t>Methods</w:t>
      </w:r>
    </w:p>
    <w:p w:rsidR="00BC6AFE" w:rsidRPr="003F3BBE" w:rsidRDefault="00D04EAD" w:rsidP="00F26754">
      <w:pPr>
        <w:pStyle w:val="berschrift2"/>
        <w:tabs>
          <w:tab w:val="num" w:pos="482"/>
        </w:tabs>
        <w:spacing w:after="120"/>
        <w:ind w:left="482" w:hanging="482"/>
      </w:pPr>
      <w:r w:rsidRPr="003F3BBE">
        <w:t>Data source: advanced VAT returns</w:t>
      </w:r>
    </w:p>
    <w:p w:rsidR="00D04EAD" w:rsidRPr="003F3BBE" w:rsidRDefault="00D04EAD" w:rsidP="00F26754">
      <w:pPr>
        <w:spacing w:after="120"/>
      </w:pPr>
      <w:r w:rsidRPr="003F3BBE">
        <w:t>Companies are obliged to submit monthly or quarterly reports on their taxable turnover and to pay the VAT incurred to the tax office. The advance VAT returns must be submitted to the tax authorities no later than ten days after the end of the reporting period. A permanent extension of the deadline</w:t>
      </w:r>
      <w:r w:rsidR="00661525">
        <w:t xml:space="preserve"> </w:t>
      </w:r>
      <w:r w:rsidRPr="003F3BBE">
        <w:t>- this is requested by around 70% of those required to submit advance returns (with a turnover share of over 80%) - extends the submission deadline by one month. Once a month, usually on the seventh working day before the end of the month, the tax authorities transmit all newly submitted advance VAT returns</w:t>
      </w:r>
      <w:r w:rsidR="00661525" w:rsidRPr="00661525">
        <w:t xml:space="preserve"> </w:t>
      </w:r>
      <w:r w:rsidR="00661525" w:rsidRPr="003F3BBE">
        <w:t>to the official statistics</w:t>
      </w:r>
      <w:r w:rsidRPr="003F3BBE">
        <w:t xml:space="preserve">. The April delivery for the reporting period March, for example, then mainly includes the advance returns of companies without a permanent extension of the deadline. As a rule, around 20 to 25 % of sales are then available for the current month. The data situation is therefore still quite incomplete for evaluations with a timeliness of </w:t>
      </w:r>
      <w:r w:rsidRPr="003F3BBE">
        <w:lastRenderedPageBreak/>
        <w:t>less than 30 days after the end of the reporting month. In the further course of the text, the term t+30 values is used for the current values.</w:t>
      </w:r>
    </w:p>
    <w:p w:rsidR="00D52EA1" w:rsidRPr="003F3BBE" w:rsidRDefault="00D04EAD" w:rsidP="00D04EAD">
      <w:r w:rsidRPr="003F3BBE">
        <w:t xml:space="preserve">When the companies with a long-term extension submit their March reports with the subsequent delivery in May, the data for the reporting month of March </w:t>
      </w:r>
      <w:r w:rsidR="00DD25C2">
        <w:t xml:space="preserve">is </w:t>
      </w:r>
      <w:r w:rsidRPr="003F3BBE">
        <w:t>almost complete (about 95 %). Thus, data are reliable for evaluation if they are up-to-date for around 60 days (hereinafter referred to as t+60 values). As the waiting period increases, the completeness of the data for a reporting month increases further until, after six months, the data can be considered complete.</w:t>
      </w:r>
    </w:p>
    <w:p w:rsidR="001B50CE" w:rsidRPr="003F3BBE" w:rsidRDefault="00D04EAD" w:rsidP="00F26754">
      <w:pPr>
        <w:pStyle w:val="berschrift2"/>
        <w:tabs>
          <w:tab w:val="num" w:pos="482"/>
        </w:tabs>
        <w:spacing w:after="120"/>
        <w:ind w:left="482" w:hanging="482"/>
      </w:pPr>
      <w:r w:rsidRPr="003F3BBE">
        <w:t>Data basis: unadjusted rates month-on-month rates</w:t>
      </w:r>
    </w:p>
    <w:p w:rsidR="00D04EAD" w:rsidRPr="003F3BBE" w:rsidRDefault="00D04EAD" w:rsidP="00F26754">
      <w:pPr>
        <w:spacing w:after="120"/>
      </w:pPr>
      <w:r w:rsidRPr="003F3BBE">
        <w:t xml:space="preserve">The first step in evaluating the monthly advance </w:t>
      </w:r>
      <w:r w:rsidR="00661525">
        <w:t>VAT</w:t>
      </w:r>
      <w:r w:rsidRPr="003F3BBE">
        <w:t xml:space="preserve"> returns is to determine the individual, as yet unadjusted rates of change compared with the previous month for this period. To calculate the unadjusted rates of change from the previous month, the values for the respective reporting month and the corresponding previous month are required, whereby the waiting period for the previous month value is one month longer. In April, for example, the current rate of change from March to February is determined using the data for March (t+30 values) and for February (t+60 values) - hereinafter referred to as MoM 30/60. At the same time in April the rate of change from February to January (MoM 60/90) is determined on the basis the values for February (t+60) and January (t+90) with then more complete data basis than still in March (at that time MoM 30/60). </w:t>
      </w:r>
    </w:p>
    <w:p w:rsidR="00BC6AFE" w:rsidRPr="003F3BBE" w:rsidRDefault="00D04EAD" w:rsidP="00C449C8">
      <w:pPr>
        <w:spacing w:after="120"/>
      </w:pPr>
      <w:r w:rsidRPr="003F3BBE">
        <w:t>If one compares the MoM 30/60 with the MoM 60/90</w:t>
      </w:r>
      <w:r w:rsidR="00661525">
        <w:t xml:space="preserve"> for the same reporting month</w:t>
      </w:r>
      <w:r w:rsidRPr="003F3BBE">
        <w:t xml:space="preserve">, the unadjusted month-on-month rates for the different </w:t>
      </w:r>
      <w:r w:rsidR="00661525">
        <w:t>waiting</w:t>
      </w:r>
      <w:r w:rsidRPr="003F3BBE">
        <w:t xml:space="preserve"> times show a high degree of agreement despite the relatively low degree of coverage of the t+30 </w:t>
      </w:r>
      <w:r w:rsidR="00661525">
        <w:t>submission</w:t>
      </w:r>
      <w:r w:rsidRPr="003F3BBE">
        <w:t xml:space="preserve"> (Chart 1). However, </w:t>
      </w:r>
      <w:r w:rsidR="00661525">
        <w:t>the</w:t>
      </w:r>
      <w:r w:rsidRPr="003F3BBE">
        <w:t xml:space="preserve"> MoM 30/60 </w:t>
      </w:r>
      <w:r w:rsidR="00661525">
        <w:t>are</w:t>
      </w:r>
      <w:r w:rsidRPr="003F3BBE">
        <w:t xml:space="preserve"> on average 0.27 percentage points lower than MoM 60/90 over the period January 2015 to March 2020. Thus, the MoM 30/60 are subject to a systematic downward bias. The mean absolute deviation between the two month-on-month rates is 0.86 percentage points. The differences between MoM 30/60 and 60/90 arise because the early submitting companies are not always representat</w:t>
      </w:r>
      <w:r w:rsidRPr="003F3BBE">
        <w:t>ive of the overall development.</w:t>
      </w:r>
    </w:p>
    <w:p w:rsidR="008847C3" w:rsidRPr="003F3BBE" w:rsidRDefault="005B2255" w:rsidP="006A17DE">
      <w:pPr>
        <w:pStyle w:val="Text1"/>
        <w:spacing w:after="120"/>
      </w:pPr>
      <w:r w:rsidRPr="00CA2319">
        <w:rPr>
          <w:noProof/>
          <w:sz w:val="22"/>
          <w:szCs w:val="22"/>
        </w:rPr>
        <w:drawing>
          <wp:inline distT="0" distB="0" distL="0" distR="0" wp14:anchorId="003913F5" wp14:editId="28BF3B74">
            <wp:extent cx="5210175" cy="1562100"/>
            <wp:effectExtent l="0" t="0" r="9525"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41E5" w:rsidRDefault="008847C3" w:rsidP="009123C6">
      <w:pPr>
        <w:pStyle w:val="Beschriftung"/>
      </w:pPr>
      <w:r w:rsidRPr="003F3BBE">
        <w:t xml:space="preserve">Figure </w:t>
      </w:r>
      <w:r w:rsidRPr="003F3BBE">
        <w:fldChar w:fldCharType="begin"/>
      </w:r>
      <w:r w:rsidRPr="003F3BBE">
        <w:instrText xml:space="preserve"> SEQ Figure \* ARABIC </w:instrText>
      </w:r>
      <w:r w:rsidRPr="003F3BBE">
        <w:fldChar w:fldCharType="separate"/>
      </w:r>
      <w:r w:rsidR="00DA22A9">
        <w:rPr>
          <w:noProof/>
        </w:rPr>
        <w:t>1</w:t>
      </w:r>
      <w:r w:rsidRPr="003F3BBE">
        <w:fldChar w:fldCharType="end"/>
      </w:r>
      <w:r w:rsidRPr="003F3BBE">
        <w:t xml:space="preserve">. </w:t>
      </w:r>
      <w:r w:rsidR="005B2255" w:rsidRPr="005B2255">
        <w:t>Month-on-month rates for the non-financial business economy in %</w:t>
      </w:r>
    </w:p>
    <w:p w:rsidR="003F3BBE" w:rsidRPr="003F3BBE" w:rsidRDefault="009123C6" w:rsidP="003F3BBE">
      <w:pPr>
        <w:pStyle w:val="berschrift1"/>
      </w:pPr>
      <w:r>
        <w:t>Results</w:t>
      </w:r>
    </w:p>
    <w:p w:rsidR="003F3BBE" w:rsidRPr="003F3BBE" w:rsidRDefault="003F3BBE" w:rsidP="00F26754">
      <w:pPr>
        <w:pStyle w:val="berschrift2"/>
        <w:tabs>
          <w:tab w:val="clear" w:pos="2301"/>
        </w:tabs>
        <w:spacing w:after="120"/>
        <w:ind w:left="426" w:hanging="426"/>
        <w:jc w:val="left"/>
        <w:rPr>
          <w:lang w:eastAsia="de-DE"/>
        </w:rPr>
      </w:pPr>
      <w:r w:rsidRPr="003F3BBE">
        <w:rPr>
          <w:lang w:eastAsia="de-DE"/>
        </w:rPr>
        <w:t>Index calculation, estimation and seasonal adjustment</w:t>
      </w:r>
    </w:p>
    <w:p w:rsidR="003F3BBE" w:rsidRPr="003F3BBE" w:rsidRDefault="003F3BBE" w:rsidP="00F26754">
      <w:pPr>
        <w:spacing w:after="0"/>
        <w:rPr>
          <w:lang w:eastAsia="de-DE"/>
        </w:rPr>
      </w:pPr>
      <w:r w:rsidRPr="003F3BBE">
        <w:rPr>
          <w:lang w:eastAsia="de-DE"/>
        </w:rPr>
        <w:t xml:space="preserve">The unadjusted month-on-month rates show a pronounced seasonal pattern. Seasonal and calendar adjustments are required to interpret the data in a cyclical statistical manner. This ensures comparability with the other established economic indicators of the Federal Statistical Office. Since seasonal adjustment methods are tailored to indices, indices need to be calculated from the month-on-month rates. </w:t>
      </w:r>
    </w:p>
    <w:p w:rsidR="003F3BBE" w:rsidRDefault="003F3BBE" w:rsidP="003F3BBE">
      <w:pPr>
        <w:rPr>
          <w:lang w:eastAsia="de-DE"/>
        </w:rPr>
      </w:pPr>
      <w:r w:rsidRPr="003F3BBE">
        <w:rPr>
          <w:lang w:eastAsia="de-DE"/>
        </w:rPr>
        <w:t xml:space="preserve">To understand the differences between the indices 30/60 and 60/90, their time series components are compared on a monthly bases over the years (Chart 2). The breakdown </w:t>
      </w:r>
      <w:r w:rsidRPr="003F3BBE">
        <w:rPr>
          <w:lang w:eastAsia="de-DE"/>
        </w:rPr>
        <w:lastRenderedPageBreak/>
        <w:t>into components is done using the seasonal adjustment method X13 (Linz at all, 2018). Due to the differences in the mean growth rates (see above), the trend components increasingly move away from each other after the base year. The seasonal pattern deviates visible from each other, especially in the months of January and December. It is therefore advisable to subject the two series to calendar and seasonal adjustment separately.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08"/>
        <w:gridCol w:w="4309"/>
      </w:tblGrid>
      <w:tr w:rsidR="002912CF" w:rsidRPr="002912CF" w:rsidTr="001231D6">
        <w:tc>
          <w:tcPr>
            <w:tcW w:w="4531" w:type="dxa"/>
          </w:tcPr>
          <w:p w:rsidR="002912CF" w:rsidRPr="002912CF" w:rsidRDefault="002912CF" w:rsidP="00C43B5A">
            <w:pPr>
              <w:tabs>
                <w:tab w:val="left" w:pos="425"/>
              </w:tabs>
              <w:suppressAutoHyphens/>
              <w:spacing w:after="0" w:line="360" w:lineRule="auto"/>
              <w:rPr>
                <w:rFonts w:ascii="MetaNormalLF-Roman" w:hAnsi="MetaNormalLF-Roman"/>
                <w:sz w:val="22"/>
                <w:szCs w:val="22"/>
                <w:lang w:val="de-DE" w:eastAsia="de-DE"/>
              </w:rPr>
            </w:pPr>
            <w:r w:rsidRPr="002912CF">
              <w:rPr>
                <w:rFonts w:ascii="MetaNormalLF-Roman" w:hAnsi="MetaNormalLF-Roman"/>
                <w:noProof/>
                <w:sz w:val="22"/>
                <w:szCs w:val="22"/>
                <w:lang w:val="de-DE" w:eastAsia="de-DE"/>
              </w:rPr>
              <w:drawing>
                <wp:inline distT="0" distB="0" distL="0" distR="0" wp14:anchorId="1A3617A2" wp14:editId="28356729">
                  <wp:extent cx="2706370" cy="1400175"/>
                  <wp:effectExtent l="0" t="0" r="17780" b="952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31" w:type="dxa"/>
          </w:tcPr>
          <w:p w:rsidR="002912CF" w:rsidRPr="002912CF" w:rsidRDefault="002912CF" w:rsidP="00C43B5A">
            <w:pPr>
              <w:tabs>
                <w:tab w:val="left" w:pos="425"/>
              </w:tabs>
              <w:suppressAutoHyphens/>
              <w:spacing w:after="0" w:line="360" w:lineRule="auto"/>
              <w:rPr>
                <w:rFonts w:ascii="MetaNormalLF-Roman" w:hAnsi="MetaNormalLF-Roman"/>
                <w:sz w:val="22"/>
                <w:szCs w:val="22"/>
                <w:lang w:val="de-DE" w:eastAsia="de-DE"/>
              </w:rPr>
            </w:pPr>
            <w:r w:rsidRPr="002912CF">
              <w:rPr>
                <w:rFonts w:ascii="MetaNormalLF-Roman" w:hAnsi="MetaNormalLF-Roman"/>
                <w:noProof/>
                <w:sz w:val="22"/>
                <w:szCs w:val="22"/>
                <w:lang w:val="de-DE" w:eastAsia="de-DE"/>
              </w:rPr>
              <w:drawing>
                <wp:inline distT="0" distB="0" distL="0" distR="0" wp14:anchorId="23C36A69" wp14:editId="1AD601CF">
                  <wp:extent cx="2706370" cy="1400175"/>
                  <wp:effectExtent l="0" t="0" r="17780" b="9525"/>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912CF" w:rsidRPr="002912CF" w:rsidTr="001231D6">
        <w:tc>
          <w:tcPr>
            <w:tcW w:w="4531" w:type="dxa"/>
          </w:tcPr>
          <w:p w:rsidR="002912CF" w:rsidRPr="002912CF" w:rsidRDefault="002912CF" w:rsidP="00C43B5A">
            <w:pPr>
              <w:tabs>
                <w:tab w:val="left" w:pos="425"/>
              </w:tabs>
              <w:suppressAutoHyphens/>
              <w:spacing w:after="0" w:line="360" w:lineRule="auto"/>
              <w:rPr>
                <w:rFonts w:ascii="MetaNormalLF-Roman" w:hAnsi="MetaNormalLF-Roman"/>
                <w:sz w:val="22"/>
                <w:szCs w:val="22"/>
                <w:lang w:val="de-DE" w:eastAsia="de-DE"/>
              </w:rPr>
            </w:pPr>
            <w:r w:rsidRPr="002912CF">
              <w:rPr>
                <w:rFonts w:ascii="MetaNormalLF-Roman" w:hAnsi="MetaNormalLF-Roman"/>
                <w:noProof/>
                <w:sz w:val="22"/>
                <w:szCs w:val="22"/>
                <w:lang w:val="de-DE" w:eastAsia="de-DE"/>
              </w:rPr>
              <w:drawing>
                <wp:inline distT="0" distB="0" distL="0" distR="0" wp14:anchorId="1F101680" wp14:editId="473BFE19">
                  <wp:extent cx="2706370" cy="1447800"/>
                  <wp:effectExtent l="0" t="0" r="1778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531" w:type="dxa"/>
          </w:tcPr>
          <w:p w:rsidR="002912CF" w:rsidRPr="002912CF" w:rsidRDefault="002912CF" w:rsidP="00C43B5A">
            <w:pPr>
              <w:keepNext/>
              <w:tabs>
                <w:tab w:val="left" w:pos="425"/>
              </w:tabs>
              <w:suppressAutoHyphens/>
              <w:spacing w:after="0" w:line="360" w:lineRule="auto"/>
              <w:rPr>
                <w:rFonts w:ascii="MetaNormalLF-Roman" w:hAnsi="MetaNormalLF-Roman"/>
                <w:sz w:val="22"/>
                <w:szCs w:val="22"/>
                <w:lang w:val="de-DE" w:eastAsia="de-DE"/>
              </w:rPr>
            </w:pPr>
            <w:r w:rsidRPr="002912CF">
              <w:rPr>
                <w:rFonts w:ascii="MetaNormalLF-Roman" w:hAnsi="MetaNormalLF-Roman"/>
                <w:noProof/>
                <w:sz w:val="22"/>
                <w:szCs w:val="22"/>
                <w:lang w:val="de-DE" w:eastAsia="de-DE"/>
              </w:rPr>
              <w:drawing>
                <wp:inline distT="0" distB="0" distL="0" distR="0" wp14:anchorId="638FD780" wp14:editId="204B4236">
                  <wp:extent cx="2706370" cy="1447800"/>
                  <wp:effectExtent l="0" t="0" r="1778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912CF" w:rsidRPr="002912CF" w:rsidTr="001231D6">
        <w:trPr>
          <w:trHeight w:val="113"/>
        </w:trPr>
        <w:tc>
          <w:tcPr>
            <w:tcW w:w="9062" w:type="dxa"/>
            <w:gridSpan w:val="2"/>
          </w:tcPr>
          <w:p w:rsidR="002912CF" w:rsidRPr="002912CF" w:rsidRDefault="00645461" w:rsidP="00645461">
            <w:pPr>
              <w:keepNext/>
              <w:tabs>
                <w:tab w:val="left" w:pos="425"/>
              </w:tabs>
              <w:suppressAutoHyphens/>
              <w:spacing w:after="0" w:line="360" w:lineRule="auto"/>
              <w:jc w:val="left"/>
              <w:rPr>
                <w:rFonts w:ascii="MetaNormalLF-Roman" w:hAnsi="MetaNormalLF-Roman"/>
                <w:noProof/>
                <w:color w:val="FFFFFF" w:themeColor="background1"/>
                <w:sz w:val="8"/>
                <w:szCs w:val="22"/>
                <w:lang w:val="de-DE"/>
                <w14:textFill>
                  <w14:noFill/>
                </w14:textFill>
              </w:rPr>
            </w:pPr>
            <w:r w:rsidRPr="00645461">
              <w:rPr>
                <w:rFonts w:ascii="MetaNormalLF-Roman" w:hAnsi="MetaNormalLF-Roman"/>
                <w:noProof/>
                <w:color w:val="FFFFFF" w:themeColor="background1"/>
                <w:sz w:val="8"/>
                <w:szCs w:val="22"/>
                <w:lang w:val="de-DE"/>
                <w14:textFill>
                  <w14:noFill/>
                </w14:textFill>
              </w:rPr>
              <mc:AlternateContent>
                <mc:Choice Requires="wps">
                  <w:drawing>
                    <wp:anchor distT="0" distB="0" distL="114300" distR="114300" simplePos="0" relativeHeight="251660288" behindDoc="1" locked="0" layoutInCell="1" allowOverlap="1">
                      <wp:simplePos x="0" y="0"/>
                      <wp:positionH relativeFrom="column">
                        <wp:posOffset>2290445</wp:posOffset>
                      </wp:positionH>
                      <wp:positionV relativeFrom="paragraph">
                        <wp:posOffset>0</wp:posOffset>
                      </wp:positionV>
                      <wp:extent cx="2266950" cy="2762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76225"/>
                              </a:xfrm>
                              <a:prstGeom prst="rect">
                                <a:avLst/>
                              </a:prstGeom>
                              <a:noFill/>
                              <a:ln w="9525">
                                <a:noFill/>
                                <a:miter lim="800000"/>
                                <a:headEnd/>
                                <a:tailEnd/>
                              </a:ln>
                            </wps:spPr>
                            <wps:txbx>
                              <w:txbxContent>
                                <w:sdt>
                                  <w:sdtPr>
                                    <w:rPr>
                                      <w:rFonts w:asciiTheme="minorHAnsi" w:hAnsiTheme="minorHAnsi" w:cstheme="minorHAnsi"/>
                                      <w:sz w:val="20"/>
                                    </w:rPr>
                                    <w:id w:val="568603642"/>
                                    <w:temporary/>
                                    <w15:appearance w15:val="hidden"/>
                                  </w:sdtPr>
                                  <w:sdtContent>
                                    <w:p w:rsidR="00645461" w:rsidRPr="00645461" w:rsidRDefault="00645461" w:rsidP="00645461">
                                      <w:pPr>
                                        <w:rPr>
                                          <w:rFonts w:asciiTheme="minorHAnsi" w:hAnsiTheme="minorHAnsi" w:cstheme="minorHAnsi"/>
                                          <w:sz w:val="20"/>
                                          <w:lang w:val="de-DE"/>
                                        </w:rPr>
                                      </w:pPr>
                                      <w:r w:rsidRPr="00645461">
                                        <w:rPr>
                                          <w:rFonts w:asciiTheme="minorHAnsi" w:hAnsiTheme="minorHAnsi" w:cstheme="minorHAnsi"/>
                                          <w:sz w:val="20"/>
                                        </w:rPr>
                                        <w:t>by month, years 2015 - 2019/2020</w:t>
                                      </w:r>
                                    </w:p>
                                  </w:sdtContent>
                                </w:sdt>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0.35pt;margin-top:0;width:178.5pt;height:21.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" filled="f" stroked="f">
                      <v:textbox>
                        <w:txbxContent>
                          <w:sdt>
                            <w:sdtPr>
                              <w:rPr>
                                <w:rFonts w:asciiTheme="minorHAnsi" w:hAnsiTheme="minorHAnsi" w:cstheme="minorHAnsi"/>
                                <w:sz w:val="20"/>
                              </w:rPr>
                              <w:id w:val="568603642"/>
                              <w:temporary/>
                              <w15:appearance w15:val="hidden"/>
                            </w:sdtPr>
                            <w:sdtContent>
                              <w:p w:rsidR="00645461" w:rsidRPr="00645461" w:rsidRDefault="00645461" w:rsidP="00645461">
                                <w:pPr>
                                  <w:rPr>
                                    <w:rFonts w:asciiTheme="minorHAnsi" w:hAnsiTheme="minorHAnsi" w:cstheme="minorHAnsi"/>
                                    <w:sz w:val="20"/>
                                    <w:lang w:val="de-DE"/>
                                  </w:rPr>
                                </w:pPr>
                                <w:r w:rsidRPr="00645461">
                                  <w:rPr>
                                    <w:rFonts w:asciiTheme="minorHAnsi" w:hAnsiTheme="minorHAnsi" w:cstheme="minorHAnsi"/>
                                    <w:sz w:val="20"/>
                                  </w:rPr>
                                  <w:t>by month, years 2015 - 2019/2020</w:t>
                                </w:r>
                              </w:p>
                            </w:sdtContent>
                          </w:sdt>
                        </w:txbxContent>
                      </v:textbox>
                    </v:shape>
                  </w:pict>
                </mc:Fallback>
              </mc:AlternateContent>
            </w:r>
            <w:r w:rsidR="002912CF" w:rsidRPr="002912CF">
              <w:rPr>
                <w:rFonts w:ascii="MetaNormalLF-Roman" w:hAnsi="MetaNormalLF-Roman"/>
                <w:noProof/>
                <w:color w:val="FFFFFF" w:themeColor="background1"/>
                <w:sz w:val="22"/>
                <w:szCs w:val="22"/>
                <w:lang w:val="de-DE" w:eastAsia="de-DE"/>
                <w14:textFill>
                  <w14:noFill/>
                </w14:textFill>
              </w:rPr>
              <w:drawing>
                <wp:inline distT="0" distB="0" distL="0" distR="0" wp14:anchorId="0237DD00" wp14:editId="3425F223">
                  <wp:extent cx="2076450" cy="23812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76450" cy="238125"/>
                          </a:xfrm>
                          <a:prstGeom prst="rect">
                            <a:avLst/>
                          </a:prstGeom>
                        </pic:spPr>
                      </pic:pic>
                    </a:graphicData>
                  </a:graphic>
                </wp:inline>
              </w:drawing>
            </w:r>
          </w:p>
        </w:tc>
      </w:tr>
    </w:tbl>
    <w:p w:rsidR="002912CF" w:rsidRPr="003F3BBE" w:rsidRDefault="002912CF" w:rsidP="00DA22A9">
      <w:pPr>
        <w:pStyle w:val="Beschriftung"/>
        <w:spacing w:before="0"/>
        <w:rPr>
          <w:lang w:eastAsia="de-DE"/>
        </w:rPr>
      </w:pPr>
      <w:r>
        <w:t xml:space="preserve">Figure </w:t>
      </w:r>
      <w:r>
        <w:fldChar w:fldCharType="begin"/>
      </w:r>
      <w:r>
        <w:instrText xml:space="preserve"> SEQ Figure \* ARABIC </w:instrText>
      </w:r>
      <w:r>
        <w:fldChar w:fldCharType="separate"/>
      </w:r>
      <w:r w:rsidR="00DA22A9">
        <w:rPr>
          <w:noProof/>
        </w:rPr>
        <w:t>2</w:t>
      </w:r>
      <w:r>
        <w:fldChar w:fldCharType="end"/>
      </w:r>
      <w:r>
        <w:t xml:space="preserve">. </w:t>
      </w:r>
      <w:r w:rsidRPr="002912CF">
        <w:t xml:space="preserve">Time series components for the </w:t>
      </w:r>
      <w:r w:rsidR="00645461">
        <w:t>non-financial business economy</w:t>
      </w:r>
    </w:p>
    <w:p w:rsidR="003F3BBE" w:rsidRPr="003F3BBE" w:rsidRDefault="003F3BBE" w:rsidP="00F26754">
      <w:pPr>
        <w:spacing w:after="120"/>
        <w:rPr>
          <w:lang w:eastAsia="de-DE"/>
        </w:rPr>
      </w:pPr>
      <w:r w:rsidRPr="003F3BBE">
        <w:rPr>
          <w:lang w:eastAsia="de-DE"/>
        </w:rPr>
        <w:t>The final leading indicator is composed of the index 60/90 for the period from the first to the penultimate reference month and an estimated index value for the current reference month.</w:t>
      </w:r>
      <w:r w:rsidR="00567D4E">
        <w:rPr>
          <w:lang w:eastAsia="de-DE"/>
        </w:rPr>
        <w:t xml:space="preserve"> </w:t>
      </w:r>
      <w:r w:rsidRPr="003F3BBE">
        <w:rPr>
          <w:lang w:eastAsia="de-DE"/>
        </w:rPr>
        <w:t xml:space="preserve">In order to be able to make an early statement on the economic development, the index 30/60 is used to calculate the value for the current reference month, as data with a longer waiting period is not yet available. Since the 30/60 values are systematically distorted, the current value </w:t>
      </w:r>
      <w:r w:rsidR="00743F85">
        <w:rPr>
          <w:lang w:eastAsia="de-DE"/>
        </w:rPr>
        <w:t xml:space="preserve">of the 30/60 index </w:t>
      </w:r>
      <w:bookmarkStart w:id="0" w:name="_GoBack"/>
      <w:bookmarkEnd w:id="0"/>
      <w:r w:rsidRPr="003F3BBE">
        <w:rPr>
          <w:lang w:eastAsia="de-DE"/>
        </w:rPr>
        <w:t xml:space="preserve">is corrected by the extent of this distortion. To this end, the 30/60 index value for the current month is divided by the seasonal, calendar and trend factors of the index 30/60 and multiplied by the </w:t>
      </w:r>
      <w:r w:rsidR="00645461">
        <w:rPr>
          <w:lang w:eastAsia="de-DE"/>
        </w:rPr>
        <w:t>corresponding factors of 60/90.</w:t>
      </w:r>
    </w:p>
    <w:p w:rsidR="009123C6" w:rsidRDefault="003F3BBE" w:rsidP="00D52EA1">
      <w:r w:rsidRPr="003F3BBE">
        <w:rPr>
          <w:lang w:eastAsia="de-DE"/>
        </w:rPr>
        <w:t xml:space="preserve">For the adjustment of the final experimental turnover index, the calendar and seasonal factors of the index 60/90 are used. The forecasted factors are used at the current edge. </w:t>
      </w:r>
      <w:r w:rsidR="009123C6" w:rsidRPr="003F3BBE">
        <w:t>The calendar- and seasonally adjusted leading indicator of turnover development for the non-financial business economy is shown in Chart 3 as a value index. When interpreting the results, it should be borne in mind that the index has not been price-adjusted.</w:t>
      </w:r>
    </w:p>
    <w:p w:rsidR="008F7553" w:rsidRDefault="00DA22A9" w:rsidP="006A17DE">
      <w:pPr>
        <w:keepNext/>
        <w:spacing w:after="0"/>
      </w:pPr>
      <w:r>
        <w:rPr>
          <w:noProof/>
        </w:rPr>
        <mc:AlternateContent>
          <mc:Choice Requires="wps">
            <w:drawing>
              <wp:anchor distT="45720" distB="45720" distL="114300" distR="114300" simplePos="0" relativeHeight="251659264" behindDoc="0" locked="0" layoutInCell="1" allowOverlap="1">
                <wp:simplePos x="0" y="0"/>
                <wp:positionH relativeFrom="column">
                  <wp:posOffset>238760</wp:posOffset>
                </wp:positionH>
                <wp:positionV relativeFrom="paragraph">
                  <wp:posOffset>127635</wp:posOffset>
                </wp:positionV>
                <wp:extent cx="2943225" cy="2476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47650"/>
                        </a:xfrm>
                        <a:prstGeom prst="rect">
                          <a:avLst/>
                        </a:prstGeom>
                        <a:noFill/>
                        <a:ln w="9525">
                          <a:noFill/>
                          <a:miter lim="800000"/>
                          <a:headEnd/>
                          <a:tailEnd/>
                        </a:ln>
                      </wps:spPr>
                      <wps:txbx>
                        <w:txbxContent>
                          <w:p w:rsidR="00F26754" w:rsidRPr="007C36DC" w:rsidRDefault="00F26754">
                            <w:pPr>
                              <w:rPr>
                                <w:rFonts w:asciiTheme="minorHAnsi" w:hAnsiTheme="minorHAnsi" w:cstheme="minorHAnsi"/>
                                <w:sz w:val="20"/>
                                <w:lang w:val="de-DE"/>
                              </w:rPr>
                            </w:pPr>
                            <w:r w:rsidRPr="007C36DC">
                              <w:rPr>
                                <w:rFonts w:asciiTheme="minorHAnsi" w:hAnsiTheme="minorHAnsi" w:cstheme="minorHAnsi"/>
                                <w:sz w:val="20"/>
                              </w:rPr>
                              <w:t>calendar and seasonally adjusted, 2015=100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8pt;margin-top:10.05pt;width:231.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" filled="f" stroked="f">
                <v:textbox>
                  <w:txbxContent>
                    <w:p w:rsidR="00F26754" w:rsidRPr="007C36DC" w:rsidRDefault="00F26754">
                      <w:pPr>
                        <w:rPr>
                          <w:rFonts w:asciiTheme="minorHAnsi" w:hAnsiTheme="minorHAnsi" w:cstheme="minorHAnsi"/>
                          <w:sz w:val="20"/>
                          <w:lang w:val="de-DE"/>
                        </w:rPr>
                      </w:pPr>
                      <w:r w:rsidRPr="007C36DC">
                        <w:rPr>
                          <w:rFonts w:asciiTheme="minorHAnsi" w:hAnsiTheme="minorHAnsi" w:cstheme="minorHAnsi"/>
                          <w:sz w:val="20"/>
                        </w:rPr>
                        <w:t>calendar and seasonally adjusted, 2015=100</w:t>
                      </w:r>
                    </w:p>
                  </w:txbxContent>
                </v:textbox>
              </v:shape>
            </w:pict>
          </mc:Fallback>
        </mc:AlternateContent>
      </w:r>
      <w:r w:rsidR="008F7553" w:rsidRPr="00CA2319">
        <w:rPr>
          <w:noProof/>
          <w:sz w:val="22"/>
          <w:szCs w:val="22"/>
        </w:rPr>
        <w:drawing>
          <wp:inline distT="0" distB="0" distL="0" distR="0" wp14:anchorId="50E0651C" wp14:editId="4B93CE8B">
            <wp:extent cx="5471795" cy="1562080"/>
            <wp:effectExtent l="0" t="0" r="14605" b="63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7553" w:rsidRPr="003F3BBE" w:rsidRDefault="008F7553" w:rsidP="008F7553">
      <w:pPr>
        <w:pStyle w:val="Beschriftung"/>
      </w:pPr>
      <w:r>
        <w:t xml:space="preserve">Figure </w:t>
      </w:r>
      <w:r>
        <w:fldChar w:fldCharType="begin"/>
      </w:r>
      <w:r>
        <w:instrText xml:space="preserve"> SEQ Figure \* ARABIC </w:instrText>
      </w:r>
      <w:r>
        <w:fldChar w:fldCharType="separate"/>
      </w:r>
      <w:r w:rsidR="00DA22A9">
        <w:rPr>
          <w:noProof/>
        </w:rPr>
        <w:t>3</w:t>
      </w:r>
      <w:r>
        <w:fldChar w:fldCharType="end"/>
      </w:r>
      <w:r>
        <w:t xml:space="preserve">. </w:t>
      </w:r>
      <w:r w:rsidRPr="008F7553">
        <w:t xml:space="preserve">Leading indicator for the </w:t>
      </w:r>
      <w:r w:rsidR="00F26754">
        <w:t>non-financial business economy</w:t>
      </w:r>
    </w:p>
    <w:p w:rsidR="001B50CE" w:rsidRPr="003F3BBE" w:rsidRDefault="003F3BBE" w:rsidP="00F26754">
      <w:pPr>
        <w:pStyle w:val="berschrift2"/>
        <w:tabs>
          <w:tab w:val="num" w:pos="482"/>
        </w:tabs>
        <w:spacing w:after="120"/>
        <w:ind w:left="482" w:hanging="482"/>
      </w:pPr>
      <w:r w:rsidRPr="003F3BBE">
        <w:lastRenderedPageBreak/>
        <w:t>Quality assessment</w:t>
      </w:r>
    </w:p>
    <w:p w:rsidR="00D52EA1" w:rsidRDefault="006A17DE" w:rsidP="00D52EA1">
      <w:r>
        <w:t>T</w:t>
      </w:r>
      <w:r w:rsidR="003F3BBE" w:rsidRPr="003F3BBE">
        <w:t xml:space="preserve">he accuracy of the presented estimation method with seasonal, calendar and trend factors, </w:t>
      </w:r>
      <w:r>
        <w:t>is assessed by evaluating</w:t>
      </w:r>
      <w:r w:rsidR="003F3BBE" w:rsidRPr="003F3BBE">
        <w:t xml:space="preserve"> in-sample forecasts for the index over a rolling window for the period January 2015 to April 2020. The m</w:t>
      </w:r>
      <w:r>
        <w:t>-o-m</w:t>
      </w:r>
      <w:r w:rsidR="003F3BBE" w:rsidRPr="003F3BBE">
        <w:t xml:space="preserve"> rates calculated from the forecasts </w:t>
      </w:r>
      <w:r>
        <w:t>are</w:t>
      </w:r>
      <w:r w:rsidR="003F3BBE" w:rsidRPr="003F3BBE">
        <w:t xml:space="preserve"> compared </w:t>
      </w:r>
      <w:r>
        <w:t>to</w:t>
      </w:r>
      <w:r w:rsidR="003F3BBE" w:rsidRPr="003F3BBE">
        <w:t xml:space="preserve"> the realized ones of the index 60/90 and summarized in quality measures. </w:t>
      </w:r>
      <w:r>
        <w:t>For comparison</w:t>
      </w:r>
      <w:r w:rsidR="003F3BBE" w:rsidRPr="003F3BBE">
        <w:t>, the direct use of MoM 30/60 a</w:t>
      </w:r>
      <w:r>
        <w:t xml:space="preserve">s forecasts at the current edge is evaluated as well </w:t>
      </w:r>
      <w:r w:rsidR="003F3BBE" w:rsidRPr="003F3BBE">
        <w:t xml:space="preserve">(Table 1). With an average deviation of 0.04 percentage points, the </w:t>
      </w:r>
      <w:r>
        <w:t>m-o-m</w:t>
      </w:r>
      <w:r w:rsidR="003F3BBE" w:rsidRPr="003F3BBE">
        <w:t xml:space="preserve"> rates estimated via the factors are hardly distorted compared to the realized MoM 60/90, in contrast to an estimate via the MoM 30/60. The mean absolute </w:t>
      </w:r>
      <w:r w:rsidR="00881717">
        <w:t>error</w:t>
      </w:r>
      <w:r w:rsidR="003F3BBE" w:rsidRPr="003F3BBE">
        <w:t xml:space="preserve"> as well as the root mean square</w:t>
      </w:r>
      <w:r w:rsidR="00881717">
        <w:t>d</w:t>
      </w:r>
      <w:r w:rsidR="003F3BBE" w:rsidRPr="003F3BBE">
        <w:t xml:space="preserve"> </w:t>
      </w:r>
      <w:r w:rsidR="00881717">
        <w:t>error</w:t>
      </w:r>
      <w:r w:rsidR="003F3BBE" w:rsidRPr="003F3BBE">
        <w:t xml:space="preserve"> are significantly smaller for the factor estimate than for the MoM 30/60 alternative. This evaluation shows that the chosen estimation procedure for the current value via the factors of the index is superior to using MoM 30/60 at the current edge</w:t>
      </w:r>
      <w:r w:rsidR="00881717">
        <w:t>.</w:t>
      </w:r>
    </w:p>
    <w:p w:rsidR="00A559DC" w:rsidRPr="00580FFF" w:rsidRDefault="00A559DC" w:rsidP="006A17DE">
      <w:pPr>
        <w:pStyle w:val="Beschriftung"/>
        <w:spacing w:after="0"/>
        <w:rPr>
          <w:szCs w:val="24"/>
        </w:rPr>
      </w:pPr>
      <w:r w:rsidRPr="00580FFF">
        <w:rPr>
          <w:szCs w:val="24"/>
        </w:rPr>
        <w:t xml:space="preserve">Table </w:t>
      </w:r>
      <w:r w:rsidRPr="00580FFF">
        <w:rPr>
          <w:szCs w:val="24"/>
        </w:rPr>
        <w:fldChar w:fldCharType="begin"/>
      </w:r>
      <w:r w:rsidRPr="00580FFF">
        <w:rPr>
          <w:szCs w:val="24"/>
        </w:rPr>
        <w:instrText xml:space="preserve"> SEQ Table \* ARABIC </w:instrText>
      </w:r>
      <w:r w:rsidRPr="00580FFF">
        <w:rPr>
          <w:szCs w:val="24"/>
        </w:rPr>
        <w:fldChar w:fldCharType="separate"/>
      </w:r>
      <w:r w:rsidR="00DA22A9">
        <w:rPr>
          <w:noProof/>
          <w:szCs w:val="24"/>
        </w:rPr>
        <w:t>1</w:t>
      </w:r>
      <w:r w:rsidRPr="00580FFF">
        <w:rPr>
          <w:szCs w:val="24"/>
        </w:rPr>
        <w:fldChar w:fldCharType="end"/>
      </w:r>
      <w:r w:rsidRPr="00580FFF">
        <w:rPr>
          <w:szCs w:val="24"/>
        </w:rPr>
        <w:t xml:space="preserve">. Quality measures for the estimated month-on-month rates and the MoM 30/60 compared </w:t>
      </w:r>
      <w:r w:rsidR="00645461">
        <w:rPr>
          <w:szCs w:val="24"/>
        </w:rPr>
        <w:t xml:space="preserve">to </w:t>
      </w:r>
      <w:r w:rsidRPr="00580FFF">
        <w:rPr>
          <w:szCs w:val="24"/>
        </w:rPr>
        <w:t>the realized MoM 60/90 (Jan. 2015 to Mar. 2020)</w:t>
      </w:r>
    </w:p>
    <w:tbl>
      <w:tblPr>
        <w:tblStyle w:val="Tabellenraster"/>
        <w:tblW w:w="8500" w:type="dxa"/>
        <w:tblLook w:val="04A0" w:firstRow="1" w:lastRow="0" w:firstColumn="1" w:lastColumn="0" w:noHBand="0" w:noVBand="1"/>
      </w:tblPr>
      <w:tblGrid>
        <w:gridCol w:w="4106"/>
        <w:gridCol w:w="2478"/>
        <w:gridCol w:w="1916"/>
      </w:tblGrid>
      <w:tr w:rsidR="00A559DC" w:rsidRPr="00580FFF" w:rsidTr="002912CF">
        <w:tc>
          <w:tcPr>
            <w:tcW w:w="4106" w:type="dxa"/>
          </w:tcPr>
          <w:p w:rsidR="00A559DC" w:rsidRPr="00580FFF" w:rsidRDefault="00A559DC" w:rsidP="00782827">
            <w:pPr>
              <w:spacing w:after="120"/>
              <w:rPr>
                <w:b/>
              </w:rPr>
            </w:pPr>
            <w:r w:rsidRPr="00580FFF">
              <w:rPr>
                <w:b/>
              </w:rPr>
              <w:t>Estimation method of current value</w:t>
            </w:r>
          </w:p>
        </w:tc>
        <w:tc>
          <w:tcPr>
            <w:tcW w:w="2478" w:type="dxa"/>
          </w:tcPr>
          <w:p w:rsidR="00A559DC" w:rsidRPr="00580FFF" w:rsidRDefault="00A559DC" w:rsidP="00782827">
            <w:pPr>
              <w:spacing w:after="120"/>
              <w:rPr>
                <w:b/>
              </w:rPr>
            </w:pPr>
            <w:r w:rsidRPr="00580FFF">
              <w:rPr>
                <w:b/>
              </w:rPr>
              <w:t>Factor estimation</w:t>
            </w:r>
          </w:p>
        </w:tc>
        <w:tc>
          <w:tcPr>
            <w:tcW w:w="1916" w:type="dxa"/>
          </w:tcPr>
          <w:p w:rsidR="00A559DC" w:rsidRPr="00580FFF" w:rsidRDefault="00A559DC" w:rsidP="00782827">
            <w:pPr>
              <w:spacing w:after="120"/>
              <w:rPr>
                <w:b/>
              </w:rPr>
            </w:pPr>
            <w:r w:rsidRPr="00580FFF">
              <w:rPr>
                <w:b/>
              </w:rPr>
              <w:t>MoM 30/60</w:t>
            </w:r>
          </w:p>
        </w:tc>
      </w:tr>
      <w:tr w:rsidR="00A559DC" w:rsidRPr="00580FFF" w:rsidTr="002912CF">
        <w:tc>
          <w:tcPr>
            <w:tcW w:w="4106" w:type="dxa"/>
          </w:tcPr>
          <w:p w:rsidR="00A559DC" w:rsidRPr="00580FFF" w:rsidRDefault="00A559DC" w:rsidP="00782827">
            <w:pPr>
              <w:spacing w:after="120"/>
            </w:pPr>
            <w:r w:rsidRPr="00580FFF">
              <w:t>Mean error in pp</w:t>
            </w:r>
          </w:p>
        </w:tc>
        <w:tc>
          <w:tcPr>
            <w:tcW w:w="2478" w:type="dxa"/>
          </w:tcPr>
          <w:p w:rsidR="00A559DC" w:rsidRPr="00580FFF" w:rsidRDefault="00A559DC" w:rsidP="00782827">
            <w:pPr>
              <w:spacing w:after="120"/>
            </w:pPr>
            <w:r w:rsidRPr="00580FFF">
              <w:t>0,04</w:t>
            </w:r>
          </w:p>
        </w:tc>
        <w:tc>
          <w:tcPr>
            <w:tcW w:w="1916" w:type="dxa"/>
          </w:tcPr>
          <w:p w:rsidR="00A559DC" w:rsidRPr="00580FFF" w:rsidRDefault="00A559DC" w:rsidP="00782827">
            <w:pPr>
              <w:spacing w:after="120"/>
            </w:pPr>
            <w:r w:rsidRPr="00580FFF">
              <w:t>0,27</w:t>
            </w:r>
          </w:p>
        </w:tc>
      </w:tr>
      <w:tr w:rsidR="00A559DC" w:rsidRPr="00580FFF" w:rsidTr="002912CF">
        <w:tc>
          <w:tcPr>
            <w:tcW w:w="4106" w:type="dxa"/>
          </w:tcPr>
          <w:p w:rsidR="00A559DC" w:rsidRPr="00580FFF" w:rsidRDefault="00A559DC" w:rsidP="00782827">
            <w:pPr>
              <w:spacing w:after="120"/>
            </w:pPr>
            <w:r w:rsidRPr="00580FFF">
              <w:t>Mean absolute error in pp</w:t>
            </w:r>
          </w:p>
        </w:tc>
        <w:tc>
          <w:tcPr>
            <w:tcW w:w="2478" w:type="dxa"/>
          </w:tcPr>
          <w:p w:rsidR="00A559DC" w:rsidRPr="00580FFF" w:rsidRDefault="00A559DC" w:rsidP="00782827">
            <w:pPr>
              <w:spacing w:after="120"/>
            </w:pPr>
            <w:r w:rsidRPr="00580FFF">
              <w:t>0,34</w:t>
            </w:r>
          </w:p>
        </w:tc>
        <w:tc>
          <w:tcPr>
            <w:tcW w:w="1916" w:type="dxa"/>
          </w:tcPr>
          <w:p w:rsidR="00A559DC" w:rsidRPr="00580FFF" w:rsidRDefault="00A559DC" w:rsidP="00782827">
            <w:pPr>
              <w:spacing w:after="120"/>
            </w:pPr>
            <w:r w:rsidRPr="00580FFF">
              <w:t>0,86</w:t>
            </w:r>
          </w:p>
        </w:tc>
      </w:tr>
      <w:tr w:rsidR="00A559DC" w:rsidRPr="00580FFF" w:rsidTr="002912CF">
        <w:trPr>
          <w:trHeight w:val="93"/>
        </w:trPr>
        <w:tc>
          <w:tcPr>
            <w:tcW w:w="4106" w:type="dxa"/>
          </w:tcPr>
          <w:p w:rsidR="00A559DC" w:rsidRPr="00580FFF" w:rsidRDefault="00A559DC" w:rsidP="00782827">
            <w:pPr>
              <w:spacing w:after="120"/>
            </w:pPr>
            <w:r w:rsidRPr="00580FFF">
              <w:t>Root mean squared error in pp</w:t>
            </w:r>
          </w:p>
        </w:tc>
        <w:tc>
          <w:tcPr>
            <w:tcW w:w="2478" w:type="dxa"/>
          </w:tcPr>
          <w:p w:rsidR="00A559DC" w:rsidRPr="00580FFF" w:rsidRDefault="00A559DC" w:rsidP="00782827">
            <w:pPr>
              <w:spacing w:after="120"/>
            </w:pPr>
            <w:r w:rsidRPr="00580FFF">
              <w:t>0,46</w:t>
            </w:r>
          </w:p>
        </w:tc>
        <w:tc>
          <w:tcPr>
            <w:tcW w:w="1916" w:type="dxa"/>
          </w:tcPr>
          <w:p w:rsidR="00A559DC" w:rsidRPr="00580FFF" w:rsidRDefault="00A559DC" w:rsidP="00782827">
            <w:pPr>
              <w:spacing w:after="120"/>
            </w:pPr>
            <w:r w:rsidRPr="00580FFF">
              <w:t>1,28</w:t>
            </w:r>
          </w:p>
        </w:tc>
      </w:tr>
    </w:tbl>
    <w:p w:rsidR="00BC6AFE" w:rsidRPr="003F3BBE" w:rsidRDefault="00BC6AFE" w:rsidP="00BC6AFE">
      <w:pPr>
        <w:pStyle w:val="berschrift1"/>
      </w:pPr>
      <w:r w:rsidRPr="003F3BBE">
        <w:t>Conclusions</w:t>
      </w:r>
    </w:p>
    <w:p w:rsidR="003B33C5" w:rsidRPr="003F3BBE" w:rsidRDefault="003B33C5" w:rsidP="00F26754">
      <w:pPr>
        <w:spacing w:after="120"/>
      </w:pPr>
      <w:r w:rsidRPr="003F3BBE">
        <w:t xml:space="preserve">As a pure administrative data evaluation, the leading indicator can be provided in a resource-saving and efficient manner without burdening companies. It should be noted, however, that political decisions can have an impact on administrative data. Examples include the extension of the deadline for submitting advance VAT returns during the Corona crisis and the temporary reduction in VAT in Germany for the second half of 2020. Both measures may have an impact on the database of advance VAT returns, although the extent of this impact is difficult to estimate. </w:t>
      </w:r>
    </w:p>
    <w:p w:rsidR="003B33C5" w:rsidRPr="003F3BBE" w:rsidRDefault="003B33C5" w:rsidP="00F26754">
      <w:pPr>
        <w:spacing w:after="120"/>
      </w:pPr>
      <w:r w:rsidRPr="003F3BBE">
        <w:t>The leading indicator with the methodology presented in this paper has an experimental character. The investigation of methods is not yet conclusive. It is conceivable to refine the extrapolation procedure for determining the unadjusted month-on-month rates. Taking into account the reports for dates further back in time could improve the results at the current edge. In order to be even more comparable with gross value added as a general business cycle indicator, a weighted indicator for the advance VAT returns could be calculated, which transfers the weight of the economic sectors in gross value added to the advance VAT returns. Furthermore, the leading indicator could also be provided as a price-adjusted turnover index.</w:t>
      </w:r>
    </w:p>
    <w:p w:rsidR="00D52EA1" w:rsidRPr="003F3BBE" w:rsidRDefault="003B33C5" w:rsidP="003B33C5">
      <w:r w:rsidRPr="003F3BBE">
        <w:t>If the newly developed sales index proves to be a reliable indicator for early statements on the sales performance of the overall economy and matures methodically, it could become a fixed component of the statistics program for eco</w:t>
      </w:r>
      <w:r w:rsidRPr="003F3BBE">
        <w:t>nomic monitoring in the future.</w:t>
      </w:r>
    </w:p>
    <w:p w:rsidR="00BC6AFE" w:rsidRPr="003F3BBE" w:rsidRDefault="00BC6AFE" w:rsidP="009B4EE0">
      <w:pPr>
        <w:pStyle w:val="berschrift1"/>
        <w:numPr>
          <w:ilvl w:val="0"/>
          <w:numId w:val="0"/>
        </w:numPr>
        <w:ind w:left="480" w:hanging="480"/>
      </w:pPr>
      <w:r w:rsidRPr="003F3BBE">
        <w:t>References</w:t>
      </w:r>
    </w:p>
    <w:p w:rsidR="00127067" w:rsidRPr="003F3BBE" w:rsidRDefault="003E7257" w:rsidP="006A17DE">
      <w:pPr>
        <w:pStyle w:val="Text1"/>
        <w:numPr>
          <w:ilvl w:val="0"/>
          <w:numId w:val="20"/>
        </w:numPr>
        <w:spacing w:after="120"/>
        <w:ind w:left="357" w:hanging="357"/>
      </w:pPr>
      <w:r w:rsidRPr="003F3BBE">
        <w:rPr>
          <w:lang w:val="de-DE"/>
        </w:rPr>
        <w:t>Lorenz, Robin/Opfermann, Rainer. Verwaltungsdaten in der Unternehmensstatistik. In: WISTA Wirtschaft und Statistik. Edition 1/2017, pages 49 ff.-</w:t>
      </w:r>
      <w:r w:rsidR="009B4EE0" w:rsidRPr="003F3BBE">
        <w:t>.</w:t>
      </w:r>
    </w:p>
    <w:p w:rsidR="00D04EAD" w:rsidRPr="003E7257" w:rsidRDefault="003E7257" w:rsidP="002912CF">
      <w:pPr>
        <w:pStyle w:val="Text1"/>
        <w:numPr>
          <w:ilvl w:val="0"/>
          <w:numId w:val="20"/>
        </w:numPr>
        <w:ind w:left="357" w:hanging="357"/>
      </w:pPr>
      <w:r w:rsidRPr="003F3BBE">
        <w:rPr>
          <w:lang w:val="de-DE"/>
        </w:rPr>
        <w:t xml:space="preserve">Linz, Stefan/Fries, Claudia/Völker, Julia. </w:t>
      </w:r>
      <w:r w:rsidRPr="003F3BBE">
        <w:t xml:space="preserve">Seasonal adjustment of short-term statistics using X-12-ARIMA and X13 in JDemetra+. </w:t>
      </w:r>
      <w:r w:rsidRPr="003F3BBE">
        <w:rPr>
          <w:lang w:val="de-DE"/>
        </w:rPr>
        <w:t>In: WISTA Wirtschaft und Statistik. Edition 4/2018, pages 59 ff.</w:t>
      </w:r>
    </w:p>
    <w:sectPr w:rsidR="00D04EAD" w:rsidRPr="003E7257"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EE6" w:rsidRDefault="00967EE6" w:rsidP="00BC6AFE">
      <w:pPr>
        <w:spacing w:after="0"/>
      </w:pPr>
      <w:r>
        <w:separator/>
      </w:r>
    </w:p>
  </w:endnote>
  <w:endnote w:type="continuationSeparator" w:id="0">
    <w:p w:rsidR="00967EE6" w:rsidRDefault="00967EE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etaNormalLF-Roman">
    <w:altName w:val="Times New Roman"/>
    <w:panose1 w:val="020B0500000000000000"/>
    <w:charset w:val="00"/>
    <w:family w:val="swiss"/>
    <w:pitch w:val="variable"/>
    <w:sig w:usb0="8000002F" w:usb1="10000048"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uzeile"/>
      <w:jc w:val="center"/>
    </w:pPr>
    <w:r>
      <w:fldChar w:fldCharType="begin"/>
    </w:r>
    <w:r>
      <w:instrText>PAGE</w:instrText>
    </w:r>
    <w:r>
      <w:fldChar w:fldCharType="separate"/>
    </w:r>
    <w:r w:rsidR="00743F8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uzeile"/>
      <w:rPr>
        <w:sz w:val="24"/>
        <w:szCs w:val="24"/>
      </w:rPr>
    </w:pPr>
  </w:p>
  <w:p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uzeile"/>
    </w:pPr>
  </w:p>
  <w:p w:rsidR="00D24082" w:rsidRDefault="00D24082">
    <w:pPr>
      <w:pStyle w:val="Fuzeile"/>
    </w:pPr>
    <w:r>
      <w:t>http://epp.eurostat.ec.europa.eu</w:t>
    </w:r>
  </w:p>
  <w:p w:rsidR="00D24082" w:rsidRDefault="00D24082">
    <w:pPr>
      <w:pStyle w:val="Fuzeil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EE6" w:rsidRDefault="00967EE6" w:rsidP="00BC6AFE">
      <w:pPr>
        <w:spacing w:after="0"/>
      </w:pPr>
      <w:r>
        <w:separator/>
      </w:r>
    </w:p>
  </w:footnote>
  <w:footnote w:type="continuationSeparator" w:id="0">
    <w:p w:rsidR="00967EE6" w:rsidRDefault="00967EE6" w:rsidP="00BC6AFE">
      <w:pPr>
        <w:spacing w:after="0"/>
      </w:pPr>
      <w:r>
        <w:continuationSeparator/>
      </w:r>
    </w:p>
  </w:footnote>
  <w:footnote w:id="1">
    <w:p w:rsidR="001C1AE2" w:rsidRPr="001C1AE2" w:rsidRDefault="001C1AE2" w:rsidP="00822494">
      <w:pPr>
        <w:pStyle w:val="Funotentext"/>
        <w:spacing w:after="360"/>
        <w:rPr>
          <w:lang w:val="de-DE"/>
        </w:rPr>
      </w:pPr>
      <w:r>
        <w:rPr>
          <w:rStyle w:val="Funotenzeichen"/>
        </w:rPr>
        <w:footnoteRef/>
      </w:r>
      <w:r>
        <w:t xml:space="preserve"> </w:t>
      </w:r>
      <w:r w:rsidRPr="001C1AE2">
        <w:t>“Non-financial business economy” is defined as sections B to J as well as M and N according to the classification of economic activities - WZ 2008. It thus comprises the sectors of industry, trade and business-related services.  Real estate (Section L) is excluded here.</w:t>
      </w:r>
    </w:p>
  </w:footnote>
  <w:footnote w:id="2">
    <w:p w:rsidR="001C1AE2" w:rsidRPr="001C1AE2" w:rsidRDefault="001C1AE2" w:rsidP="00822494">
      <w:pPr>
        <w:pStyle w:val="Funotentext"/>
        <w:spacing w:after="120"/>
      </w:pPr>
      <w:r>
        <w:rPr>
          <w:rStyle w:val="Funotenzeichen"/>
        </w:rPr>
        <w:footnoteRef/>
      </w:r>
      <w:r>
        <w:t xml:space="preserve"> </w:t>
      </w:r>
      <w:r w:rsidRPr="001C1AE2">
        <w:t>The use of advance VAT returns and other data transmitted in accordance with the Administrative Data Use Act is described in detail in Lorenz/Opfermann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2301"/>
        </w:tabs>
        <w:ind w:left="2301"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967EE6"/>
    <w:rsid w:val="000642A1"/>
    <w:rsid w:val="000F7438"/>
    <w:rsid w:val="00127067"/>
    <w:rsid w:val="001857CF"/>
    <w:rsid w:val="001B50CE"/>
    <w:rsid w:val="001C1AE2"/>
    <w:rsid w:val="002012A8"/>
    <w:rsid w:val="00243A2C"/>
    <w:rsid w:val="002912CF"/>
    <w:rsid w:val="002E0D97"/>
    <w:rsid w:val="00332D6F"/>
    <w:rsid w:val="00372FC1"/>
    <w:rsid w:val="003B33C5"/>
    <w:rsid w:val="003D30B8"/>
    <w:rsid w:val="003E7257"/>
    <w:rsid w:val="003F3BBE"/>
    <w:rsid w:val="00567D4E"/>
    <w:rsid w:val="00573E28"/>
    <w:rsid w:val="00580FFF"/>
    <w:rsid w:val="005B2255"/>
    <w:rsid w:val="005B4EA5"/>
    <w:rsid w:val="006312AF"/>
    <w:rsid w:val="00645461"/>
    <w:rsid w:val="00661525"/>
    <w:rsid w:val="006875D6"/>
    <w:rsid w:val="006A17DE"/>
    <w:rsid w:val="00741CF0"/>
    <w:rsid w:val="00743F85"/>
    <w:rsid w:val="00782827"/>
    <w:rsid w:val="007C36DC"/>
    <w:rsid w:val="0082044B"/>
    <w:rsid w:val="00820BDC"/>
    <w:rsid w:val="00822494"/>
    <w:rsid w:val="00881717"/>
    <w:rsid w:val="008847C3"/>
    <w:rsid w:val="008A75D0"/>
    <w:rsid w:val="008C4ADB"/>
    <w:rsid w:val="008E1045"/>
    <w:rsid w:val="008E29ED"/>
    <w:rsid w:val="008F7553"/>
    <w:rsid w:val="009123C6"/>
    <w:rsid w:val="00923850"/>
    <w:rsid w:val="00967EE6"/>
    <w:rsid w:val="009A41E5"/>
    <w:rsid w:val="009B4EE0"/>
    <w:rsid w:val="00A17E8C"/>
    <w:rsid w:val="00A559DC"/>
    <w:rsid w:val="00AB4423"/>
    <w:rsid w:val="00B3641F"/>
    <w:rsid w:val="00B9492F"/>
    <w:rsid w:val="00B9647E"/>
    <w:rsid w:val="00BC17F5"/>
    <w:rsid w:val="00BC6AFE"/>
    <w:rsid w:val="00C43B5A"/>
    <w:rsid w:val="00C449C8"/>
    <w:rsid w:val="00C94B5B"/>
    <w:rsid w:val="00D04EAD"/>
    <w:rsid w:val="00D24082"/>
    <w:rsid w:val="00D52EA1"/>
    <w:rsid w:val="00DA22A9"/>
    <w:rsid w:val="00DB601E"/>
    <w:rsid w:val="00DD25C2"/>
    <w:rsid w:val="00F26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0ACF5"/>
  <w15:chartTrackingRefBased/>
  <w15:docId w15:val="{08864A45-036C-4EC5-BB5E-D014B71B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1C1AE2"/>
    <w:rPr>
      <w:vertAlign w:val="superscript"/>
    </w:rPr>
  </w:style>
  <w:style w:type="paragraph" w:customStyle="1" w:styleId="LNORMALTEXT">
    <w:name w:val="L N O R M A L T E X T"/>
    <w:basedOn w:val="Standard"/>
    <w:rsid w:val="00D04EAD"/>
    <w:pPr>
      <w:tabs>
        <w:tab w:val="left" w:pos="425"/>
      </w:tabs>
      <w:spacing w:after="120" w:line="288" w:lineRule="auto"/>
    </w:pPr>
    <w:rPr>
      <w:rFonts w:ascii="MetaNormalLF-Roman" w:hAnsi="MetaNormalLF-Roman"/>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SaveAsSingleFil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es-C\AppData\Local\Temp\NTTS2021_Abstract_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ads.stba.de\DATA\Organisation\E201\Z1_inhaltliche_Vorbereitung_Sitzungen_Vortraege_Aufsaetze\200824_NTTS_2021\UStVA\Abstract\Grafiken\Abbildung_3_Komponent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ads.stba.de\DATA\Organisation\E201\Z1_inhaltliche_Vorbereitung_Sitzungen_Vortraege_Aufsaetze\200824_NTTS_2021\UStVA\Abstract\Grafiken\Abbildung_3_Komponente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ads.stba.de\DATA\Organisation\E201\Z1_inhaltliche_Vorbereitung_Sitzungen_Vortraege_Aufsaetze\200824_NTTS_2021\UStVA\Abstract\Grafiken\Abbildung_3_Komponente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ads.stba.de\DATA\Organisation\E201\Z1_inhaltliche_Vorbereitung_Sitzungen_Vortraege_Aufsaetze\200824_NTTS_2021\UStVA\Abstract\Grafiken\Abbildung_3_Komponenten.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Arbeitsblat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151043819131957E-2"/>
          <c:y val="2.1128452339202495E-2"/>
          <c:w val="0.93728047207629017"/>
          <c:h val="0.90518582057917918"/>
        </c:manualLayout>
      </c:layout>
      <c:lineChart>
        <c:grouping val="standard"/>
        <c:varyColors val="0"/>
        <c:ser>
          <c:idx val="0"/>
          <c:order val="0"/>
          <c:tx>
            <c:v>m-o-m 30/60</c:v>
          </c:tx>
          <c:spPr>
            <a:ln w="31750" cap="rnd">
              <a:solidFill>
                <a:schemeClr val="accent1"/>
              </a:solidFill>
              <a:round/>
            </a:ln>
            <a:effectLst/>
          </c:spPr>
          <c:marker>
            <c:symbol val="none"/>
          </c:marker>
          <c:dLbls>
            <c:delete val="1"/>
          </c:dLbls>
          <c:cat>
            <c:numRef>
              <c:f>Daten!$A$2:$A$69</c:f>
              <c:numCache>
                <c:formatCode>mmm\ yyyy</c:formatCode>
                <c:ptCount val="68"/>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pt idx="66">
                  <c:v>44013</c:v>
                </c:pt>
                <c:pt idx="67">
                  <c:v>44044</c:v>
                </c:pt>
              </c:numCache>
            </c:numRef>
          </c:cat>
          <c:val>
            <c:numRef>
              <c:f>Daten!$B$2:$B$69</c:f>
              <c:numCache>
                <c:formatCode>0.00</c:formatCode>
                <c:ptCount val="68"/>
                <c:pt idx="0">
                  <c:v>-15.209403092040652</c:v>
                </c:pt>
                <c:pt idx="1">
                  <c:v>2.1537776333976355</c:v>
                </c:pt>
                <c:pt idx="2">
                  <c:v>18.188861829824553</c:v>
                </c:pt>
                <c:pt idx="3">
                  <c:v>-5.9426923997806247</c:v>
                </c:pt>
                <c:pt idx="4">
                  <c:v>-5.1030425076949886</c:v>
                </c:pt>
                <c:pt idx="5">
                  <c:v>9.6182003050488074</c:v>
                </c:pt>
                <c:pt idx="6">
                  <c:v>0.68973573102673047</c:v>
                </c:pt>
                <c:pt idx="7">
                  <c:v>-11.716580837615309</c:v>
                </c:pt>
                <c:pt idx="8">
                  <c:v>12.223629665045777</c:v>
                </c:pt>
                <c:pt idx="9">
                  <c:v>2.0833759359400572</c:v>
                </c:pt>
                <c:pt idx="10">
                  <c:v>-0.7725992356825695</c:v>
                </c:pt>
                <c:pt idx="11">
                  <c:v>0.98441355479432779</c:v>
                </c:pt>
                <c:pt idx="12">
                  <c:v>-18.91794189919591</c:v>
                </c:pt>
                <c:pt idx="13">
                  <c:v>9.5361970023110754</c:v>
                </c:pt>
                <c:pt idx="14">
                  <c:v>10.662704652595579</c:v>
                </c:pt>
                <c:pt idx="15">
                  <c:v>-1.4197809237565862</c:v>
                </c:pt>
                <c:pt idx="16">
                  <c:v>-3.8426550209170407</c:v>
                </c:pt>
                <c:pt idx="17">
                  <c:v>8.166899978120167</c:v>
                </c:pt>
                <c:pt idx="18">
                  <c:v>-8.5357103914431853</c:v>
                </c:pt>
                <c:pt idx="19">
                  <c:v>2.0953788180180677</c:v>
                </c:pt>
                <c:pt idx="20">
                  <c:v>6.0161062602494431</c:v>
                </c:pt>
                <c:pt idx="21">
                  <c:v>-2.5022742535744991</c:v>
                </c:pt>
                <c:pt idx="22">
                  <c:v>6.3279650018583711</c:v>
                </c:pt>
                <c:pt idx="23">
                  <c:v>-1.0674730727841975</c:v>
                </c:pt>
                <c:pt idx="24">
                  <c:v>-13.989083805515268</c:v>
                </c:pt>
                <c:pt idx="25">
                  <c:v>2.3397261933765456</c:v>
                </c:pt>
                <c:pt idx="26">
                  <c:v>22.161308266884848</c:v>
                </c:pt>
                <c:pt idx="27">
                  <c:v>-12.267085099756192</c:v>
                </c:pt>
                <c:pt idx="28">
                  <c:v>10.111127527120667</c:v>
                </c:pt>
                <c:pt idx="29">
                  <c:v>-0.62692443426006772</c:v>
                </c:pt>
                <c:pt idx="30">
                  <c:v>-4.2297451708106841</c:v>
                </c:pt>
                <c:pt idx="31">
                  <c:v>1.4994123380219548</c:v>
                </c:pt>
                <c:pt idx="32">
                  <c:v>4.008613742918099</c:v>
                </c:pt>
                <c:pt idx="33">
                  <c:v>-3.5107326363203017</c:v>
                </c:pt>
                <c:pt idx="34">
                  <c:v>10.560709870967644</c:v>
                </c:pt>
                <c:pt idx="35">
                  <c:v>-5.0864598350359058</c:v>
                </c:pt>
                <c:pt idx="36">
                  <c:v>-11.26605542368706</c:v>
                </c:pt>
                <c:pt idx="37">
                  <c:v>-1.0246188680079982</c:v>
                </c:pt>
                <c:pt idx="38">
                  <c:v>14.774973031790273</c:v>
                </c:pt>
                <c:pt idx="39">
                  <c:v>-2.5802890716627225</c:v>
                </c:pt>
                <c:pt idx="40">
                  <c:v>-0.14939730738960932</c:v>
                </c:pt>
                <c:pt idx="41">
                  <c:v>5.5464495378684475</c:v>
                </c:pt>
                <c:pt idx="42">
                  <c:v>-3.5721882153822992</c:v>
                </c:pt>
                <c:pt idx="43">
                  <c:v>-2.4153273801576614</c:v>
                </c:pt>
                <c:pt idx="44">
                  <c:v>-0.41142623891536889</c:v>
                </c:pt>
                <c:pt idx="45">
                  <c:v>8.8047842017239475</c:v>
                </c:pt>
                <c:pt idx="46">
                  <c:v>1.7870207393304582</c:v>
                </c:pt>
                <c:pt idx="47">
                  <c:v>-6.4017868494384844</c:v>
                </c:pt>
                <c:pt idx="48">
                  <c:v>-10.491112236550372</c:v>
                </c:pt>
                <c:pt idx="49">
                  <c:v>0.99478501303940092</c:v>
                </c:pt>
                <c:pt idx="50">
                  <c:v>11.115598148444938</c:v>
                </c:pt>
                <c:pt idx="51">
                  <c:v>-1.0360180454949686</c:v>
                </c:pt>
                <c:pt idx="52">
                  <c:v>2.1369976844887395</c:v>
                </c:pt>
                <c:pt idx="53">
                  <c:v>-6.7400490847845269</c:v>
                </c:pt>
                <c:pt idx="54">
                  <c:v>8.0407716642226781</c:v>
                </c:pt>
                <c:pt idx="55">
                  <c:v>-8.5957736250401808</c:v>
                </c:pt>
                <c:pt idx="56">
                  <c:v>5.6784882918836876</c:v>
                </c:pt>
                <c:pt idx="57">
                  <c:v>3.8691809855719406</c:v>
                </c:pt>
                <c:pt idx="58">
                  <c:v>-1.1917794845920038</c:v>
                </c:pt>
                <c:pt idx="59">
                  <c:v>-2.678231281890131</c:v>
                </c:pt>
                <c:pt idx="60">
                  <c:v>-9.9116908599315874</c:v>
                </c:pt>
                <c:pt idx="61">
                  <c:v>0.46848970495012576</c:v>
                </c:pt>
                <c:pt idx="62">
                  <c:v>7.5424577362630973</c:v>
                </c:pt>
                <c:pt idx="63">
                  <c:v>-17.580673147464822</c:v>
                </c:pt>
                <c:pt idx="64">
                  <c:v>3.7255951664198199</c:v>
                </c:pt>
                <c:pt idx="65">
                  <c:v>10.767319643269513</c:v>
                </c:pt>
                <c:pt idx="66">
                  <c:v>6.5451232390921765</c:v>
                </c:pt>
                <c:pt idx="67">
                  <c:v>-10.283039099122959</c:v>
                </c:pt>
              </c:numCache>
            </c:numRef>
          </c:val>
          <c:smooth val="0"/>
          <c:extLst>
            <c:ext xmlns:c16="http://schemas.microsoft.com/office/drawing/2014/chart" uri="{C3380CC4-5D6E-409C-BE32-E72D297353CC}">
              <c16:uniqueId val="{00000000-4A2A-458A-9FE3-9DADAC96F234}"/>
            </c:ext>
          </c:extLst>
        </c:ser>
        <c:ser>
          <c:idx val="1"/>
          <c:order val="1"/>
          <c:tx>
            <c:v>m-o-m 60/90</c:v>
          </c:tx>
          <c:spPr>
            <a:ln w="31750" cap="rnd">
              <a:solidFill>
                <a:schemeClr val="accent2"/>
              </a:solidFill>
              <a:round/>
            </a:ln>
            <a:effectLst/>
          </c:spPr>
          <c:marker>
            <c:symbol val="none"/>
          </c:marker>
          <c:dLbls>
            <c:delete val="1"/>
          </c:dLbls>
          <c:cat>
            <c:numRef>
              <c:f>Daten!$A$2:$A$69</c:f>
              <c:numCache>
                <c:formatCode>mmm\ yyyy</c:formatCode>
                <c:ptCount val="68"/>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pt idx="66">
                  <c:v>44013</c:v>
                </c:pt>
                <c:pt idx="67">
                  <c:v>44044</c:v>
                </c:pt>
              </c:numCache>
            </c:numRef>
          </c:cat>
          <c:val>
            <c:numRef>
              <c:f>Daten!$C$2:$C$69</c:f>
              <c:numCache>
                <c:formatCode>0.00</c:formatCode>
                <c:ptCount val="68"/>
                <c:pt idx="0">
                  <c:v>-15.285564176953336</c:v>
                </c:pt>
                <c:pt idx="1">
                  <c:v>2.6475944300188514</c:v>
                </c:pt>
                <c:pt idx="2">
                  <c:v>18.669349142088997</c:v>
                </c:pt>
                <c:pt idx="3">
                  <c:v>-6.0023124566526249</c:v>
                </c:pt>
                <c:pt idx="4">
                  <c:v>-5.2413568510815134</c:v>
                </c:pt>
                <c:pt idx="5">
                  <c:v>9.3768202074584917</c:v>
                </c:pt>
                <c:pt idx="6">
                  <c:v>2.2237368552863401</c:v>
                </c:pt>
                <c:pt idx="7">
                  <c:v>-11.460255734324608</c:v>
                </c:pt>
                <c:pt idx="8">
                  <c:v>11.555486941551617</c:v>
                </c:pt>
                <c:pt idx="9">
                  <c:v>1.3715806357819327</c:v>
                </c:pt>
                <c:pt idx="10">
                  <c:v>-0.34436318729978987</c:v>
                </c:pt>
                <c:pt idx="11">
                  <c:v>2.496918533893222</c:v>
                </c:pt>
                <c:pt idx="12">
                  <c:v>-19.86011043128736</c:v>
                </c:pt>
                <c:pt idx="13">
                  <c:v>9.1723382112855134</c:v>
                </c:pt>
                <c:pt idx="14">
                  <c:v>9.9629730078600431</c:v>
                </c:pt>
                <c:pt idx="15">
                  <c:v>-0.97049753042014464</c:v>
                </c:pt>
                <c:pt idx="16">
                  <c:v>-3.7196254260442818</c:v>
                </c:pt>
                <c:pt idx="17">
                  <c:v>9.0966364067709193</c:v>
                </c:pt>
                <c:pt idx="18">
                  <c:v>-7.4554000314018047</c:v>
                </c:pt>
                <c:pt idx="19">
                  <c:v>1.6267323831528069</c:v>
                </c:pt>
                <c:pt idx="20">
                  <c:v>6.5019198072869155</c:v>
                </c:pt>
                <c:pt idx="21">
                  <c:v>-3.3652435261125602</c:v>
                </c:pt>
                <c:pt idx="22">
                  <c:v>6.9177251036223186</c:v>
                </c:pt>
                <c:pt idx="23">
                  <c:v>3.3804229331642732</c:v>
                </c:pt>
                <c:pt idx="24">
                  <c:v>-15.522159360012944</c:v>
                </c:pt>
                <c:pt idx="25">
                  <c:v>1.3637477064006198</c:v>
                </c:pt>
                <c:pt idx="26">
                  <c:v>20.230548289202368</c:v>
                </c:pt>
                <c:pt idx="27">
                  <c:v>-12.887943587696061</c:v>
                </c:pt>
                <c:pt idx="28">
                  <c:v>9.4705372820717226</c:v>
                </c:pt>
                <c:pt idx="29">
                  <c:v>-1.1543479615759411</c:v>
                </c:pt>
                <c:pt idx="30">
                  <c:v>-3.3919602305975571</c:v>
                </c:pt>
                <c:pt idx="31">
                  <c:v>1.4676454950351747</c:v>
                </c:pt>
                <c:pt idx="32">
                  <c:v>3.583469433222719</c:v>
                </c:pt>
                <c:pt idx="33">
                  <c:v>-1.7649116765710793</c:v>
                </c:pt>
                <c:pt idx="34">
                  <c:v>8.9906146967516865</c:v>
                </c:pt>
                <c:pt idx="35">
                  <c:v>-1.0688343360608754</c:v>
                </c:pt>
                <c:pt idx="36">
                  <c:v>-10.745444123775705</c:v>
                </c:pt>
                <c:pt idx="37">
                  <c:v>-2.1488261445640533</c:v>
                </c:pt>
                <c:pt idx="38">
                  <c:v>14.811191111338173</c:v>
                </c:pt>
                <c:pt idx="39">
                  <c:v>-4.0108929725391036</c:v>
                </c:pt>
                <c:pt idx="40">
                  <c:v>0.38921143950974013</c:v>
                </c:pt>
                <c:pt idx="41">
                  <c:v>5.0634353654829045</c:v>
                </c:pt>
                <c:pt idx="42">
                  <c:v>-2.6891522951198232</c:v>
                </c:pt>
                <c:pt idx="43">
                  <c:v>-1.6088554143414813</c:v>
                </c:pt>
                <c:pt idx="44">
                  <c:v>0.46353296044077119</c:v>
                </c:pt>
                <c:pt idx="45">
                  <c:v>8.2580798378574691</c:v>
                </c:pt>
                <c:pt idx="46">
                  <c:v>1.656673654625318</c:v>
                </c:pt>
                <c:pt idx="47">
                  <c:v>-3.685751468779952</c:v>
                </c:pt>
                <c:pt idx="48">
                  <c:v>-8.4598877133029156</c:v>
                </c:pt>
                <c:pt idx="49">
                  <c:v>0.16726122541217414</c:v>
                </c:pt>
                <c:pt idx="50">
                  <c:v>11.031867771468562</c:v>
                </c:pt>
                <c:pt idx="51">
                  <c:v>-1.1107910227927786</c:v>
                </c:pt>
                <c:pt idx="52">
                  <c:v>2.266582901758607</c:v>
                </c:pt>
                <c:pt idx="53">
                  <c:v>-6.6554255144171908</c:v>
                </c:pt>
                <c:pt idx="54">
                  <c:v>9.3576886978479443</c:v>
                </c:pt>
                <c:pt idx="55">
                  <c:v>-8.2472492360975878</c:v>
                </c:pt>
                <c:pt idx="56">
                  <c:v>5.8783557310959633</c:v>
                </c:pt>
                <c:pt idx="57">
                  <c:v>3.8013384050438415</c:v>
                </c:pt>
                <c:pt idx="58">
                  <c:v>-0.53794081949271044</c:v>
                </c:pt>
                <c:pt idx="59">
                  <c:v>1.5809120109376185</c:v>
                </c:pt>
                <c:pt idx="60">
                  <c:v>-10.097192358221674</c:v>
                </c:pt>
                <c:pt idx="61">
                  <c:v>0.75128141280698113</c:v>
                </c:pt>
                <c:pt idx="62">
                  <c:v>8.1038167258274729</c:v>
                </c:pt>
                <c:pt idx="63">
                  <c:v>-16.393905903415849</c:v>
                </c:pt>
                <c:pt idx="64">
                  <c:v>3.3505694236575012</c:v>
                </c:pt>
                <c:pt idx="65">
                  <c:v>10.551661666870181</c:v>
                </c:pt>
                <c:pt idx="66">
                  <c:v>6.0943828365909614</c:v>
                </c:pt>
              </c:numCache>
            </c:numRef>
          </c:val>
          <c:smooth val="0"/>
          <c:extLst>
            <c:ext xmlns:c16="http://schemas.microsoft.com/office/drawing/2014/chart" uri="{C3380CC4-5D6E-409C-BE32-E72D297353CC}">
              <c16:uniqueId val="{00000001-4A2A-458A-9FE3-9DADAC96F234}"/>
            </c:ext>
          </c:extLst>
        </c:ser>
        <c:dLbls>
          <c:dLblPos val="ctr"/>
          <c:showLegendKey val="0"/>
          <c:showVal val="1"/>
          <c:showCatName val="0"/>
          <c:showSerName val="0"/>
          <c:showPercent val="0"/>
          <c:showBubbleSize val="0"/>
        </c:dLbls>
        <c:smooth val="0"/>
        <c:axId val="523385672"/>
        <c:axId val="523386000"/>
      </c:lineChart>
      <c:dateAx>
        <c:axId val="523385672"/>
        <c:scaling>
          <c:orientation val="minMax"/>
          <c:max val="44044"/>
        </c:scaling>
        <c:delete val="0"/>
        <c:axPos val="b"/>
        <c:numFmt formatCode="mmm\ yyyy" sourceLinked="1"/>
        <c:majorTickMark val="cross"/>
        <c:minorTickMark val="out"/>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de-DE"/>
          </a:p>
        </c:txPr>
        <c:crossAx val="523386000"/>
        <c:crossesAt val="-25"/>
        <c:auto val="1"/>
        <c:lblOffset val="100"/>
        <c:baseTimeUnit val="months"/>
        <c:majorUnit val="12"/>
        <c:majorTimeUnit val="months"/>
        <c:minorUnit val="1"/>
        <c:minorTimeUnit val="months"/>
      </c:dateAx>
      <c:valAx>
        <c:axId val="523386000"/>
        <c:scaling>
          <c:orientation val="minMax"/>
          <c:min val="-20"/>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crossAx val="523385672"/>
        <c:crosses val="autoZero"/>
        <c:crossBetween val="between"/>
      </c:valAx>
      <c:spPr>
        <a:noFill/>
        <a:ln>
          <a:noFill/>
        </a:ln>
        <a:effectLst/>
      </c:spPr>
    </c:plotArea>
    <c:legend>
      <c:legendPos val="b"/>
      <c:layout>
        <c:manualLayout>
          <c:xMode val="edge"/>
          <c:yMode val="edge"/>
          <c:x val="0.39232925745392938"/>
          <c:y val="0.75676630468584782"/>
          <c:w val="0.49532384840783789"/>
          <c:h val="9.25267753853043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0"/>
              <a:t>seasonal component</a:t>
            </a:r>
          </a:p>
        </c:rich>
      </c:tx>
      <c:layout>
        <c:manualLayout>
          <c:xMode val="edge"/>
          <c:yMode val="edge"/>
          <c:x val="0.30120311394196747"/>
          <c:y val="0"/>
        </c:manualLayout>
      </c:layout>
      <c:overlay val="0"/>
    </c:title>
    <c:autoTitleDeleted val="0"/>
    <c:plotArea>
      <c:layout>
        <c:manualLayout>
          <c:layoutTarget val="inner"/>
          <c:xMode val="edge"/>
          <c:yMode val="edge"/>
          <c:x val="9.8948776405295674E-2"/>
          <c:y val="0.12081746823900534"/>
          <c:w val="0.87503225648195826"/>
          <c:h val="0.71787426219609873"/>
        </c:manualLayout>
      </c:layout>
      <c:lineChart>
        <c:grouping val="standard"/>
        <c:varyColors val="0"/>
        <c:ser>
          <c:idx val="1"/>
          <c:order val="1"/>
          <c:tx>
            <c:strRef>
              <c:f>Saison!$D$5</c:f>
              <c:strCache>
                <c:ptCount val="1"/>
              </c:strCache>
            </c:strRef>
          </c:tx>
          <c:spPr>
            <a:ln w="25400"/>
          </c:spPr>
          <c:marker>
            <c:symbol val="none"/>
          </c:marker>
          <c:cat>
            <c:strRef>
              <c:f>Saison!$B$6:$B$101</c:f>
              <c:strCache>
                <c:ptCount val="92"/>
                <c:pt idx="3">
                  <c:v>Jan</c:v>
                </c:pt>
                <c:pt idx="12">
                  <c:v>Feb</c:v>
                </c:pt>
                <c:pt idx="19">
                  <c:v>Mar</c:v>
                </c:pt>
                <c:pt idx="27">
                  <c:v>Apr</c:v>
                </c:pt>
                <c:pt idx="35">
                  <c:v>May</c:v>
                </c:pt>
                <c:pt idx="43">
                  <c:v>Jun</c:v>
                </c:pt>
                <c:pt idx="51">
                  <c:v>Jul</c:v>
                </c:pt>
                <c:pt idx="59">
                  <c:v>Aug</c:v>
                </c:pt>
                <c:pt idx="67">
                  <c:v>Sep</c:v>
                </c:pt>
                <c:pt idx="75">
                  <c:v>Oct</c:v>
                </c:pt>
                <c:pt idx="83">
                  <c:v>Nov</c:v>
                </c:pt>
                <c:pt idx="91">
                  <c:v>Dec</c:v>
                </c:pt>
              </c:strCache>
            </c:strRef>
          </c:cat>
          <c:val>
            <c:numRef>
              <c:f>Saison!$D$6:$D$101</c:f>
              <c:numCache>
                <c:formatCode>General</c:formatCode>
                <c:ptCount val="96"/>
                <c:pt idx="1">
                  <c:v>90.234300000000005</c:v>
                </c:pt>
                <c:pt idx="2">
                  <c:v>90.260710000000003</c:v>
                </c:pt>
                <c:pt idx="3">
                  <c:v>90.39564</c:v>
                </c:pt>
                <c:pt idx="4">
                  <c:v>90.495369999999994</c:v>
                </c:pt>
                <c:pt idx="5">
                  <c:v>90.671689999999998</c:v>
                </c:pt>
                <c:pt idx="6">
                  <c:v>90.747110000000006</c:v>
                </c:pt>
                <c:pt idx="9">
                  <c:v>91.644710000000003</c:v>
                </c:pt>
                <c:pt idx="10">
                  <c:v>91.734530000000007</c:v>
                </c:pt>
                <c:pt idx="11">
                  <c:v>91.841070000000002</c:v>
                </c:pt>
                <c:pt idx="12">
                  <c:v>91.953490000000002</c:v>
                </c:pt>
                <c:pt idx="13">
                  <c:v>91.991429999999994</c:v>
                </c:pt>
                <c:pt idx="14">
                  <c:v>91.982280000000003</c:v>
                </c:pt>
                <c:pt idx="17">
                  <c:v>105.43444</c:v>
                </c:pt>
                <c:pt idx="18">
                  <c:v>105.42928999999999</c:v>
                </c:pt>
                <c:pt idx="19">
                  <c:v>105.45594</c:v>
                </c:pt>
                <c:pt idx="20">
                  <c:v>105.46418</c:v>
                </c:pt>
                <c:pt idx="21">
                  <c:v>105.53163000000001</c:v>
                </c:pt>
                <c:pt idx="22">
                  <c:v>105.57353999999999</c:v>
                </c:pt>
                <c:pt idx="25">
                  <c:v>99.209429999999998</c:v>
                </c:pt>
                <c:pt idx="26">
                  <c:v>99.317779999999999</c:v>
                </c:pt>
                <c:pt idx="27">
                  <c:v>99.360609999999994</c:v>
                </c:pt>
                <c:pt idx="28">
                  <c:v>99.467140000000001</c:v>
                </c:pt>
                <c:pt idx="29">
                  <c:v>99.493449999999996</c:v>
                </c:pt>
                <c:pt idx="30">
                  <c:v>99.574169999999995</c:v>
                </c:pt>
                <c:pt idx="33">
                  <c:v>99.139060000000001</c:v>
                </c:pt>
                <c:pt idx="34">
                  <c:v>99.168760000000006</c:v>
                </c:pt>
                <c:pt idx="35">
                  <c:v>99.16704</c:v>
                </c:pt>
                <c:pt idx="36">
                  <c:v>99.163240000000002</c:v>
                </c:pt>
                <c:pt idx="37">
                  <c:v>99.151430000000005</c:v>
                </c:pt>
                <c:pt idx="41">
                  <c:v>101.19086</c:v>
                </c:pt>
                <c:pt idx="42">
                  <c:v>101.32579</c:v>
                </c:pt>
                <c:pt idx="43">
                  <c:v>101.42371</c:v>
                </c:pt>
                <c:pt idx="44">
                  <c:v>101.47101000000001</c:v>
                </c:pt>
                <c:pt idx="45">
                  <c:v>101.46236</c:v>
                </c:pt>
                <c:pt idx="49">
                  <c:v>100.98345</c:v>
                </c:pt>
                <c:pt idx="50">
                  <c:v>100.94571999999999</c:v>
                </c:pt>
                <c:pt idx="51">
                  <c:v>100.92985</c:v>
                </c:pt>
                <c:pt idx="52">
                  <c:v>100.93541999999999</c:v>
                </c:pt>
                <c:pt idx="53">
                  <c:v>100.95465</c:v>
                </c:pt>
                <c:pt idx="57">
                  <c:v>95.884159999999994</c:v>
                </c:pt>
                <c:pt idx="58">
                  <c:v>95.809139999999999</c:v>
                </c:pt>
                <c:pt idx="59">
                  <c:v>95.731039999999993</c:v>
                </c:pt>
                <c:pt idx="60">
                  <c:v>95.661289999999994</c:v>
                </c:pt>
                <c:pt idx="61">
                  <c:v>95.592879999999994</c:v>
                </c:pt>
                <c:pt idx="65">
                  <c:v>102.32056</c:v>
                </c:pt>
                <c:pt idx="66">
                  <c:v>102.19159000000001</c:v>
                </c:pt>
                <c:pt idx="67">
                  <c:v>102.05802</c:v>
                </c:pt>
                <c:pt idx="68">
                  <c:v>101.93693</c:v>
                </c:pt>
                <c:pt idx="69">
                  <c:v>101.86566999999999</c:v>
                </c:pt>
                <c:pt idx="73">
                  <c:v>103.64161</c:v>
                </c:pt>
                <c:pt idx="74">
                  <c:v>103.41606</c:v>
                </c:pt>
                <c:pt idx="75">
                  <c:v>103.25069000000001</c:v>
                </c:pt>
                <c:pt idx="76">
                  <c:v>103.02459</c:v>
                </c:pt>
                <c:pt idx="77">
                  <c:v>102.94909</c:v>
                </c:pt>
                <c:pt idx="81">
                  <c:v>104.46579</c:v>
                </c:pt>
                <c:pt idx="82">
                  <c:v>104.41426</c:v>
                </c:pt>
                <c:pt idx="83">
                  <c:v>104.40161000000001</c:v>
                </c:pt>
                <c:pt idx="84">
                  <c:v>104.41291</c:v>
                </c:pt>
                <c:pt idx="85">
                  <c:v>104.40993</c:v>
                </c:pt>
                <c:pt idx="89">
                  <c:v>105.70855</c:v>
                </c:pt>
                <c:pt idx="90">
                  <c:v>105.77196000000001</c:v>
                </c:pt>
                <c:pt idx="91">
                  <c:v>105.78485999999999</c:v>
                </c:pt>
                <c:pt idx="92">
                  <c:v>105.81147</c:v>
                </c:pt>
                <c:pt idx="93">
                  <c:v>105.82096</c:v>
                </c:pt>
              </c:numCache>
            </c:numRef>
          </c:val>
          <c:smooth val="0"/>
          <c:extLst>
            <c:ext xmlns:c16="http://schemas.microsoft.com/office/drawing/2014/chart" uri="{C3380CC4-5D6E-409C-BE32-E72D297353CC}">
              <c16:uniqueId val="{00000000-3E82-4922-99E0-B4FF09089911}"/>
            </c:ext>
          </c:extLst>
        </c:ser>
        <c:dLbls>
          <c:showLegendKey val="0"/>
          <c:showVal val="0"/>
          <c:showCatName val="0"/>
          <c:showSerName val="0"/>
          <c:showPercent val="0"/>
          <c:showBubbleSize val="0"/>
        </c:dLbls>
        <c:marker val="1"/>
        <c:smooth val="0"/>
        <c:axId val="181392384"/>
        <c:axId val="187820288"/>
      </c:lineChart>
      <c:scatterChart>
        <c:scatterStyle val="lineMarker"/>
        <c:varyColors val="0"/>
        <c:ser>
          <c:idx val="0"/>
          <c:order val="0"/>
          <c:tx>
            <c:strRef>
              <c:f>Saison!$C$5</c:f>
              <c:strCache>
                <c:ptCount val="1"/>
              </c:strCache>
            </c:strRef>
          </c:tx>
          <c:spPr>
            <a:ln w="25400">
              <a:solidFill>
                <a:schemeClr val="accent1"/>
              </a:solidFill>
            </a:ln>
          </c:spPr>
          <c:marker>
            <c:symbol val="none"/>
          </c:marker>
          <c:yVal>
            <c:numRef>
              <c:f>Saison!$C$6:$C$101</c:f>
              <c:numCache>
                <c:formatCode>General</c:formatCode>
                <c:ptCount val="96"/>
                <c:pt idx="1">
                  <c:v>89.048810000000003</c:v>
                </c:pt>
                <c:pt idx="2">
                  <c:v>88.977590000000006</c:v>
                </c:pt>
                <c:pt idx="3">
                  <c:v>88.911119999999997</c:v>
                </c:pt>
                <c:pt idx="4">
                  <c:v>88.799840000000003</c:v>
                </c:pt>
                <c:pt idx="5">
                  <c:v>88.80377</c:v>
                </c:pt>
                <c:pt idx="6">
                  <c:v>88.80574</c:v>
                </c:pt>
                <c:pt idx="9">
                  <c:v>91.153909999999996</c:v>
                </c:pt>
                <c:pt idx="10">
                  <c:v>91.120249999999999</c:v>
                </c:pt>
                <c:pt idx="11">
                  <c:v>91.115459999999999</c:v>
                </c:pt>
                <c:pt idx="12">
                  <c:v>91.077529999999996</c:v>
                </c:pt>
                <c:pt idx="13">
                  <c:v>91.025679999999994</c:v>
                </c:pt>
                <c:pt idx="14">
                  <c:v>90.958609999999993</c:v>
                </c:pt>
                <c:pt idx="17">
                  <c:v>105.26185</c:v>
                </c:pt>
                <c:pt idx="18">
                  <c:v>105.22729</c:v>
                </c:pt>
                <c:pt idx="19">
                  <c:v>105.20053</c:v>
                </c:pt>
                <c:pt idx="20">
                  <c:v>105.17793</c:v>
                </c:pt>
                <c:pt idx="21">
                  <c:v>105.17659</c:v>
                </c:pt>
                <c:pt idx="22">
                  <c:v>105.16840000000001</c:v>
                </c:pt>
                <c:pt idx="25">
                  <c:v>99.773889999999994</c:v>
                </c:pt>
                <c:pt idx="26">
                  <c:v>99.81456</c:v>
                </c:pt>
                <c:pt idx="27">
                  <c:v>99.855490000000003</c:v>
                </c:pt>
                <c:pt idx="28">
                  <c:v>99.950720000000004</c:v>
                </c:pt>
                <c:pt idx="29">
                  <c:v>99.969499999999996</c:v>
                </c:pt>
                <c:pt idx="30">
                  <c:v>99.997399999999999</c:v>
                </c:pt>
                <c:pt idx="33">
                  <c:v>100.07767</c:v>
                </c:pt>
                <c:pt idx="34">
                  <c:v>100.03079</c:v>
                </c:pt>
                <c:pt idx="35">
                  <c:v>99.969700000000003</c:v>
                </c:pt>
                <c:pt idx="36">
                  <c:v>99.923640000000006</c:v>
                </c:pt>
                <c:pt idx="37">
                  <c:v>99.911540000000002</c:v>
                </c:pt>
                <c:pt idx="41">
                  <c:v>102.22662</c:v>
                </c:pt>
                <c:pt idx="42">
                  <c:v>102.29671999999999</c:v>
                </c:pt>
                <c:pt idx="43">
                  <c:v>102.39283</c:v>
                </c:pt>
                <c:pt idx="44">
                  <c:v>102.4958</c:v>
                </c:pt>
                <c:pt idx="45">
                  <c:v>102.55682</c:v>
                </c:pt>
                <c:pt idx="49">
                  <c:v>101.02988999999999</c:v>
                </c:pt>
                <c:pt idx="50">
                  <c:v>101.10612999999999</c:v>
                </c:pt>
                <c:pt idx="51">
                  <c:v>101.17708</c:v>
                </c:pt>
                <c:pt idx="52">
                  <c:v>101.28315000000001</c:v>
                </c:pt>
                <c:pt idx="53">
                  <c:v>101.37315</c:v>
                </c:pt>
                <c:pt idx="57">
                  <c:v>96.091830000000002</c:v>
                </c:pt>
                <c:pt idx="58">
                  <c:v>96.080730000000003</c:v>
                </c:pt>
                <c:pt idx="59">
                  <c:v>96.085930000000005</c:v>
                </c:pt>
                <c:pt idx="60">
                  <c:v>96.068860000000001</c:v>
                </c:pt>
                <c:pt idx="61">
                  <c:v>96.031130000000005</c:v>
                </c:pt>
                <c:pt idx="65">
                  <c:v>102.32898</c:v>
                </c:pt>
                <c:pt idx="66">
                  <c:v>102.30840999999999</c:v>
                </c:pt>
                <c:pt idx="67">
                  <c:v>102.29389999999999</c:v>
                </c:pt>
                <c:pt idx="68">
                  <c:v>102.29789</c:v>
                </c:pt>
                <c:pt idx="69">
                  <c:v>102.27762</c:v>
                </c:pt>
                <c:pt idx="73">
                  <c:v>104.49896</c:v>
                </c:pt>
                <c:pt idx="74">
                  <c:v>104.44840000000001</c:v>
                </c:pt>
                <c:pt idx="75">
                  <c:v>104.38924</c:v>
                </c:pt>
                <c:pt idx="76">
                  <c:v>104.22454999999999</c:v>
                </c:pt>
                <c:pt idx="77">
                  <c:v>104.10551</c:v>
                </c:pt>
                <c:pt idx="81">
                  <c:v>105.17843000000001</c:v>
                </c:pt>
                <c:pt idx="82">
                  <c:v>105.29671</c:v>
                </c:pt>
                <c:pt idx="83">
                  <c:v>105.45599</c:v>
                </c:pt>
                <c:pt idx="84">
                  <c:v>105.56843000000001</c:v>
                </c:pt>
                <c:pt idx="85">
                  <c:v>105.67265999999999</c:v>
                </c:pt>
                <c:pt idx="89">
                  <c:v>103.39865</c:v>
                </c:pt>
                <c:pt idx="90">
                  <c:v>103.30495999999999</c:v>
                </c:pt>
                <c:pt idx="91">
                  <c:v>103.19410000000001</c:v>
                </c:pt>
                <c:pt idx="92">
                  <c:v>103.11450000000001</c:v>
                </c:pt>
                <c:pt idx="93">
                  <c:v>103.13269</c:v>
                </c:pt>
              </c:numCache>
            </c:numRef>
          </c:yVal>
          <c:smooth val="0"/>
          <c:extLst>
            <c:ext xmlns:c16="http://schemas.microsoft.com/office/drawing/2014/chart" uri="{C3380CC4-5D6E-409C-BE32-E72D297353CC}">
              <c16:uniqueId val="{00000001-3E82-4922-99E0-B4FF09089911}"/>
            </c:ext>
          </c:extLst>
        </c:ser>
        <c:dLbls>
          <c:showLegendKey val="0"/>
          <c:showVal val="0"/>
          <c:showCatName val="0"/>
          <c:showSerName val="0"/>
          <c:showPercent val="0"/>
          <c:showBubbleSize val="0"/>
        </c:dLbls>
        <c:axId val="181392384"/>
        <c:axId val="187820288"/>
      </c:scatterChart>
      <c:catAx>
        <c:axId val="181392384"/>
        <c:scaling>
          <c:orientation val="minMax"/>
        </c:scaling>
        <c:delete val="0"/>
        <c:axPos val="b"/>
        <c:majorGridlines/>
        <c:minorGridlines>
          <c:spPr>
            <a:ln>
              <a:noFill/>
            </a:ln>
          </c:spPr>
        </c:minorGridlines>
        <c:numFmt formatCode="General" sourceLinked="1"/>
        <c:majorTickMark val="out"/>
        <c:minorTickMark val="none"/>
        <c:tickLblPos val="nextTo"/>
        <c:txPr>
          <a:bodyPr/>
          <a:lstStyle/>
          <a:p>
            <a:pPr>
              <a:defRPr sz="800"/>
            </a:pPr>
            <a:endParaRPr lang="de-DE"/>
          </a:p>
        </c:txPr>
        <c:crossAx val="187820288"/>
        <c:crossesAt val="100"/>
        <c:auto val="1"/>
        <c:lblAlgn val="ctr"/>
        <c:lblOffset val="100"/>
        <c:tickLblSkip val="8"/>
        <c:tickMarkSkip val="8"/>
        <c:noMultiLvlLbl val="0"/>
      </c:catAx>
      <c:valAx>
        <c:axId val="187820288"/>
        <c:scaling>
          <c:orientation val="minMax"/>
          <c:max val="130"/>
          <c:min val="80"/>
        </c:scaling>
        <c:delete val="0"/>
        <c:axPos val="l"/>
        <c:majorGridlines>
          <c:spPr>
            <a:ln>
              <a:noFill/>
            </a:ln>
          </c:spPr>
        </c:majorGridlines>
        <c:numFmt formatCode="General" sourceLinked="1"/>
        <c:majorTickMark val="none"/>
        <c:minorTickMark val="none"/>
        <c:tickLblPos val="nextTo"/>
        <c:txPr>
          <a:bodyPr/>
          <a:lstStyle/>
          <a:p>
            <a:pPr>
              <a:defRPr sz="800"/>
            </a:pPr>
            <a:endParaRPr lang="de-DE"/>
          </a:p>
        </c:txPr>
        <c:crossAx val="181392384"/>
        <c:crossesAt val="1"/>
        <c:crossBetween val="between"/>
        <c:majorUnit val="10"/>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0"/>
              <a:t>calender component</a:t>
            </a:r>
          </a:p>
        </c:rich>
      </c:tx>
      <c:layout>
        <c:manualLayout>
          <c:xMode val="edge"/>
          <c:yMode val="edge"/>
          <c:x val="0.30120311394196747"/>
          <c:y val="0"/>
        </c:manualLayout>
      </c:layout>
      <c:overlay val="0"/>
    </c:title>
    <c:autoTitleDeleted val="0"/>
    <c:plotArea>
      <c:layout>
        <c:manualLayout>
          <c:layoutTarget val="inner"/>
          <c:xMode val="edge"/>
          <c:yMode val="edge"/>
          <c:x val="9.8948776405295674E-2"/>
          <c:y val="0.12081746823900534"/>
          <c:w val="0.87503225648195826"/>
          <c:h val="0.71787426219609873"/>
        </c:manualLayout>
      </c:layout>
      <c:lineChart>
        <c:grouping val="standard"/>
        <c:varyColors val="0"/>
        <c:ser>
          <c:idx val="1"/>
          <c:order val="1"/>
          <c:tx>
            <c:strRef>
              <c:f>Kalender!$D$5</c:f>
              <c:strCache>
                <c:ptCount val="1"/>
              </c:strCache>
            </c:strRef>
          </c:tx>
          <c:spPr>
            <a:ln w="25400"/>
          </c:spPr>
          <c:marker>
            <c:symbol val="none"/>
          </c:marker>
          <c:cat>
            <c:strRef>
              <c:f>Kalender!$B$6:$B$101</c:f>
              <c:strCache>
                <c:ptCount val="92"/>
                <c:pt idx="3">
                  <c:v>Jan</c:v>
                </c:pt>
                <c:pt idx="12">
                  <c:v>Feb</c:v>
                </c:pt>
                <c:pt idx="19">
                  <c:v>Mar</c:v>
                </c:pt>
                <c:pt idx="27">
                  <c:v>Apr</c:v>
                </c:pt>
                <c:pt idx="35">
                  <c:v>May</c:v>
                </c:pt>
                <c:pt idx="43">
                  <c:v>Jun</c:v>
                </c:pt>
                <c:pt idx="51">
                  <c:v>Jul</c:v>
                </c:pt>
                <c:pt idx="59">
                  <c:v>Aug</c:v>
                </c:pt>
                <c:pt idx="67">
                  <c:v>Sep</c:v>
                </c:pt>
                <c:pt idx="75">
                  <c:v>Oct</c:v>
                </c:pt>
                <c:pt idx="83">
                  <c:v>Nov</c:v>
                </c:pt>
                <c:pt idx="91">
                  <c:v>Dec</c:v>
                </c:pt>
              </c:strCache>
            </c:strRef>
          </c:cat>
          <c:val>
            <c:numRef>
              <c:f>Kalender!$D$6:$D$101</c:f>
              <c:numCache>
                <c:formatCode>General</c:formatCode>
                <c:ptCount val="96"/>
                <c:pt idx="1">
                  <c:v>98.405240000000006</c:v>
                </c:pt>
                <c:pt idx="2">
                  <c:v>95.544920000000005</c:v>
                </c:pt>
                <c:pt idx="3">
                  <c:v>101.35118</c:v>
                </c:pt>
                <c:pt idx="4">
                  <c:v>102.55410999999999</c:v>
                </c:pt>
                <c:pt idx="5">
                  <c:v>102.55410999999999</c:v>
                </c:pt>
                <c:pt idx="6">
                  <c:v>101.35118</c:v>
                </c:pt>
                <c:pt idx="9">
                  <c:v>99.236000000000004</c:v>
                </c:pt>
                <c:pt idx="10">
                  <c:v>102.20681</c:v>
                </c:pt>
                <c:pt idx="11">
                  <c:v>99.236000000000004</c:v>
                </c:pt>
                <c:pt idx="12">
                  <c:v>99.236000000000004</c:v>
                </c:pt>
                <c:pt idx="13">
                  <c:v>100.41382</c:v>
                </c:pt>
                <c:pt idx="14">
                  <c:v>99.236000000000004</c:v>
                </c:pt>
                <c:pt idx="17">
                  <c:v>101.06757</c:v>
                </c:pt>
                <c:pt idx="18">
                  <c:v>98.129869999999997</c:v>
                </c:pt>
                <c:pt idx="19">
                  <c:v>104.09321</c:v>
                </c:pt>
                <c:pt idx="20">
                  <c:v>98.129869999999997</c:v>
                </c:pt>
                <c:pt idx="21">
                  <c:v>96.978840000000005</c:v>
                </c:pt>
                <c:pt idx="22">
                  <c:v>101.06757</c:v>
                </c:pt>
                <c:pt idx="25">
                  <c:v>100.44344</c:v>
                </c:pt>
                <c:pt idx="26">
                  <c:v>103.4504</c:v>
                </c:pt>
                <c:pt idx="27">
                  <c:v>94.689189999999996</c:v>
                </c:pt>
                <c:pt idx="28">
                  <c:v>100.44344</c:v>
                </c:pt>
                <c:pt idx="29">
                  <c:v>100.44344</c:v>
                </c:pt>
                <c:pt idx="30">
                  <c:v>100.44344</c:v>
                </c:pt>
                <c:pt idx="33">
                  <c:v>95.017939999999996</c:v>
                </c:pt>
                <c:pt idx="34">
                  <c:v>98.732339999999994</c:v>
                </c:pt>
                <c:pt idx="35">
                  <c:v>103.80958</c:v>
                </c:pt>
                <c:pt idx="36">
                  <c:v>98.732339999999994</c:v>
                </c:pt>
                <c:pt idx="37">
                  <c:v>103.80958</c:v>
                </c:pt>
                <c:pt idx="41">
                  <c:v>102.63733000000001</c:v>
                </c:pt>
                <c:pt idx="42">
                  <c:v>104.77864</c:v>
                </c:pt>
                <c:pt idx="43">
                  <c:v>99.653999999999996</c:v>
                </c:pt>
                <c:pt idx="44">
                  <c:v>101.73308</c:v>
                </c:pt>
                <c:pt idx="45">
                  <c:v>93.944969999999998</c:v>
                </c:pt>
                <c:pt idx="49">
                  <c:v>102.46339999999999</c:v>
                </c:pt>
                <c:pt idx="50">
                  <c:v>96.593419999999995</c:v>
                </c:pt>
                <c:pt idx="51">
                  <c:v>96.593419999999995</c:v>
                </c:pt>
                <c:pt idx="52">
                  <c:v>99.485119999999995</c:v>
                </c:pt>
                <c:pt idx="53">
                  <c:v>102.46339999999999</c:v>
                </c:pt>
                <c:pt idx="57">
                  <c:v>97.136300000000006</c:v>
                </c:pt>
                <c:pt idx="58">
                  <c:v>102.43317999999999</c:v>
                </c:pt>
                <c:pt idx="59">
                  <c:v>102.43317999999999</c:v>
                </c:pt>
                <c:pt idx="60">
                  <c:v>102.43317999999999</c:v>
                </c:pt>
                <c:pt idx="61">
                  <c:v>99.455780000000004</c:v>
                </c:pt>
                <c:pt idx="65">
                  <c:v>101.71057</c:v>
                </c:pt>
                <c:pt idx="66">
                  <c:v>101.71057</c:v>
                </c:pt>
                <c:pt idx="67">
                  <c:v>98.754180000000005</c:v>
                </c:pt>
                <c:pt idx="68">
                  <c:v>95.883719999999997</c:v>
                </c:pt>
                <c:pt idx="69">
                  <c:v>98.754180000000005</c:v>
                </c:pt>
                <c:pt idx="73">
                  <c:v>101.98095000000001</c:v>
                </c:pt>
                <c:pt idx="74">
                  <c:v>95.855440000000002</c:v>
                </c:pt>
                <c:pt idx="75">
                  <c:v>96.13861</c:v>
                </c:pt>
                <c:pt idx="76">
                  <c:v>101.38108</c:v>
                </c:pt>
                <c:pt idx="77">
                  <c:v>101.38108</c:v>
                </c:pt>
                <c:pt idx="81">
                  <c:v>100.53977999999999</c:v>
                </c:pt>
                <c:pt idx="82">
                  <c:v>101.43343</c:v>
                </c:pt>
                <c:pt idx="83">
                  <c:v>101.43343</c:v>
                </c:pt>
                <c:pt idx="84">
                  <c:v>101.43343</c:v>
                </c:pt>
                <c:pt idx="85">
                  <c:v>98.485100000000003</c:v>
                </c:pt>
                <c:pt idx="89">
                  <c:v>101.30791000000001</c:v>
                </c:pt>
                <c:pt idx="90">
                  <c:v>103.14004</c:v>
                </c:pt>
                <c:pt idx="91">
                  <c:v>99.508330000000001</c:v>
                </c:pt>
                <c:pt idx="92">
                  <c:v>96.004490000000004</c:v>
                </c:pt>
                <c:pt idx="93">
                  <c:v>97.740710000000007</c:v>
                </c:pt>
              </c:numCache>
            </c:numRef>
          </c:val>
          <c:smooth val="0"/>
          <c:extLst>
            <c:ext xmlns:c16="http://schemas.microsoft.com/office/drawing/2014/chart" uri="{C3380CC4-5D6E-409C-BE32-E72D297353CC}">
              <c16:uniqueId val="{00000000-5DFA-4253-96D4-3D7DA68A743A}"/>
            </c:ext>
          </c:extLst>
        </c:ser>
        <c:dLbls>
          <c:showLegendKey val="0"/>
          <c:showVal val="0"/>
          <c:showCatName val="0"/>
          <c:showSerName val="0"/>
          <c:showPercent val="0"/>
          <c:showBubbleSize val="0"/>
        </c:dLbls>
        <c:marker val="1"/>
        <c:smooth val="0"/>
        <c:axId val="181392384"/>
        <c:axId val="187820288"/>
      </c:lineChart>
      <c:scatterChart>
        <c:scatterStyle val="lineMarker"/>
        <c:varyColors val="0"/>
        <c:ser>
          <c:idx val="0"/>
          <c:order val="0"/>
          <c:tx>
            <c:strRef>
              <c:f>Kalender!$C$5</c:f>
              <c:strCache>
                <c:ptCount val="1"/>
              </c:strCache>
            </c:strRef>
          </c:tx>
          <c:spPr>
            <a:ln w="25400">
              <a:solidFill>
                <a:schemeClr val="accent1"/>
              </a:solidFill>
            </a:ln>
          </c:spPr>
          <c:marker>
            <c:symbol val="none"/>
          </c:marker>
          <c:yVal>
            <c:numRef>
              <c:f>Kalender!$C$6:$C$101</c:f>
              <c:numCache>
                <c:formatCode>General</c:formatCode>
                <c:ptCount val="96"/>
                <c:pt idx="1">
                  <c:v>98.399590000000003</c:v>
                </c:pt>
                <c:pt idx="2">
                  <c:v>95.529359999999997</c:v>
                </c:pt>
                <c:pt idx="3">
                  <c:v>101.35603999999999</c:v>
                </c:pt>
                <c:pt idx="4">
                  <c:v>102.56335</c:v>
                </c:pt>
                <c:pt idx="5">
                  <c:v>102.56335</c:v>
                </c:pt>
                <c:pt idx="6">
                  <c:v>101.35603999999999</c:v>
                </c:pt>
                <c:pt idx="9">
                  <c:v>99.233279999999993</c:v>
                </c:pt>
                <c:pt idx="10">
                  <c:v>102.21478999999999</c:v>
                </c:pt>
                <c:pt idx="11">
                  <c:v>99.233279999999993</c:v>
                </c:pt>
                <c:pt idx="12">
                  <c:v>99.233279999999993</c:v>
                </c:pt>
                <c:pt idx="13">
                  <c:v>100.4153</c:v>
                </c:pt>
                <c:pt idx="14">
                  <c:v>99.233279999999993</c:v>
                </c:pt>
                <c:pt idx="17">
                  <c:v>101.0714</c:v>
                </c:pt>
                <c:pt idx="18">
                  <c:v>98.123249999999999</c:v>
                </c:pt>
                <c:pt idx="19">
                  <c:v>104.10814000000001</c:v>
                </c:pt>
                <c:pt idx="20">
                  <c:v>98.123249999999999</c:v>
                </c:pt>
                <c:pt idx="21">
                  <c:v>96.968209999999999</c:v>
                </c:pt>
                <c:pt idx="22">
                  <c:v>101.0714</c:v>
                </c:pt>
                <c:pt idx="25">
                  <c:v>100.44503</c:v>
                </c:pt>
                <c:pt idx="26">
                  <c:v>103.46295000000001</c:v>
                </c:pt>
                <c:pt idx="27">
                  <c:v>94.670720000000003</c:v>
                </c:pt>
                <c:pt idx="28">
                  <c:v>100.44503</c:v>
                </c:pt>
                <c:pt idx="29">
                  <c:v>100.44503</c:v>
                </c:pt>
                <c:pt idx="30">
                  <c:v>100.44503</c:v>
                </c:pt>
                <c:pt idx="33">
                  <c:v>95.000590000000003</c:v>
                </c:pt>
                <c:pt idx="34">
                  <c:v>98.72784</c:v>
                </c:pt>
                <c:pt idx="35">
                  <c:v>103.82344999999999</c:v>
                </c:pt>
                <c:pt idx="36">
                  <c:v>98.72784</c:v>
                </c:pt>
                <c:pt idx="37">
                  <c:v>103.82344999999999</c:v>
                </c:pt>
                <c:pt idx="41">
                  <c:v>102.64688</c:v>
                </c:pt>
                <c:pt idx="42">
                  <c:v>104.79613000000001</c:v>
                </c:pt>
                <c:pt idx="43">
                  <c:v>99.652770000000004</c:v>
                </c:pt>
                <c:pt idx="44">
                  <c:v>101.73932000000001</c:v>
                </c:pt>
                <c:pt idx="45">
                  <c:v>93.924009999999996</c:v>
                </c:pt>
                <c:pt idx="49">
                  <c:v>102.47230999999999</c:v>
                </c:pt>
                <c:pt idx="50">
                  <c:v>96.581460000000007</c:v>
                </c:pt>
                <c:pt idx="51">
                  <c:v>96.581460000000007</c:v>
                </c:pt>
                <c:pt idx="52">
                  <c:v>99.483289999999997</c:v>
                </c:pt>
                <c:pt idx="53">
                  <c:v>102.47230999999999</c:v>
                </c:pt>
                <c:pt idx="57">
                  <c:v>97.12621</c:v>
                </c:pt>
                <c:pt idx="58">
                  <c:v>102.44198</c:v>
                </c:pt>
                <c:pt idx="59">
                  <c:v>102.44198</c:v>
                </c:pt>
                <c:pt idx="60">
                  <c:v>102.44198</c:v>
                </c:pt>
                <c:pt idx="61">
                  <c:v>99.45384</c:v>
                </c:pt>
                <c:pt idx="65">
                  <c:v>101.71674</c:v>
                </c:pt>
                <c:pt idx="66">
                  <c:v>101.71674</c:v>
                </c:pt>
                <c:pt idx="67">
                  <c:v>98.749759999999995</c:v>
                </c:pt>
                <c:pt idx="68">
                  <c:v>95.869320000000002</c:v>
                </c:pt>
                <c:pt idx="69">
                  <c:v>98.749759999999995</c:v>
                </c:pt>
                <c:pt idx="73">
                  <c:v>101.9881</c:v>
                </c:pt>
                <c:pt idx="74">
                  <c:v>95.840950000000007</c:v>
                </c:pt>
                <c:pt idx="75">
                  <c:v>96.125079999999997</c:v>
                </c:pt>
                <c:pt idx="76">
                  <c:v>101.38605</c:v>
                </c:pt>
                <c:pt idx="77">
                  <c:v>101.38605</c:v>
                </c:pt>
                <c:pt idx="81">
                  <c:v>100.54172</c:v>
                </c:pt>
                <c:pt idx="82">
                  <c:v>101.43859</c:v>
                </c:pt>
                <c:pt idx="83">
                  <c:v>101.43859</c:v>
                </c:pt>
                <c:pt idx="84">
                  <c:v>101.43859</c:v>
                </c:pt>
                <c:pt idx="85">
                  <c:v>98.47972</c:v>
                </c:pt>
                <c:pt idx="89">
                  <c:v>100.86093</c:v>
                </c:pt>
                <c:pt idx="90">
                  <c:v>102.06059</c:v>
                </c:pt>
                <c:pt idx="91">
                  <c:v>99.675370000000001</c:v>
                </c:pt>
                <c:pt idx="92">
                  <c:v>97.345879999999994</c:v>
                </c:pt>
                <c:pt idx="93">
                  <c:v>98.503739999999993</c:v>
                </c:pt>
              </c:numCache>
            </c:numRef>
          </c:yVal>
          <c:smooth val="0"/>
          <c:extLst>
            <c:ext xmlns:c16="http://schemas.microsoft.com/office/drawing/2014/chart" uri="{C3380CC4-5D6E-409C-BE32-E72D297353CC}">
              <c16:uniqueId val="{00000001-5DFA-4253-96D4-3D7DA68A743A}"/>
            </c:ext>
          </c:extLst>
        </c:ser>
        <c:dLbls>
          <c:showLegendKey val="0"/>
          <c:showVal val="0"/>
          <c:showCatName val="0"/>
          <c:showSerName val="0"/>
          <c:showPercent val="0"/>
          <c:showBubbleSize val="0"/>
        </c:dLbls>
        <c:axId val="181392384"/>
        <c:axId val="187820288"/>
      </c:scatterChart>
      <c:catAx>
        <c:axId val="181392384"/>
        <c:scaling>
          <c:orientation val="minMax"/>
        </c:scaling>
        <c:delete val="0"/>
        <c:axPos val="b"/>
        <c:majorGridlines/>
        <c:minorGridlines>
          <c:spPr>
            <a:ln>
              <a:noFill/>
            </a:ln>
          </c:spPr>
        </c:minorGridlines>
        <c:numFmt formatCode="General" sourceLinked="1"/>
        <c:majorTickMark val="out"/>
        <c:minorTickMark val="none"/>
        <c:tickLblPos val="nextTo"/>
        <c:txPr>
          <a:bodyPr/>
          <a:lstStyle/>
          <a:p>
            <a:pPr>
              <a:defRPr sz="800"/>
            </a:pPr>
            <a:endParaRPr lang="de-DE"/>
          </a:p>
        </c:txPr>
        <c:crossAx val="187820288"/>
        <c:crossesAt val="100"/>
        <c:auto val="1"/>
        <c:lblAlgn val="ctr"/>
        <c:lblOffset val="100"/>
        <c:tickLblSkip val="8"/>
        <c:tickMarkSkip val="8"/>
        <c:noMultiLvlLbl val="0"/>
      </c:catAx>
      <c:valAx>
        <c:axId val="187820288"/>
        <c:scaling>
          <c:orientation val="minMax"/>
          <c:max val="130"/>
          <c:min val="80"/>
        </c:scaling>
        <c:delete val="0"/>
        <c:axPos val="l"/>
        <c:majorGridlines>
          <c:spPr>
            <a:ln>
              <a:noFill/>
            </a:ln>
          </c:spPr>
        </c:majorGridlines>
        <c:numFmt formatCode="General" sourceLinked="1"/>
        <c:majorTickMark val="none"/>
        <c:minorTickMark val="none"/>
        <c:tickLblPos val="nextTo"/>
        <c:txPr>
          <a:bodyPr/>
          <a:lstStyle/>
          <a:p>
            <a:pPr>
              <a:defRPr sz="800"/>
            </a:pPr>
            <a:endParaRPr lang="de-DE"/>
          </a:p>
        </c:txPr>
        <c:crossAx val="181392384"/>
        <c:crossesAt val="1"/>
        <c:crossBetween val="between"/>
        <c:majorUnit val="10"/>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0"/>
              <a:t>trend</a:t>
            </a:r>
            <a:r>
              <a:rPr lang="en-US" sz="1000" b="0" baseline="0"/>
              <a:t> component</a:t>
            </a:r>
            <a:endParaRPr lang="en-US" sz="1000" b="0"/>
          </a:p>
        </c:rich>
      </c:tx>
      <c:layout>
        <c:manualLayout>
          <c:xMode val="edge"/>
          <c:yMode val="edge"/>
          <c:x val="0.30120311394196747"/>
          <c:y val="0"/>
        </c:manualLayout>
      </c:layout>
      <c:overlay val="0"/>
    </c:title>
    <c:autoTitleDeleted val="0"/>
    <c:plotArea>
      <c:layout>
        <c:manualLayout>
          <c:layoutTarget val="inner"/>
          <c:xMode val="edge"/>
          <c:yMode val="edge"/>
          <c:x val="9.8948776405295674E-2"/>
          <c:y val="0.12081746823900534"/>
          <c:w val="0.87503225648195826"/>
          <c:h val="0.71787426219609873"/>
        </c:manualLayout>
      </c:layout>
      <c:lineChart>
        <c:grouping val="standard"/>
        <c:varyColors val="0"/>
        <c:ser>
          <c:idx val="1"/>
          <c:order val="1"/>
          <c:tx>
            <c:strRef>
              <c:f>Trend!$D$5</c:f>
              <c:strCache>
                <c:ptCount val="1"/>
              </c:strCache>
            </c:strRef>
          </c:tx>
          <c:spPr>
            <a:ln w="25400"/>
          </c:spPr>
          <c:marker>
            <c:symbol val="none"/>
          </c:marker>
          <c:cat>
            <c:strRef>
              <c:f>Trend!$B$6:$B$101</c:f>
              <c:strCache>
                <c:ptCount val="92"/>
                <c:pt idx="3">
                  <c:v>Jan</c:v>
                </c:pt>
                <c:pt idx="12">
                  <c:v>Feb</c:v>
                </c:pt>
                <c:pt idx="19">
                  <c:v>Mar</c:v>
                </c:pt>
                <c:pt idx="27">
                  <c:v>Apr</c:v>
                </c:pt>
                <c:pt idx="35">
                  <c:v>May</c:v>
                </c:pt>
                <c:pt idx="43">
                  <c:v>Jun</c:v>
                </c:pt>
                <c:pt idx="51">
                  <c:v>Jul</c:v>
                </c:pt>
                <c:pt idx="59">
                  <c:v>Aug</c:v>
                </c:pt>
                <c:pt idx="67">
                  <c:v>Sep</c:v>
                </c:pt>
                <c:pt idx="75">
                  <c:v>Oct</c:v>
                </c:pt>
                <c:pt idx="83">
                  <c:v>Nov</c:v>
                </c:pt>
                <c:pt idx="91">
                  <c:v>Dec</c:v>
                </c:pt>
              </c:strCache>
            </c:strRef>
          </c:cat>
          <c:val>
            <c:numRef>
              <c:f>Trend!$D$6:$D$101</c:f>
              <c:numCache>
                <c:formatCode>General</c:formatCode>
                <c:ptCount val="96"/>
                <c:pt idx="1">
                  <c:v>98.068550000000002</c:v>
                </c:pt>
                <c:pt idx="2">
                  <c:v>100.16943999999999</c:v>
                </c:pt>
                <c:pt idx="3">
                  <c:v>107.00963</c:v>
                </c:pt>
                <c:pt idx="4">
                  <c:v>115.20594</c:v>
                </c:pt>
                <c:pt idx="5">
                  <c:v>123.19595</c:v>
                </c:pt>
                <c:pt idx="6">
                  <c:v>129.82221000000001</c:v>
                </c:pt>
                <c:pt idx="9">
                  <c:v>98.551329999999993</c:v>
                </c:pt>
                <c:pt idx="10">
                  <c:v>100.23214</c:v>
                </c:pt>
                <c:pt idx="11">
                  <c:v>107.80659</c:v>
                </c:pt>
                <c:pt idx="12">
                  <c:v>115.82037</c:v>
                </c:pt>
                <c:pt idx="13">
                  <c:v>123.77672</c:v>
                </c:pt>
                <c:pt idx="14">
                  <c:v>130.67911000000001</c:v>
                </c:pt>
                <c:pt idx="17">
                  <c:v>99.057259999999999</c:v>
                </c:pt>
                <c:pt idx="18">
                  <c:v>100.38669</c:v>
                </c:pt>
                <c:pt idx="19">
                  <c:v>108.59036</c:v>
                </c:pt>
                <c:pt idx="20">
                  <c:v>116.41529</c:v>
                </c:pt>
                <c:pt idx="21">
                  <c:v>124.30782000000001</c:v>
                </c:pt>
                <c:pt idx="22">
                  <c:v>131.49683999999999</c:v>
                </c:pt>
                <c:pt idx="25">
                  <c:v>99.517089999999996</c:v>
                </c:pt>
                <c:pt idx="26">
                  <c:v>100.66979000000001</c:v>
                </c:pt>
                <c:pt idx="27">
                  <c:v>109.34523</c:v>
                </c:pt>
                <c:pt idx="28">
                  <c:v>117.01194</c:v>
                </c:pt>
                <c:pt idx="29">
                  <c:v>124.79049000000001</c:v>
                </c:pt>
                <c:pt idx="30">
                  <c:v>132.24535</c:v>
                </c:pt>
                <c:pt idx="33">
                  <c:v>99.883690000000001</c:v>
                </c:pt>
                <c:pt idx="34">
                  <c:v>101.10149</c:v>
                </c:pt>
                <c:pt idx="35">
                  <c:v>110.05256</c:v>
                </c:pt>
                <c:pt idx="36">
                  <c:v>117.64346999999999</c:v>
                </c:pt>
                <c:pt idx="37">
                  <c:v>125.22067</c:v>
                </c:pt>
                <c:pt idx="41">
                  <c:v>100.13055</c:v>
                </c:pt>
                <c:pt idx="42">
                  <c:v>101.67204</c:v>
                </c:pt>
                <c:pt idx="43">
                  <c:v>110.71874</c:v>
                </c:pt>
                <c:pt idx="44">
                  <c:v>118.32002</c:v>
                </c:pt>
                <c:pt idx="45">
                  <c:v>125.60669</c:v>
                </c:pt>
                <c:pt idx="49">
                  <c:v>100.25391</c:v>
                </c:pt>
                <c:pt idx="50">
                  <c:v>102.35928</c:v>
                </c:pt>
                <c:pt idx="51">
                  <c:v>111.3514</c:v>
                </c:pt>
                <c:pt idx="52">
                  <c:v>119.04361</c:v>
                </c:pt>
                <c:pt idx="53">
                  <c:v>125.97539999999999</c:v>
                </c:pt>
                <c:pt idx="57">
                  <c:v>100.28906000000001</c:v>
                </c:pt>
                <c:pt idx="58">
                  <c:v>103.11465</c:v>
                </c:pt>
                <c:pt idx="59">
                  <c:v>111.97803999999999</c:v>
                </c:pt>
                <c:pt idx="60">
                  <c:v>119.78988</c:v>
                </c:pt>
                <c:pt idx="61">
                  <c:v>126.3687</c:v>
                </c:pt>
                <c:pt idx="65">
                  <c:v>100.27298999999999</c:v>
                </c:pt>
                <c:pt idx="66">
                  <c:v>103.89489</c:v>
                </c:pt>
                <c:pt idx="67">
                  <c:v>112.6091</c:v>
                </c:pt>
                <c:pt idx="68">
                  <c:v>120.53270000000001</c:v>
                </c:pt>
                <c:pt idx="69">
                  <c:v>126.83974000000001</c:v>
                </c:pt>
                <c:pt idx="73">
                  <c:v>100.2302</c:v>
                </c:pt>
                <c:pt idx="74">
                  <c:v>104.67312</c:v>
                </c:pt>
                <c:pt idx="75">
                  <c:v>113.25122</c:v>
                </c:pt>
                <c:pt idx="76">
                  <c:v>121.25722</c:v>
                </c:pt>
                <c:pt idx="77">
                  <c:v>127.42856999999999</c:v>
                </c:pt>
                <c:pt idx="81">
                  <c:v>100.18697</c:v>
                </c:pt>
                <c:pt idx="82">
                  <c:v>105.45007</c:v>
                </c:pt>
                <c:pt idx="83">
                  <c:v>113.90631999999999</c:v>
                </c:pt>
                <c:pt idx="84">
                  <c:v>121.94049</c:v>
                </c:pt>
                <c:pt idx="85">
                  <c:v>128.14478</c:v>
                </c:pt>
                <c:pt idx="89">
                  <c:v>100.16146000000001</c:v>
                </c:pt>
                <c:pt idx="90">
                  <c:v>106.22658</c:v>
                </c:pt>
                <c:pt idx="91">
                  <c:v>114.56004</c:v>
                </c:pt>
                <c:pt idx="92">
                  <c:v>122.58703</c:v>
                </c:pt>
                <c:pt idx="93">
                  <c:v>128.95862</c:v>
                </c:pt>
              </c:numCache>
            </c:numRef>
          </c:val>
          <c:smooth val="0"/>
          <c:extLst>
            <c:ext xmlns:c16="http://schemas.microsoft.com/office/drawing/2014/chart" uri="{C3380CC4-5D6E-409C-BE32-E72D297353CC}">
              <c16:uniqueId val="{00000000-AD82-47D8-A07C-5E1C73D120B6}"/>
            </c:ext>
          </c:extLst>
        </c:ser>
        <c:dLbls>
          <c:showLegendKey val="0"/>
          <c:showVal val="0"/>
          <c:showCatName val="0"/>
          <c:showSerName val="0"/>
          <c:showPercent val="0"/>
          <c:showBubbleSize val="0"/>
        </c:dLbls>
        <c:marker val="1"/>
        <c:smooth val="0"/>
        <c:axId val="181392384"/>
        <c:axId val="187820288"/>
      </c:lineChart>
      <c:scatterChart>
        <c:scatterStyle val="lineMarker"/>
        <c:varyColors val="0"/>
        <c:ser>
          <c:idx val="0"/>
          <c:order val="0"/>
          <c:tx>
            <c:strRef>
              <c:f>Trend!$C$5</c:f>
              <c:strCache>
                <c:ptCount val="1"/>
              </c:strCache>
            </c:strRef>
          </c:tx>
          <c:spPr>
            <a:ln w="25400">
              <a:solidFill>
                <a:schemeClr val="accent1"/>
              </a:solidFill>
            </a:ln>
          </c:spPr>
          <c:marker>
            <c:symbol val="none"/>
          </c:marker>
          <c:yVal>
            <c:numRef>
              <c:f>Trend!$C$6:$C$101</c:f>
              <c:numCache>
                <c:formatCode>General</c:formatCode>
                <c:ptCount val="96"/>
                <c:pt idx="1">
                  <c:v>100.07874</c:v>
                </c:pt>
                <c:pt idx="2">
                  <c:v>100.51333</c:v>
                </c:pt>
                <c:pt idx="3">
                  <c:v>104.46438000000001</c:v>
                </c:pt>
                <c:pt idx="4">
                  <c:v>111.71644000000001</c:v>
                </c:pt>
                <c:pt idx="5">
                  <c:v>114.11485999999999</c:v>
                </c:pt>
                <c:pt idx="6">
                  <c:v>112.99983</c:v>
                </c:pt>
                <c:pt idx="9">
                  <c:v>99.936589999999995</c:v>
                </c:pt>
                <c:pt idx="10">
                  <c:v>100.50132000000001</c:v>
                </c:pt>
                <c:pt idx="11">
                  <c:v>105.46359</c:v>
                </c:pt>
                <c:pt idx="12">
                  <c:v>111.96796999999999</c:v>
                </c:pt>
                <c:pt idx="13">
                  <c:v>113.97555</c:v>
                </c:pt>
                <c:pt idx="14">
                  <c:v>113.27066000000001</c:v>
                </c:pt>
                <c:pt idx="17">
                  <c:v>99.803520000000006</c:v>
                </c:pt>
                <c:pt idx="18">
                  <c:v>100.39377</c:v>
                </c:pt>
                <c:pt idx="19">
                  <c:v>106.51751</c:v>
                </c:pt>
                <c:pt idx="20">
                  <c:v>112.25424</c:v>
                </c:pt>
                <c:pt idx="21">
                  <c:v>113.79439000000001</c:v>
                </c:pt>
                <c:pt idx="22">
                  <c:v>113.56046000000001</c:v>
                </c:pt>
                <c:pt idx="25">
                  <c:v>99.683369999999996</c:v>
                </c:pt>
                <c:pt idx="26">
                  <c:v>100.26857</c:v>
                </c:pt>
                <c:pt idx="27">
                  <c:v>107.57132</c:v>
                </c:pt>
                <c:pt idx="28">
                  <c:v>112.56346000000001</c:v>
                </c:pt>
                <c:pt idx="29">
                  <c:v>113.59818</c:v>
                </c:pt>
                <c:pt idx="30">
                  <c:v>113.82844</c:v>
                </c:pt>
                <c:pt idx="33">
                  <c:v>99.549040000000005</c:v>
                </c:pt>
                <c:pt idx="34">
                  <c:v>100.2075</c:v>
                </c:pt>
                <c:pt idx="35">
                  <c:v>108.55204999999999</c:v>
                </c:pt>
                <c:pt idx="36">
                  <c:v>112.90264999999999</c:v>
                </c:pt>
                <c:pt idx="37">
                  <c:v>113.39082000000001</c:v>
                </c:pt>
                <c:pt idx="41">
                  <c:v>99.438410000000005</c:v>
                </c:pt>
                <c:pt idx="42">
                  <c:v>100.28198999999999</c:v>
                </c:pt>
                <c:pt idx="43">
                  <c:v>109.39621</c:v>
                </c:pt>
                <c:pt idx="44">
                  <c:v>113.24796000000001</c:v>
                </c:pt>
                <c:pt idx="45">
                  <c:v>113.18253</c:v>
                </c:pt>
                <c:pt idx="49">
                  <c:v>99.399959999999993</c:v>
                </c:pt>
                <c:pt idx="50">
                  <c:v>100.52068</c:v>
                </c:pt>
                <c:pt idx="51">
                  <c:v>110.06728</c:v>
                </c:pt>
                <c:pt idx="52">
                  <c:v>113.57664</c:v>
                </c:pt>
                <c:pt idx="53">
                  <c:v>112.97776</c:v>
                </c:pt>
                <c:pt idx="57">
                  <c:v>99.473349999999996</c:v>
                </c:pt>
                <c:pt idx="58">
                  <c:v>100.91983999999999</c:v>
                </c:pt>
                <c:pt idx="59">
                  <c:v>110.56088</c:v>
                </c:pt>
                <c:pt idx="60">
                  <c:v>113.86185</c:v>
                </c:pt>
                <c:pt idx="61">
                  <c:v>112.78738</c:v>
                </c:pt>
                <c:pt idx="65">
                  <c:v>99.648499999999999</c:v>
                </c:pt>
                <c:pt idx="66">
                  <c:v>101.45138</c:v>
                </c:pt>
                <c:pt idx="67">
                  <c:v>110.90412000000001</c:v>
                </c:pt>
                <c:pt idx="68">
                  <c:v>114.06426</c:v>
                </c:pt>
                <c:pt idx="69">
                  <c:v>112.63871</c:v>
                </c:pt>
                <c:pt idx="73">
                  <c:v>99.895859999999999</c:v>
                </c:pt>
                <c:pt idx="74">
                  <c:v>102.07129</c:v>
                </c:pt>
                <c:pt idx="75">
                  <c:v>111.14181000000001</c:v>
                </c:pt>
                <c:pt idx="76">
                  <c:v>114.18939</c:v>
                </c:pt>
                <c:pt idx="77">
                  <c:v>112.57528000000001</c:v>
                </c:pt>
                <c:pt idx="81">
                  <c:v>100.16721</c:v>
                </c:pt>
                <c:pt idx="82">
                  <c:v>102.77896</c:v>
                </c:pt>
                <c:pt idx="83">
                  <c:v>111.32674</c:v>
                </c:pt>
                <c:pt idx="84">
                  <c:v>114.23284</c:v>
                </c:pt>
                <c:pt idx="85">
                  <c:v>112.62468</c:v>
                </c:pt>
                <c:pt idx="89">
                  <c:v>100.39397</c:v>
                </c:pt>
                <c:pt idx="90">
                  <c:v>103.57666999999999</c:v>
                </c:pt>
                <c:pt idx="91">
                  <c:v>111.50444</c:v>
                </c:pt>
                <c:pt idx="92">
                  <c:v>114.20563</c:v>
                </c:pt>
                <c:pt idx="93">
                  <c:v>112.77377</c:v>
                </c:pt>
              </c:numCache>
            </c:numRef>
          </c:yVal>
          <c:smooth val="0"/>
          <c:extLst>
            <c:ext xmlns:c16="http://schemas.microsoft.com/office/drawing/2014/chart" uri="{C3380CC4-5D6E-409C-BE32-E72D297353CC}">
              <c16:uniqueId val="{00000001-AD82-47D8-A07C-5E1C73D120B6}"/>
            </c:ext>
          </c:extLst>
        </c:ser>
        <c:dLbls>
          <c:showLegendKey val="0"/>
          <c:showVal val="0"/>
          <c:showCatName val="0"/>
          <c:showSerName val="0"/>
          <c:showPercent val="0"/>
          <c:showBubbleSize val="0"/>
        </c:dLbls>
        <c:axId val="181392384"/>
        <c:axId val="187820288"/>
      </c:scatterChart>
      <c:catAx>
        <c:axId val="181392384"/>
        <c:scaling>
          <c:orientation val="minMax"/>
        </c:scaling>
        <c:delete val="0"/>
        <c:axPos val="b"/>
        <c:majorGridlines/>
        <c:minorGridlines>
          <c:spPr>
            <a:ln>
              <a:noFill/>
            </a:ln>
          </c:spPr>
        </c:minorGridlines>
        <c:numFmt formatCode="General" sourceLinked="1"/>
        <c:majorTickMark val="out"/>
        <c:minorTickMark val="none"/>
        <c:tickLblPos val="nextTo"/>
        <c:txPr>
          <a:bodyPr/>
          <a:lstStyle/>
          <a:p>
            <a:pPr>
              <a:defRPr sz="800"/>
            </a:pPr>
            <a:endParaRPr lang="de-DE"/>
          </a:p>
        </c:txPr>
        <c:crossAx val="187820288"/>
        <c:crossesAt val="100"/>
        <c:auto val="1"/>
        <c:lblAlgn val="ctr"/>
        <c:lblOffset val="100"/>
        <c:tickLblSkip val="8"/>
        <c:tickMarkSkip val="8"/>
        <c:noMultiLvlLbl val="0"/>
      </c:catAx>
      <c:valAx>
        <c:axId val="187820288"/>
        <c:scaling>
          <c:orientation val="minMax"/>
          <c:max val="130"/>
          <c:min val="80"/>
        </c:scaling>
        <c:delete val="0"/>
        <c:axPos val="l"/>
        <c:majorGridlines>
          <c:spPr>
            <a:ln>
              <a:noFill/>
            </a:ln>
          </c:spPr>
        </c:majorGridlines>
        <c:numFmt formatCode="General" sourceLinked="1"/>
        <c:majorTickMark val="none"/>
        <c:minorTickMark val="none"/>
        <c:tickLblPos val="nextTo"/>
        <c:txPr>
          <a:bodyPr/>
          <a:lstStyle/>
          <a:p>
            <a:pPr>
              <a:defRPr sz="800"/>
            </a:pPr>
            <a:endParaRPr lang="de-DE"/>
          </a:p>
        </c:txPr>
        <c:crossAx val="181392384"/>
        <c:crossesAt val="1"/>
        <c:crossBetween val="between"/>
        <c:majorUnit val="10"/>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0"/>
              <a:t>irregular component</a:t>
            </a:r>
          </a:p>
        </c:rich>
      </c:tx>
      <c:layout>
        <c:manualLayout>
          <c:xMode val="edge"/>
          <c:yMode val="edge"/>
          <c:x val="0.30120311394196747"/>
          <c:y val="0"/>
        </c:manualLayout>
      </c:layout>
      <c:overlay val="0"/>
    </c:title>
    <c:autoTitleDeleted val="0"/>
    <c:plotArea>
      <c:layout>
        <c:manualLayout>
          <c:layoutTarget val="inner"/>
          <c:xMode val="edge"/>
          <c:yMode val="edge"/>
          <c:x val="9.8948776405295674E-2"/>
          <c:y val="0.12081746823900534"/>
          <c:w val="0.87503225648195826"/>
          <c:h val="0.71787426219609873"/>
        </c:manualLayout>
      </c:layout>
      <c:lineChart>
        <c:grouping val="standard"/>
        <c:varyColors val="0"/>
        <c:ser>
          <c:idx val="1"/>
          <c:order val="1"/>
          <c:tx>
            <c:strRef>
              <c:f>Irreguläre!$D$5</c:f>
              <c:strCache>
                <c:ptCount val="1"/>
              </c:strCache>
            </c:strRef>
          </c:tx>
          <c:spPr>
            <a:ln w="25400"/>
          </c:spPr>
          <c:marker>
            <c:symbol val="none"/>
          </c:marker>
          <c:cat>
            <c:strRef>
              <c:f>Irreguläre!$B$6:$B$101</c:f>
              <c:strCache>
                <c:ptCount val="92"/>
                <c:pt idx="3">
                  <c:v>Jan</c:v>
                </c:pt>
                <c:pt idx="12">
                  <c:v>Feb</c:v>
                </c:pt>
                <c:pt idx="19">
                  <c:v>Mar</c:v>
                </c:pt>
                <c:pt idx="27">
                  <c:v>Apr</c:v>
                </c:pt>
                <c:pt idx="35">
                  <c:v>May</c:v>
                </c:pt>
                <c:pt idx="43">
                  <c:v>Jun</c:v>
                </c:pt>
                <c:pt idx="51">
                  <c:v>Jul</c:v>
                </c:pt>
                <c:pt idx="59">
                  <c:v>Aug</c:v>
                </c:pt>
                <c:pt idx="67">
                  <c:v>Sep</c:v>
                </c:pt>
                <c:pt idx="75">
                  <c:v>Oct</c:v>
                </c:pt>
                <c:pt idx="83">
                  <c:v>Nov</c:v>
                </c:pt>
                <c:pt idx="91">
                  <c:v>Dec</c:v>
                </c:pt>
              </c:strCache>
            </c:strRef>
          </c:cat>
          <c:val>
            <c:numRef>
              <c:f>Irreguläre!$D$6:$D$101</c:f>
              <c:numCache>
                <c:formatCode>General</c:formatCode>
                <c:ptCount val="96"/>
                <c:pt idx="1">
                  <c:v>99.793019999999999</c:v>
                </c:pt>
                <c:pt idx="2">
                  <c:v>100.01661</c:v>
                </c:pt>
                <c:pt idx="3">
                  <c:v>99.450149999999994</c:v>
                </c:pt>
                <c:pt idx="4">
                  <c:v>100.54353999999999</c:v>
                </c:pt>
                <c:pt idx="5">
                  <c:v>99.601179999999999</c:v>
                </c:pt>
                <c:pt idx="6">
                  <c:v>100.50105000000001</c:v>
                </c:pt>
                <c:pt idx="9">
                  <c:v>99.523510000000002</c:v>
                </c:pt>
                <c:pt idx="10">
                  <c:v>100.34414</c:v>
                </c:pt>
                <c:pt idx="11">
                  <c:v>100.55540999999999</c:v>
                </c:pt>
                <c:pt idx="12">
                  <c:v>99.539010000000005</c:v>
                </c:pt>
                <c:pt idx="13">
                  <c:v>99.969239999999999</c:v>
                </c:pt>
                <c:pt idx="14">
                  <c:v>100.12860000000001</c:v>
                </c:pt>
                <c:pt idx="17">
                  <c:v>100.23169</c:v>
                </c:pt>
                <c:pt idx="18">
                  <c:v>99.848179999999999</c:v>
                </c:pt>
                <c:pt idx="19">
                  <c:v>99.662480000000002</c:v>
                </c:pt>
                <c:pt idx="20">
                  <c:v>100.26532</c:v>
                </c:pt>
                <c:pt idx="21">
                  <c:v>99.747860000000003</c:v>
                </c:pt>
                <c:pt idx="22">
                  <c:v>100.09829000000001</c:v>
                </c:pt>
                <c:pt idx="25">
                  <c:v>100.33463999999999</c:v>
                </c:pt>
                <c:pt idx="26">
                  <c:v>99.291499999999999</c:v>
                </c:pt>
                <c:pt idx="27">
                  <c:v>100.60647</c:v>
                </c:pt>
                <c:pt idx="28">
                  <c:v>99.140709999999999</c:v>
                </c:pt>
                <c:pt idx="29">
                  <c:v>100.63433000000001</c:v>
                </c:pt>
                <c:pt idx="30">
                  <c:v>99.906909999999996</c:v>
                </c:pt>
                <c:pt idx="33">
                  <c:v>100.22283</c:v>
                </c:pt>
                <c:pt idx="34">
                  <c:v>99.908959999999993</c:v>
                </c:pt>
                <c:pt idx="35">
                  <c:v>100.00575000000001</c:v>
                </c:pt>
                <c:pt idx="36">
                  <c:v>101.05901</c:v>
                </c:pt>
                <c:pt idx="37">
                  <c:v>99.621390000000005</c:v>
                </c:pt>
                <c:pt idx="41">
                  <c:v>99.139210000000006</c:v>
                </c:pt>
                <c:pt idx="42">
                  <c:v>99.960210000000004</c:v>
                </c:pt>
                <c:pt idx="43">
                  <c:v>100.08354</c:v>
                </c:pt>
                <c:pt idx="44">
                  <c:v>100.12996</c:v>
                </c:pt>
                <c:pt idx="45">
                  <c:v>100.06116</c:v>
                </c:pt>
                <c:pt idx="49">
                  <c:v>101.60623</c:v>
                </c:pt>
                <c:pt idx="50">
                  <c:v>99.992609999999999</c:v>
                </c:pt>
                <c:pt idx="51">
                  <c:v>99.669989999999999</c:v>
                </c:pt>
                <c:pt idx="52">
                  <c:v>99.549509999999998</c:v>
                </c:pt>
                <c:pt idx="53">
                  <c:v>100.52879</c:v>
                </c:pt>
                <c:pt idx="57">
                  <c:v>99.884860000000003</c:v>
                </c:pt>
                <c:pt idx="58">
                  <c:v>100.20052</c:v>
                </c:pt>
                <c:pt idx="59">
                  <c:v>99.994479999999996</c:v>
                </c:pt>
                <c:pt idx="60">
                  <c:v>99.76079</c:v>
                </c:pt>
                <c:pt idx="61">
                  <c:v>100.04822</c:v>
                </c:pt>
                <c:pt idx="65">
                  <c:v>99.755700000000004</c:v>
                </c:pt>
                <c:pt idx="66">
                  <c:v>100.01112999999999</c:v>
                </c:pt>
                <c:pt idx="67">
                  <c:v>100.18077</c:v>
                </c:pt>
                <c:pt idx="68">
                  <c:v>99.821939999999998</c:v>
                </c:pt>
                <c:pt idx="69">
                  <c:v>99.767650000000003</c:v>
                </c:pt>
                <c:pt idx="73">
                  <c:v>99.586539999999999</c:v>
                </c:pt>
                <c:pt idx="74">
                  <c:v>100.61449</c:v>
                </c:pt>
                <c:pt idx="75">
                  <c:v>99.361800000000002</c:v>
                </c:pt>
                <c:pt idx="76">
                  <c:v>100.51316</c:v>
                </c:pt>
                <c:pt idx="77">
                  <c:v>99.324539999999999</c:v>
                </c:pt>
                <c:pt idx="81">
                  <c:v>99.975239999999999</c:v>
                </c:pt>
                <c:pt idx="82">
                  <c:v>99.925510000000003</c:v>
                </c:pt>
                <c:pt idx="83">
                  <c:v>100.97436999999999</c:v>
                </c:pt>
                <c:pt idx="84">
                  <c:v>100.19615</c:v>
                </c:pt>
                <c:pt idx="85">
                  <c:v>99.71996</c:v>
                </c:pt>
                <c:pt idx="89">
                  <c:v>100.49966999999999</c:v>
                </c:pt>
                <c:pt idx="90">
                  <c:v>99.580609999999993</c:v>
                </c:pt>
                <c:pt idx="91">
                  <c:v>99.924260000000004</c:v>
                </c:pt>
                <c:pt idx="92">
                  <c:v>100.1377</c:v>
                </c:pt>
                <c:pt idx="93">
                  <c:v>100.08839</c:v>
                </c:pt>
              </c:numCache>
            </c:numRef>
          </c:val>
          <c:smooth val="0"/>
          <c:extLst>
            <c:ext xmlns:c16="http://schemas.microsoft.com/office/drawing/2014/chart" uri="{C3380CC4-5D6E-409C-BE32-E72D297353CC}">
              <c16:uniqueId val="{00000000-AC5D-48BC-8012-BDBD379407F3}"/>
            </c:ext>
          </c:extLst>
        </c:ser>
        <c:dLbls>
          <c:showLegendKey val="0"/>
          <c:showVal val="0"/>
          <c:showCatName val="0"/>
          <c:showSerName val="0"/>
          <c:showPercent val="0"/>
          <c:showBubbleSize val="0"/>
        </c:dLbls>
        <c:marker val="1"/>
        <c:smooth val="0"/>
        <c:axId val="181392384"/>
        <c:axId val="187820288"/>
      </c:lineChart>
      <c:scatterChart>
        <c:scatterStyle val="lineMarker"/>
        <c:varyColors val="0"/>
        <c:ser>
          <c:idx val="0"/>
          <c:order val="0"/>
          <c:tx>
            <c:strRef>
              <c:f>Irreguläre!$C$5</c:f>
              <c:strCache>
                <c:ptCount val="1"/>
              </c:strCache>
            </c:strRef>
          </c:tx>
          <c:spPr>
            <a:ln w="25400">
              <a:solidFill>
                <a:schemeClr val="accent1"/>
              </a:solidFill>
            </a:ln>
          </c:spPr>
          <c:marker>
            <c:symbol val="none"/>
          </c:marker>
          <c:yVal>
            <c:numRef>
              <c:f>Irreguläre!$C$6:$C$101</c:f>
              <c:numCache>
                <c:formatCode>General</c:formatCode>
                <c:ptCount val="96"/>
                <c:pt idx="1">
                  <c:v>100.35048</c:v>
                </c:pt>
                <c:pt idx="2">
                  <c:v>100.66007999999999</c:v>
                </c:pt>
                <c:pt idx="3">
                  <c:v>99.107759999999999</c:v>
                </c:pt>
                <c:pt idx="4">
                  <c:v>99.95384</c:v>
                </c:pt>
                <c:pt idx="5">
                  <c:v>99.291910000000001</c:v>
                </c:pt>
                <c:pt idx="6">
                  <c:v>100.7756</c:v>
                </c:pt>
                <c:pt idx="9">
                  <c:v>99.338859999999997</c:v>
                </c:pt>
                <c:pt idx="10">
                  <c:v>100.63534</c:v>
                </c:pt>
                <c:pt idx="11">
                  <c:v>100.15009999999999</c:v>
                </c:pt>
                <c:pt idx="12">
                  <c:v>99.510069999999999</c:v>
                </c:pt>
                <c:pt idx="13">
                  <c:v>100.02124000000001</c:v>
                </c:pt>
                <c:pt idx="14">
                  <c:v>100.0432</c:v>
                </c:pt>
                <c:pt idx="17">
                  <c:v>100.01827</c:v>
                </c:pt>
                <c:pt idx="18">
                  <c:v>100.5219</c:v>
                </c:pt>
                <c:pt idx="19">
                  <c:v>100.03391999999999</c:v>
                </c:pt>
                <c:pt idx="20">
                  <c:v>99.783460000000005</c:v>
                </c:pt>
                <c:pt idx="21">
                  <c:v>99.779030000000006</c:v>
                </c:pt>
                <c:pt idx="22">
                  <c:v>100.25102</c:v>
                </c:pt>
                <c:pt idx="25">
                  <c:v>99.999399999999994</c:v>
                </c:pt>
                <c:pt idx="26">
                  <c:v>99.180639999999997</c:v>
                </c:pt>
                <c:pt idx="27">
                  <c:v>100.5985</c:v>
                </c:pt>
                <c:pt idx="28">
                  <c:v>99.638360000000006</c:v>
                </c:pt>
                <c:pt idx="29">
                  <c:v>100.46557</c:v>
                </c:pt>
                <c:pt idx="30">
                  <c:v>99.842259999999996</c:v>
                </c:pt>
                <c:pt idx="33">
                  <c:v>100.1631</c:v>
                </c:pt>
                <c:pt idx="34">
                  <c:v>99.835130000000007</c:v>
                </c:pt>
                <c:pt idx="35">
                  <c:v>100.02809999999999</c:v>
                </c:pt>
                <c:pt idx="36">
                  <c:v>100.91468</c:v>
                </c:pt>
                <c:pt idx="37">
                  <c:v>99.471080000000001</c:v>
                </c:pt>
                <c:pt idx="41">
                  <c:v>99.575299999999999</c:v>
                </c:pt>
                <c:pt idx="42">
                  <c:v>99.343940000000003</c:v>
                </c:pt>
                <c:pt idx="43">
                  <c:v>100.33601</c:v>
                </c:pt>
                <c:pt idx="44">
                  <c:v>100.42905</c:v>
                </c:pt>
                <c:pt idx="45">
                  <c:v>100.07006</c:v>
                </c:pt>
                <c:pt idx="49">
                  <c:v>101.64570999999999</c:v>
                </c:pt>
                <c:pt idx="50">
                  <c:v>99.533180000000002</c:v>
                </c:pt>
                <c:pt idx="51">
                  <c:v>99.669120000000007</c:v>
                </c:pt>
                <c:pt idx="52">
                  <c:v>99.965400000000002</c:v>
                </c:pt>
                <c:pt idx="53">
                  <c:v>100.45959000000001</c:v>
                </c:pt>
                <c:pt idx="57">
                  <c:v>99.52731</c:v>
                </c:pt>
                <c:pt idx="58">
                  <c:v>100.47078</c:v>
                </c:pt>
                <c:pt idx="59">
                  <c:v>100.06649</c:v>
                </c:pt>
                <c:pt idx="60">
                  <c:v>99.592219999999998</c:v>
                </c:pt>
                <c:pt idx="61">
                  <c:v>100.07478</c:v>
                </c:pt>
                <c:pt idx="65">
                  <c:v>99.884460000000004</c:v>
                </c:pt>
                <c:pt idx="66">
                  <c:v>100.21297</c:v>
                </c:pt>
                <c:pt idx="67">
                  <c:v>101.04456999999999</c:v>
                </c:pt>
                <c:pt idx="68">
                  <c:v>99.405150000000006</c:v>
                </c:pt>
                <c:pt idx="69">
                  <c:v>100.11966</c:v>
                </c:pt>
                <c:pt idx="73">
                  <c:v>99.37491</c:v>
                </c:pt>
                <c:pt idx="74">
                  <c:v>100.90255999999999</c:v>
                </c:pt>
                <c:pt idx="75">
                  <c:v>97.915779999999998</c:v>
                </c:pt>
                <c:pt idx="76">
                  <c:v>100.27932</c:v>
                </c:pt>
                <c:pt idx="77">
                  <c:v>99.561120000000003</c:v>
                </c:pt>
                <c:pt idx="81">
                  <c:v>99.126720000000006</c:v>
                </c:pt>
                <c:pt idx="82">
                  <c:v>99.927359999999993</c:v>
                </c:pt>
                <c:pt idx="83">
                  <c:v>101.4362</c:v>
                </c:pt>
                <c:pt idx="84">
                  <c:v>100.63054</c:v>
                </c:pt>
                <c:pt idx="85">
                  <c:v>99.740489999999994</c:v>
                </c:pt>
                <c:pt idx="89">
                  <c:v>101.24193</c:v>
                </c:pt>
                <c:pt idx="90">
                  <c:v>99.354730000000004</c:v>
                </c:pt>
                <c:pt idx="91">
                  <c:v>99.919380000000004</c:v>
                </c:pt>
                <c:pt idx="92">
                  <c:v>100.49111000000001</c:v>
                </c:pt>
                <c:pt idx="93">
                  <c:v>99.331059999999994</c:v>
                </c:pt>
              </c:numCache>
            </c:numRef>
          </c:yVal>
          <c:smooth val="0"/>
          <c:extLst>
            <c:ext xmlns:c16="http://schemas.microsoft.com/office/drawing/2014/chart" uri="{C3380CC4-5D6E-409C-BE32-E72D297353CC}">
              <c16:uniqueId val="{00000001-AC5D-48BC-8012-BDBD379407F3}"/>
            </c:ext>
          </c:extLst>
        </c:ser>
        <c:dLbls>
          <c:showLegendKey val="0"/>
          <c:showVal val="0"/>
          <c:showCatName val="0"/>
          <c:showSerName val="0"/>
          <c:showPercent val="0"/>
          <c:showBubbleSize val="0"/>
        </c:dLbls>
        <c:axId val="181392384"/>
        <c:axId val="187820288"/>
      </c:scatterChart>
      <c:catAx>
        <c:axId val="181392384"/>
        <c:scaling>
          <c:orientation val="minMax"/>
        </c:scaling>
        <c:delete val="0"/>
        <c:axPos val="b"/>
        <c:majorGridlines/>
        <c:minorGridlines>
          <c:spPr>
            <a:ln>
              <a:noFill/>
            </a:ln>
          </c:spPr>
        </c:minorGridlines>
        <c:numFmt formatCode="General" sourceLinked="1"/>
        <c:majorTickMark val="out"/>
        <c:minorTickMark val="none"/>
        <c:tickLblPos val="nextTo"/>
        <c:txPr>
          <a:bodyPr/>
          <a:lstStyle/>
          <a:p>
            <a:pPr>
              <a:defRPr sz="800"/>
            </a:pPr>
            <a:endParaRPr lang="de-DE"/>
          </a:p>
        </c:txPr>
        <c:crossAx val="187820288"/>
        <c:crossesAt val="100"/>
        <c:auto val="1"/>
        <c:lblAlgn val="ctr"/>
        <c:lblOffset val="100"/>
        <c:tickLblSkip val="8"/>
        <c:tickMarkSkip val="8"/>
        <c:noMultiLvlLbl val="0"/>
      </c:catAx>
      <c:valAx>
        <c:axId val="187820288"/>
        <c:scaling>
          <c:orientation val="minMax"/>
          <c:max val="130"/>
          <c:min val="80"/>
        </c:scaling>
        <c:delete val="0"/>
        <c:axPos val="l"/>
        <c:majorGridlines>
          <c:spPr>
            <a:ln>
              <a:noFill/>
            </a:ln>
          </c:spPr>
        </c:majorGridlines>
        <c:numFmt formatCode="General" sourceLinked="1"/>
        <c:majorTickMark val="none"/>
        <c:minorTickMark val="none"/>
        <c:tickLblPos val="nextTo"/>
        <c:txPr>
          <a:bodyPr/>
          <a:lstStyle/>
          <a:p>
            <a:pPr>
              <a:defRPr sz="800"/>
            </a:pPr>
            <a:endParaRPr lang="de-DE"/>
          </a:p>
        </c:txPr>
        <c:crossAx val="181392384"/>
        <c:crossesAt val="1"/>
        <c:crossBetween val="between"/>
        <c:majorUnit val="10"/>
      </c:valAx>
    </c:plotArea>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Umsatzsteuervoranmeldungen!$B$1</c:f>
              <c:strCache>
                <c:ptCount val="1"/>
                <c:pt idx="0">
                  <c:v>Wert</c:v>
                </c:pt>
              </c:strCache>
            </c:strRef>
          </c:tx>
          <c:spPr>
            <a:ln w="28575" cap="rnd">
              <a:solidFill>
                <a:schemeClr val="accent1"/>
              </a:solidFill>
              <a:round/>
            </a:ln>
            <a:effectLst/>
          </c:spPr>
          <c:marker>
            <c:symbol val="none"/>
          </c:marker>
          <c:cat>
            <c:numRef>
              <c:f>Umsatzsteuervoranmeldungen!$A$2:$A$67</c:f>
              <c:numCache>
                <c:formatCode>m/d/yyyy</c:formatCode>
                <c:ptCount val="6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numCache>
            </c:numRef>
          </c:cat>
          <c:val>
            <c:numRef>
              <c:f>Umsatzsteuervoranmeldungen!$B$2:$B$67</c:f>
              <c:numCache>
                <c:formatCode>General</c:formatCode>
                <c:ptCount val="66"/>
                <c:pt idx="0">
                  <c:v>97.9</c:v>
                </c:pt>
                <c:pt idx="1">
                  <c:v>98.1</c:v>
                </c:pt>
                <c:pt idx="2">
                  <c:v>99.3</c:v>
                </c:pt>
                <c:pt idx="3">
                  <c:v>99.9</c:v>
                </c:pt>
                <c:pt idx="4">
                  <c:v>100.1</c:v>
                </c:pt>
                <c:pt idx="5">
                  <c:v>99.3</c:v>
                </c:pt>
                <c:pt idx="6">
                  <c:v>101.9</c:v>
                </c:pt>
                <c:pt idx="7">
                  <c:v>100.2</c:v>
                </c:pt>
                <c:pt idx="8">
                  <c:v>100</c:v>
                </c:pt>
                <c:pt idx="9">
                  <c:v>99.8</c:v>
                </c:pt>
                <c:pt idx="10">
                  <c:v>100.2</c:v>
                </c:pt>
                <c:pt idx="11">
                  <c:v>100.7</c:v>
                </c:pt>
                <c:pt idx="12">
                  <c:v>100.2</c:v>
                </c:pt>
                <c:pt idx="13">
                  <c:v>100.6</c:v>
                </c:pt>
                <c:pt idx="14">
                  <c:v>100.2</c:v>
                </c:pt>
                <c:pt idx="15">
                  <c:v>100</c:v>
                </c:pt>
                <c:pt idx="16">
                  <c:v>101</c:v>
                </c:pt>
                <c:pt idx="17">
                  <c:v>101.6</c:v>
                </c:pt>
                <c:pt idx="18">
                  <c:v>102.4</c:v>
                </c:pt>
                <c:pt idx="19">
                  <c:v>103.3</c:v>
                </c:pt>
                <c:pt idx="20">
                  <c:v>103.9</c:v>
                </c:pt>
                <c:pt idx="21">
                  <c:v>105.3</c:v>
                </c:pt>
                <c:pt idx="22">
                  <c:v>105.4</c:v>
                </c:pt>
                <c:pt idx="23">
                  <c:v>105.8</c:v>
                </c:pt>
                <c:pt idx="24">
                  <c:v>106.4</c:v>
                </c:pt>
                <c:pt idx="25">
                  <c:v>108.4</c:v>
                </c:pt>
                <c:pt idx="26">
                  <c:v>108.2</c:v>
                </c:pt>
                <c:pt idx="27">
                  <c:v>110</c:v>
                </c:pt>
                <c:pt idx="28">
                  <c:v>110.1</c:v>
                </c:pt>
                <c:pt idx="29">
                  <c:v>110.8</c:v>
                </c:pt>
                <c:pt idx="30">
                  <c:v>111</c:v>
                </c:pt>
                <c:pt idx="31">
                  <c:v>112</c:v>
                </c:pt>
                <c:pt idx="32">
                  <c:v>112.8</c:v>
                </c:pt>
                <c:pt idx="33">
                  <c:v>112.5</c:v>
                </c:pt>
                <c:pt idx="34">
                  <c:v>115</c:v>
                </c:pt>
                <c:pt idx="35">
                  <c:v>114.5</c:v>
                </c:pt>
                <c:pt idx="36">
                  <c:v>115.8</c:v>
                </c:pt>
                <c:pt idx="37">
                  <c:v>115.3</c:v>
                </c:pt>
                <c:pt idx="38">
                  <c:v>116.7</c:v>
                </c:pt>
                <c:pt idx="39">
                  <c:v>116</c:v>
                </c:pt>
                <c:pt idx="40">
                  <c:v>118.9</c:v>
                </c:pt>
                <c:pt idx="41">
                  <c:v>118.5</c:v>
                </c:pt>
                <c:pt idx="42">
                  <c:v>118.5</c:v>
                </c:pt>
                <c:pt idx="43">
                  <c:v>119.5</c:v>
                </c:pt>
                <c:pt idx="44">
                  <c:v>120.3</c:v>
                </c:pt>
                <c:pt idx="45">
                  <c:v>121.9</c:v>
                </c:pt>
                <c:pt idx="46">
                  <c:v>122.2</c:v>
                </c:pt>
                <c:pt idx="47">
                  <c:v>122.8</c:v>
                </c:pt>
                <c:pt idx="48">
                  <c:v>122.7</c:v>
                </c:pt>
                <c:pt idx="49">
                  <c:v>123.7</c:v>
                </c:pt>
                <c:pt idx="50">
                  <c:v>124</c:v>
                </c:pt>
                <c:pt idx="51">
                  <c:v>125.6</c:v>
                </c:pt>
                <c:pt idx="52">
                  <c:v>124.7</c:v>
                </c:pt>
                <c:pt idx="53">
                  <c:v>125.7</c:v>
                </c:pt>
                <c:pt idx="54">
                  <c:v>126.6</c:v>
                </c:pt>
                <c:pt idx="55">
                  <c:v>126.4</c:v>
                </c:pt>
                <c:pt idx="56">
                  <c:v>126.5</c:v>
                </c:pt>
                <c:pt idx="57">
                  <c:v>126.6</c:v>
                </c:pt>
                <c:pt idx="58">
                  <c:v>127.8</c:v>
                </c:pt>
                <c:pt idx="59">
                  <c:v>129.1</c:v>
                </c:pt>
                <c:pt idx="60">
                  <c:v>130.5</c:v>
                </c:pt>
                <c:pt idx="61">
                  <c:v>132.5</c:v>
                </c:pt>
                <c:pt idx="62">
                  <c:v>122.5</c:v>
                </c:pt>
                <c:pt idx="63">
                  <c:v>109.3</c:v>
                </c:pt>
                <c:pt idx="64">
                  <c:v>116.5</c:v>
                </c:pt>
                <c:pt idx="65">
                  <c:v>123.6</c:v>
                </c:pt>
              </c:numCache>
            </c:numRef>
          </c:val>
          <c:smooth val="0"/>
          <c:extLst>
            <c:ext xmlns:c16="http://schemas.microsoft.com/office/drawing/2014/chart" uri="{C3380CC4-5D6E-409C-BE32-E72D297353CC}">
              <c16:uniqueId val="{00000000-B44B-43B8-8686-FFD2A569BB0A}"/>
            </c:ext>
          </c:extLst>
        </c:ser>
        <c:dLbls>
          <c:showLegendKey val="0"/>
          <c:showVal val="0"/>
          <c:showCatName val="0"/>
          <c:showSerName val="0"/>
          <c:showPercent val="0"/>
          <c:showBubbleSize val="0"/>
        </c:dLbls>
        <c:smooth val="0"/>
        <c:axId val="378333904"/>
        <c:axId val="378329968"/>
      </c:lineChart>
      <c:dateAx>
        <c:axId val="378333904"/>
        <c:scaling>
          <c:orientation val="minMax"/>
        </c:scaling>
        <c:delete val="0"/>
        <c:axPos val="b"/>
        <c:numFmt formatCode="[$-407]mmm/\ yyyy;@" sourceLinked="0"/>
        <c:majorTickMark val="cross"/>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78329968"/>
        <c:crosses val="autoZero"/>
        <c:auto val="1"/>
        <c:lblOffset val="100"/>
        <c:baseTimeUnit val="months"/>
        <c:majorUnit val="12"/>
        <c:majorTimeUnit val="months"/>
      </c:dateAx>
      <c:valAx>
        <c:axId val="37832996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7833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0.04075</cdr:x>
      <cdr:y>0.83277</cdr:y>
    </cdr:from>
    <cdr:to>
      <cdr:x>1</cdr:x>
      <cdr:y>0.92723</cdr:y>
    </cdr:to>
    <cdr:sp macro="" textlink="">
      <cdr:nvSpPr>
        <cdr:cNvPr id="15" name="Textfeld 1"/>
        <cdr:cNvSpPr txBox="1"/>
      </cdr:nvSpPr>
      <cdr:spPr>
        <a:xfrm xmlns:a="http://schemas.openxmlformats.org/drawingml/2006/main">
          <a:off x="110296" y="1351637"/>
          <a:ext cx="2596074" cy="153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a:t> Jan   Feb  Mar  Apr  May  Jun   Jul  Aug  Sep  Oct  Nov  Dec</a:t>
          </a:r>
        </a:p>
      </cdr:txBody>
    </cdr:sp>
  </cdr:relSizeAnchor>
</c:userShapes>
</file>

<file path=word/drawings/drawing2.xml><?xml version="1.0" encoding="utf-8"?>
<c:userShapes xmlns:c="http://schemas.openxmlformats.org/drawingml/2006/chart">
  <cdr:relSizeAnchor xmlns:cdr="http://schemas.openxmlformats.org/drawingml/2006/chartDrawing">
    <cdr:from>
      <cdr:x>0.04075</cdr:x>
      <cdr:y>0.86407</cdr:y>
    </cdr:from>
    <cdr:to>
      <cdr:x>1</cdr:x>
      <cdr:y>0.95853</cdr:y>
    </cdr:to>
    <cdr:sp macro="" textlink="">
      <cdr:nvSpPr>
        <cdr:cNvPr id="3" name="Textfeld 1"/>
        <cdr:cNvSpPr txBox="1"/>
      </cdr:nvSpPr>
      <cdr:spPr>
        <a:xfrm xmlns:a="http://schemas.openxmlformats.org/drawingml/2006/main">
          <a:off x="161096" y="1402437"/>
          <a:ext cx="2596074" cy="153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a:t> Jan   Feb  Mar  Apr  May  Jun   Jul  Aug  Sep  Oct  Nov  Dec</a:t>
          </a:r>
        </a:p>
      </cdr:txBody>
    </cdr:sp>
  </cdr:relSizeAnchor>
</c:userShapes>
</file>

<file path=word/drawings/drawing3.xml><?xml version="1.0" encoding="utf-8"?>
<c:userShapes xmlns:c="http://schemas.openxmlformats.org/drawingml/2006/chart">
  <cdr:relSizeAnchor xmlns:cdr="http://schemas.openxmlformats.org/drawingml/2006/chartDrawing">
    <cdr:from>
      <cdr:x>0.04075</cdr:x>
      <cdr:y>0.86407</cdr:y>
    </cdr:from>
    <cdr:to>
      <cdr:x>1</cdr:x>
      <cdr:y>0.95853</cdr:y>
    </cdr:to>
    <cdr:sp macro="" textlink="">
      <cdr:nvSpPr>
        <cdr:cNvPr id="3" name="Textfeld 1"/>
        <cdr:cNvSpPr txBox="1"/>
      </cdr:nvSpPr>
      <cdr:spPr>
        <a:xfrm xmlns:a="http://schemas.openxmlformats.org/drawingml/2006/main">
          <a:off x="161096" y="1402437"/>
          <a:ext cx="2596074" cy="153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a:t> Jan   Feb  Mar  Apr  May  Jun   Jul  Aug  Sep  Oct  Nov  Dec</a:t>
          </a:r>
        </a:p>
      </cdr:txBody>
    </cdr:sp>
  </cdr:relSizeAnchor>
</c:userShapes>
</file>

<file path=word/drawings/drawing4.xml><?xml version="1.0" encoding="utf-8"?>
<c:userShapes xmlns:c="http://schemas.openxmlformats.org/drawingml/2006/chart">
  <cdr:relSizeAnchor xmlns:cdr="http://schemas.openxmlformats.org/drawingml/2006/chartDrawing">
    <cdr:from>
      <cdr:x>0.04075</cdr:x>
      <cdr:y>0.83473</cdr:y>
    </cdr:from>
    <cdr:to>
      <cdr:x>1</cdr:x>
      <cdr:y>0.92919</cdr:y>
    </cdr:to>
    <cdr:sp macro="" textlink="">
      <cdr:nvSpPr>
        <cdr:cNvPr id="3" name="Textfeld 1"/>
        <cdr:cNvSpPr txBox="1"/>
      </cdr:nvSpPr>
      <cdr:spPr>
        <a:xfrm xmlns:a="http://schemas.openxmlformats.org/drawingml/2006/main">
          <a:off x="110296" y="1354812"/>
          <a:ext cx="2596074" cy="153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a:t> Jan   Feb  Mar  Apr  May  Jun   Jul  Aug  Sep  Oct  Nov  Dec</a:t>
          </a:r>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213213DF-922D-4567-AF6F-100436CA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0</TotalTime>
  <Pages>4</Pages>
  <Words>1515</Words>
  <Characters>9545</Characters>
  <Application>Microsoft Office Word</Application>
  <DocSecurity>0</DocSecurity>
  <PresentationFormat>Microsoft Word 14.0</PresentationFormat>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 Claudia (E202)</dc:creator>
  <cp:keywords>EL4</cp:keywords>
  <cp:lastModifiedBy>Fries, Claudia (E202)</cp:lastModifiedBy>
  <cp:revision>28</cp:revision>
  <cp:lastPrinted>2018-05-29T10:06:00Z</cp:lastPrinted>
  <dcterms:created xsi:type="dcterms:W3CDTF">2020-10-15T07:40:00Z</dcterms:created>
  <dcterms:modified xsi:type="dcterms:W3CDTF">2020-10-15T11:30:00Z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