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58909" w14:textId="0642D2B0" w:rsidR="00BC6AFE" w:rsidRPr="00887215" w:rsidRDefault="00820501" w:rsidP="00BC6AFE">
      <w:pPr>
        <w:pStyle w:val="Titolo"/>
      </w:pPr>
      <w:r w:rsidRPr="00887215">
        <w:t xml:space="preserve">Measuring intangibles in firms: </w:t>
      </w:r>
      <w:r w:rsidR="00FE42C4">
        <w:t>past experiences and future prospects of voluntary surveys</w:t>
      </w:r>
    </w:p>
    <w:p w14:paraId="6E71BF82" w14:textId="77777777" w:rsidR="00820501" w:rsidRPr="00887215" w:rsidRDefault="00820501" w:rsidP="00243A2C">
      <w:pPr>
        <w:rPr>
          <w:b/>
          <w:u w:val="single"/>
        </w:rPr>
      </w:pPr>
    </w:p>
    <w:p w14:paraId="6824509B" w14:textId="3A107A46" w:rsidR="00243A2C" w:rsidRPr="00887215" w:rsidRDefault="00243A2C" w:rsidP="00243A2C">
      <w:r w:rsidRPr="00887215">
        <w:rPr>
          <w:b/>
          <w:u w:val="single"/>
        </w:rPr>
        <w:t>Keywords</w:t>
      </w:r>
      <w:r w:rsidRPr="00887215">
        <w:rPr>
          <w:b/>
        </w:rPr>
        <w:t>:</w:t>
      </w:r>
      <w:r w:rsidRPr="00887215">
        <w:t xml:space="preserve"> </w:t>
      </w:r>
      <w:r w:rsidR="00B16DE8" w:rsidRPr="00887215">
        <w:t>business surveys, intangible assets, administrative data, survey methodology, data collection</w:t>
      </w:r>
      <w:r w:rsidR="001B50CE" w:rsidRPr="00887215">
        <w:t>.</w:t>
      </w:r>
    </w:p>
    <w:p w14:paraId="3BA1C41D" w14:textId="77777777" w:rsidR="002012A8" w:rsidRPr="00887215" w:rsidRDefault="002012A8" w:rsidP="002012A8">
      <w:pPr>
        <w:pStyle w:val="Titolo1"/>
      </w:pPr>
      <w:r w:rsidRPr="00887215">
        <w:t>Introduction</w:t>
      </w:r>
    </w:p>
    <w:p w14:paraId="20526AE9" w14:textId="0B14F41C" w:rsidR="006E216E" w:rsidRPr="00887215" w:rsidRDefault="00B16DE8" w:rsidP="00BC6AFE">
      <w:r w:rsidRPr="00887215">
        <w:t xml:space="preserve">Surveying business enterprises about their investments </w:t>
      </w:r>
      <w:r w:rsidR="003F1CAE">
        <w:t>i</w:t>
      </w:r>
      <w:r w:rsidRPr="00887215">
        <w:t>n intangible assets is quite</w:t>
      </w:r>
      <w:r w:rsidR="003F1CAE">
        <w:t xml:space="preserve"> a</w:t>
      </w:r>
      <w:r w:rsidRPr="00887215">
        <w:t xml:space="preserve"> n</w:t>
      </w:r>
      <w:r w:rsidR="00B220CC">
        <w:t xml:space="preserve">ew field in </w:t>
      </w:r>
      <w:r w:rsidR="005F6E85">
        <w:t>economic</w:t>
      </w:r>
      <w:r w:rsidR="005F6E85">
        <w:t xml:space="preserve"> </w:t>
      </w:r>
      <w:r w:rsidR="00B220CC">
        <w:t>statistics</w:t>
      </w:r>
      <w:r w:rsidRPr="00887215">
        <w:t>.</w:t>
      </w:r>
      <w:r w:rsidR="001D2524" w:rsidRPr="00887215">
        <w:t xml:space="preserve"> </w:t>
      </w:r>
      <w:r w:rsidR="00385AEB" w:rsidRPr="00887215">
        <w:t xml:space="preserve">Even in economics, the issue is relatively new. Intangible </w:t>
      </w:r>
      <w:r w:rsidR="006E216E" w:rsidRPr="00887215">
        <w:t>A</w:t>
      </w:r>
      <w:r w:rsidR="00385AEB" w:rsidRPr="00887215">
        <w:t xml:space="preserve">ssets (IA), broadly defined as non-physical sources of expected future economic benefits, </w:t>
      </w:r>
      <w:r w:rsidR="001D2524" w:rsidRPr="00887215">
        <w:t>have emerged in the literature</w:t>
      </w:r>
      <w:r w:rsidR="00385AEB" w:rsidRPr="00887215">
        <w:t xml:space="preserve"> </w:t>
      </w:r>
      <w:r w:rsidR="007553AC">
        <w:t>as part of the</w:t>
      </w:r>
      <w:r w:rsidR="001D2524" w:rsidRPr="00887215">
        <w:t xml:space="preserve"> </w:t>
      </w:r>
      <w:r w:rsidR="00086705" w:rsidRPr="00887215">
        <w:t xml:space="preserve">“growth accounting theory” </w:t>
      </w:r>
      <w:r w:rsidR="007553AC">
        <w:t xml:space="preserve">in order to address controversial issues like the “productivity puzzle” </w:t>
      </w:r>
      <w:r w:rsidR="001F056B" w:rsidRPr="00887215">
        <w:t>[1]</w:t>
      </w:r>
      <w:r w:rsidR="00385AEB" w:rsidRPr="00887215">
        <w:t>.</w:t>
      </w:r>
      <w:r w:rsidR="00D758F0">
        <w:t xml:space="preserve"> </w:t>
      </w:r>
      <w:r w:rsidR="006E216E" w:rsidRPr="00887215">
        <w:t xml:space="preserve">The paper will review three pilot experiences in IA surveying by highlighting the main methodological differences among them and will explore – by analysing fresh evidence collected in a pilot of the Second Italian IA survey, planned early in </w:t>
      </w:r>
      <w:r w:rsidR="007553AC">
        <w:t>2021 – the effectiveness of</w:t>
      </w:r>
      <w:r w:rsidR="006E216E" w:rsidRPr="00887215">
        <w:t xml:space="preserve"> met</w:t>
      </w:r>
      <w:r w:rsidR="007553AC">
        <w:t>hodological innovations to</w:t>
      </w:r>
      <w:r w:rsidR="006E216E" w:rsidRPr="00887215">
        <w:t xml:space="preserve"> improv</w:t>
      </w:r>
      <w:r w:rsidR="007553AC">
        <w:t>e</w:t>
      </w:r>
      <w:r w:rsidR="006E216E" w:rsidRPr="00887215">
        <w:t xml:space="preserve"> the outcome of IA surveys while keeping them voluntary for respondents.</w:t>
      </w:r>
    </w:p>
    <w:p w14:paraId="3BB9E1C1" w14:textId="0BD95E97" w:rsidR="00897EB2" w:rsidRPr="00887215" w:rsidRDefault="00897EB2" w:rsidP="00BC6AFE">
      <w:pPr>
        <w:pStyle w:val="Titolo2"/>
        <w:tabs>
          <w:tab w:val="clear" w:pos="1080"/>
          <w:tab w:val="num" w:pos="482"/>
        </w:tabs>
        <w:ind w:left="482" w:hanging="482"/>
      </w:pPr>
      <w:r w:rsidRPr="00887215">
        <w:t>Past experiences in collecting IA data</w:t>
      </w:r>
    </w:p>
    <w:p w14:paraId="1E91EAE6" w14:textId="04DCB895" w:rsidR="00897EB2" w:rsidRPr="00887215" w:rsidRDefault="00897EB2" w:rsidP="005526C7">
      <w:pPr>
        <w:spacing w:after="0"/>
      </w:pPr>
      <w:r w:rsidRPr="00887215">
        <w:t>The ONS/NESTA survey</w:t>
      </w:r>
    </w:p>
    <w:p w14:paraId="30F56D17" w14:textId="0ADF3BE3" w:rsidR="001B6FEB" w:rsidRPr="00887215" w:rsidRDefault="00385AEB" w:rsidP="0000711A">
      <w:r w:rsidRPr="00887215">
        <w:t>In order to support the relevant research efforts aimed at identifying the role of IAs in the economy, an increasing demand f</w:t>
      </w:r>
      <w:r w:rsidR="003F1CAE">
        <w:t>or</w:t>
      </w:r>
      <w:r w:rsidRPr="00887215">
        <w:t xml:space="preserve"> statistical evidence has emerged over the last years. </w:t>
      </w:r>
      <w:r w:rsidR="0000711A" w:rsidRPr="00887215">
        <w:t xml:space="preserve">In collecting statistical evidence on the role of "intangible assets" in firms, a key experience was that of </w:t>
      </w:r>
      <w:r w:rsidR="00CD7CAB">
        <w:t xml:space="preserve">British </w:t>
      </w:r>
      <w:r w:rsidR="0000711A" w:rsidRPr="00887215">
        <w:t xml:space="preserve">NESTA </w:t>
      </w:r>
      <w:r w:rsidR="00CD7CAB">
        <w:t>that proposed in 2009 at</w:t>
      </w:r>
      <w:r w:rsidR="0000711A" w:rsidRPr="00887215">
        <w:t xml:space="preserve"> the Office for National Statistics (ONS) the launching of a </w:t>
      </w:r>
      <w:r w:rsidR="00997BD4">
        <w:t>mail survey</w:t>
      </w:r>
      <w:r w:rsidR="0000711A" w:rsidRPr="00887215">
        <w:t xml:space="preserve"> on IA investments</w:t>
      </w:r>
      <w:r w:rsidR="00D758F0">
        <w:t xml:space="preserve"> [2]</w:t>
      </w:r>
      <w:r w:rsidR="007553AC">
        <w:t>. It</w:t>
      </w:r>
      <w:r w:rsidR="00CD7CAB">
        <w:t xml:space="preserve"> was tru</w:t>
      </w:r>
      <w:r w:rsidR="00E03B63">
        <w:t xml:space="preserve">ly experimental </w:t>
      </w:r>
      <w:r w:rsidR="00CD7CAB">
        <w:t xml:space="preserve">and </w:t>
      </w:r>
      <w:r w:rsidR="00E03B63">
        <w:t xml:space="preserve">based on </w:t>
      </w:r>
      <w:r w:rsidR="0000711A" w:rsidRPr="00887215">
        <w:t>six key areas</w:t>
      </w:r>
      <w:r w:rsidR="00CD7CAB">
        <w:t xml:space="preserve"> of investment</w:t>
      </w:r>
      <w:r w:rsidR="0000711A" w:rsidRPr="00887215">
        <w:t xml:space="preserve">: </w:t>
      </w:r>
      <w:r w:rsidR="00246AE7" w:rsidRPr="00887215">
        <w:t>vocat</w:t>
      </w:r>
      <w:r w:rsidR="0000711A" w:rsidRPr="00887215">
        <w:t>ional training, software develop</w:t>
      </w:r>
      <w:r w:rsidR="00E03B63">
        <w:t>ment, R&amp;D</w:t>
      </w:r>
      <w:r w:rsidR="0000711A" w:rsidRPr="00887215">
        <w:t xml:space="preserve">, reputation and branding, design and </w:t>
      </w:r>
      <w:r w:rsidR="007553AC">
        <w:t>organization. The sample</w:t>
      </w:r>
      <w:r w:rsidR="0000711A" w:rsidRPr="00887215">
        <w:t xml:space="preserve"> included approximately 2,000 </w:t>
      </w:r>
      <w:r w:rsidR="00246AE7" w:rsidRPr="00887215">
        <w:t>firms</w:t>
      </w:r>
      <w:r w:rsidR="0000711A" w:rsidRPr="00887215">
        <w:t xml:space="preserve"> with a</w:t>
      </w:r>
      <w:r w:rsidR="00E03B63">
        <w:t xml:space="preserve">t least 10 employees (the </w:t>
      </w:r>
      <w:r w:rsidR="00D758F0">
        <w:t xml:space="preserve">response rate was 42 per cent). </w:t>
      </w:r>
      <w:r w:rsidR="007553AC">
        <w:t xml:space="preserve">The results </w:t>
      </w:r>
      <w:r w:rsidR="00E03B63">
        <w:t xml:space="preserve">were regarded as </w:t>
      </w:r>
      <w:r w:rsidR="00D758F0">
        <w:t>innovative</w:t>
      </w:r>
      <w:r w:rsidR="0000711A" w:rsidRPr="00887215">
        <w:t xml:space="preserve"> (albeit based on a</w:t>
      </w:r>
      <w:r w:rsidR="00E03B63">
        <w:t xml:space="preserve"> final</w:t>
      </w:r>
      <w:r w:rsidR="0000711A" w:rsidRPr="00887215">
        <w:t xml:space="preserve"> sample of only 838 </w:t>
      </w:r>
      <w:r w:rsidR="00246AE7" w:rsidRPr="00887215">
        <w:t>firms</w:t>
      </w:r>
      <w:r w:rsidR="0000711A" w:rsidRPr="00887215">
        <w:t xml:space="preserve">). </w:t>
      </w:r>
      <w:r w:rsidR="00E03B63">
        <w:t>In 2011, the</w:t>
      </w:r>
      <w:r w:rsidR="0000711A" w:rsidRPr="00887215">
        <w:t xml:space="preserve"> survey was repeated, </w:t>
      </w:r>
      <w:r w:rsidR="00246AE7" w:rsidRPr="00887215">
        <w:t>achieving a realised</w:t>
      </w:r>
      <w:r w:rsidR="0000711A" w:rsidRPr="00887215">
        <w:t xml:space="preserve"> sample of 1,180 </w:t>
      </w:r>
      <w:r w:rsidR="00246AE7" w:rsidRPr="00887215">
        <w:t>firms</w:t>
      </w:r>
      <w:r w:rsidR="0000711A" w:rsidRPr="00887215">
        <w:t xml:space="preserve">. </w:t>
      </w:r>
      <w:r w:rsidR="00D758F0">
        <w:t>A</w:t>
      </w:r>
      <w:r w:rsidR="00E03B63">
        <w:t>lthough s</w:t>
      </w:r>
      <w:r w:rsidR="00D758F0">
        <w:t xml:space="preserve">ome inconsistencies with the first survey, </w:t>
      </w:r>
      <w:r w:rsidR="00AF042A" w:rsidRPr="00887215">
        <w:t>such a</w:t>
      </w:r>
      <w:r w:rsidR="0000711A" w:rsidRPr="00887215">
        <w:t xml:space="preserve"> </w:t>
      </w:r>
      <w:r w:rsidR="00E03B63">
        <w:t xml:space="preserve">replication </w:t>
      </w:r>
      <w:r w:rsidR="0000711A" w:rsidRPr="00887215">
        <w:t xml:space="preserve">confirmed </w:t>
      </w:r>
      <w:r w:rsidR="00AF042A" w:rsidRPr="00887215">
        <w:t xml:space="preserve">that </w:t>
      </w:r>
      <w:r w:rsidR="00E03B63">
        <w:t>the</w:t>
      </w:r>
      <w:r w:rsidR="0000711A" w:rsidRPr="00887215">
        <w:t xml:space="preserve"> methodolog</w:t>
      </w:r>
      <w:r w:rsidR="00E03B63">
        <w:t>y was</w:t>
      </w:r>
      <w:r w:rsidR="0000711A" w:rsidRPr="00887215">
        <w:t xml:space="preserve"> so</w:t>
      </w:r>
      <w:r w:rsidR="00AF042A" w:rsidRPr="00887215">
        <w:t>und and worth to be tested in other countries</w:t>
      </w:r>
      <w:r w:rsidR="0000711A" w:rsidRPr="00887215">
        <w:t>.</w:t>
      </w:r>
    </w:p>
    <w:p w14:paraId="381D22B2" w14:textId="793E071F" w:rsidR="00897EB2" w:rsidRPr="00887215" w:rsidRDefault="00897EB2" w:rsidP="005526C7">
      <w:pPr>
        <w:spacing w:after="0"/>
      </w:pPr>
      <w:r w:rsidRPr="00887215">
        <w:t>The Eurobarometer 201</w:t>
      </w:r>
      <w:r w:rsidR="006A482D" w:rsidRPr="00887215">
        <w:t>3</w:t>
      </w:r>
      <w:r w:rsidRPr="00887215">
        <w:t xml:space="preserve"> </w:t>
      </w:r>
    </w:p>
    <w:p w14:paraId="475A373A" w14:textId="44268D87" w:rsidR="00AF042A" w:rsidRPr="00887215" w:rsidRDefault="00AF042A" w:rsidP="00AF042A">
      <w:r w:rsidRPr="00887215">
        <w:t>Indeed, in 2012 Directorate General for Enterprises of the European Commission</w:t>
      </w:r>
      <w:r w:rsidR="00017A57" w:rsidRPr="00887215">
        <w:t xml:space="preserve"> </w:t>
      </w:r>
      <w:r w:rsidR="007553AC">
        <w:t xml:space="preserve">(EC) </w:t>
      </w:r>
      <w:r w:rsidR="00017A57" w:rsidRPr="00887215">
        <w:t>launched</w:t>
      </w:r>
      <w:r w:rsidRPr="00887215">
        <w:t xml:space="preserve"> a Eurobarometer survey on </w:t>
      </w:r>
      <w:r w:rsidR="00017A57" w:rsidRPr="00887215">
        <w:t xml:space="preserve">the </w:t>
      </w:r>
      <w:r w:rsidRPr="00887215">
        <w:t xml:space="preserve">intangible investments of international </w:t>
      </w:r>
      <w:r w:rsidR="00017A57" w:rsidRPr="00887215">
        <w:t>firms</w:t>
      </w:r>
      <w:r w:rsidRPr="00887215">
        <w:t xml:space="preserve"> </w:t>
      </w:r>
      <w:r w:rsidR="00017A57" w:rsidRPr="00887215">
        <w:t>l</w:t>
      </w:r>
      <w:r w:rsidR="00D758F0">
        <w:t>argely based on the ONS model [3], [4</w:t>
      </w:r>
      <w:r w:rsidR="00017A57" w:rsidRPr="00887215">
        <w:t>]</w:t>
      </w:r>
      <w:r w:rsidR="00E03B63">
        <w:t>. The survey, most</w:t>
      </w:r>
      <w:r w:rsidRPr="00887215">
        <w:t xml:space="preserve">ly qualitative, was designed </w:t>
      </w:r>
      <w:r w:rsidR="00327A5B" w:rsidRPr="00887215">
        <w:t>by</w:t>
      </w:r>
      <w:r w:rsidRPr="00887215">
        <w:t xml:space="preserve"> the </w:t>
      </w:r>
      <w:r w:rsidR="00E03B63">
        <w:t xml:space="preserve">EC </w:t>
      </w:r>
      <w:r w:rsidRPr="00887215">
        <w:t>Joint Research Centr</w:t>
      </w:r>
      <w:r w:rsidR="00327A5B" w:rsidRPr="00887215">
        <w:t>e</w:t>
      </w:r>
      <w:r w:rsidR="00E03B63">
        <w:t xml:space="preserve"> to </w:t>
      </w:r>
      <w:r w:rsidR="00327A5B" w:rsidRPr="00887215">
        <w:t>cover</w:t>
      </w:r>
      <w:r w:rsidRPr="00887215">
        <w:t xml:space="preserve"> a sample of EU </w:t>
      </w:r>
      <w:r w:rsidR="00017A57" w:rsidRPr="00887215">
        <w:t>firms</w:t>
      </w:r>
      <w:r w:rsidRPr="00887215">
        <w:t xml:space="preserve"> </w:t>
      </w:r>
      <w:r w:rsidR="007553AC">
        <w:t>with a secondary</w:t>
      </w:r>
      <w:r w:rsidRPr="00887215">
        <w:t xml:space="preserve"> sample </w:t>
      </w:r>
      <w:r w:rsidR="00327A5B" w:rsidRPr="00887215">
        <w:t>of firms from</w:t>
      </w:r>
      <w:r w:rsidRPr="00887215">
        <w:t xml:space="preserve"> </w:t>
      </w:r>
      <w:r w:rsidR="00327A5B" w:rsidRPr="00887215">
        <w:t xml:space="preserve">non-EU </w:t>
      </w:r>
      <w:r w:rsidRPr="00887215">
        <w:t>countries.</w:t>
      </w:r>
      <w:r w:rsidR="00D758F0">
        <w:t xml:space="preserve"> </w:t>
      </w:r>
      <w:r w:rsidRPr="00887215">
        <w:t xml:space="preserve">The </w:t>
      </w:r>
      <w:r w:rsidR="00E03B63" w:rsidRPr="00887215">
        <w:t>telephone survey</w:t>
      </w:r>
      <w:r w:rsidR="00E03B63">
        <w:t>,</w:t>
      </w:r>
      <w:r w:rsidR="00E03B63" w:rsidRPr="00887215">
        <w:t xml:space="preserve"> with </w:t>
      </w:r>
      <w:r w:rsidR="00E03B63">
        <w:t>interviews of</w:t>
      </w:r>
      <w:r w:rsidR="00E03B63" w:rsidRPr="00887215">
        <w:t xml:space="preserve"> 10</w:t>
      </w:r>
      <w:r w:rsidR="00E03B63">
        <w:t>-</w:t>
      </w:r>
      <w:r w:rsidR="00E03B63" w:rsidRPr="00887215">
        <w:t>15 minutes</w:t>
      </w:r>
      <w:r w:rsidR="00E03B63">
        <w:t>,</w:t>
      </w:r>
      <w:r w:rsidR="00E03B63" w:rsidRPr="00887215">
        <w:t xml:space="preserve"> </w:t>
      </w:r>
      <w:r w:rsidR="00E03B63">
        <w:t>target</w:t>
      </w:r>
      <w:r w:rsidRPr="00887215">
        <w:t xml:space="preserve">ed </w:t>
      </w:r>
      <w:r w:rsidR="00017A57" w:rsidRPr="00887215">
        <w:t>firms</w:t>
      </w:r>
      <w:r w:rsidR="00E03B63">
        <w:t xml:space="preserve"> of all sizes</w:t>
      </w:r>
      <w:r w:rsidRPr="00887215">
        <w:t xml:space="preserve"> operating in </w:t>
      </w:r>
      <w:r w:rsidR="0026498D">
        <w:t>both manufacturing and services</w:t>
      </w:r>
      <w:r w:rsidRPr="00887215">
        <w:t xml:space="preserve">. The </w:t>
      </w:r>
      <w:r w:rsidR="00897EB2" w:rsidRPr="00887215">
        <w:t>realised sample included</w:t>
      </w:r>
      <w:r w:rsidRPr="00887215">
        <w:t xml:space="preserve"> 11,317 </w:t>
      </w:r>
      <w:r w:rsidR="00017A57" w:rsidRPr="00887215">
        <w:t>firms</w:t>
      </w:r>
      <w:r w:rsidRPr="00887215">
        <w:t xml:space="preserve"> </w:t>
      </w:r>
      <w:r w:rsidR="00897EB2" w:rsidRPr="00887215">
        <w:t>from</w:t>
      </w:r>
      <w:r w:rsidRPr="00887215">
        <w:t xml:space="preserve"> 36 countries</w:t>
      </w:r>
      <w:r w:rsidR="00474236">
        <w:t xml:space="preserve"> (</w:t>
      </w:r>
      <w:r w:rsidR="00897EB2" w:rsidRPr="00887215">
        <w:t>r</w:t>
      </w:r>
      <w:r w:rsidRPr="00887215">
        <w:t>esponse rates between 6 and 69 per cent</w:t>
      </w:r>
      <w:r w:rsidR="00474236">
        <w:t>)</w:t>
      </w:r>
      <w:r w:rsidRPr="00887215">
        <w:t>. In evaluating the</w:t>
      </w:r>
      <w:r w:rsidR="00B220CC">
        <w:t xml:space="preserve"> survey</w:t>
      </w:r>
      <w:r w:rsidRPr="00887215">
        <w:t xml:space="preserve">, the </w:t>
      </w:r>
      <w:r w:rsidR="006A482D" w:rsidRPr="00887215">
        <w:t xml:space="preserve">quality of </w:t>
      </w:r>
      <w:r w:rsidR="00897EB2" w:rsidRPr="00887215">
        <w:t>registers</w:t>
      </w:r>
      <w:r w:rsidR="00E03B63">
        <w:t xml:space="preserve"> used by the</w:t>
      </w:r>
      <w:r w:rsidRPr="00887215">
        <w:t xml:space="preserve"> </w:t>
      </w:r>
      <w:r w:rsidR="006A482D" w:rsidRPr="00887215">
        <w:t xml:space="preserve">Eurobarometer </w:t>
      </w:r>
      <w:r w:rsidR="00E03B63">
        <w:t>was an issue</w:t>
      </w:r>
      <w:r w:rsidRPr="00887215">
        <w:t xml:space="preserve">. </w:t>
      </w:r>
      <w:r w:rsidR="00474236">
        <w:t>Rather than</w:t>
      </w:r>
      <w:r w:rsidR="00B220CC">
        <w:t xml:space="preserve"> </w:t>
      </w:r>
      <w:r w:rsidR="006A482D" w:rsidRPr="00887215">
        <w:t>using</w:t>
      </w:r>
      <w:r w:rsidRPr="00887215">
        <w:t xml:space="preserve"> official statistical register</w:t>
      </w:r>
      <w:r w:rsidR="006A482D" w:rsidRPr="00887215">
        <w:t>s</w:t>
      </w:r>
      <w:r w:rsidR="00E03B63">
        <w:t>, the</w:t>
      </w:r>
      <w:r w:rsidRPr="00887215">
        <w:t xml:space="preserve"> Eurobarometer sample was extracted from a </w:t>
      </w:r>
      <w:r w:rsidR="006A482D" w:rsidRPr="00887215">
        <w:t>range</w:t>
      </w:r>
      <w:r w:rsidR="00E03B63">
        <w:t xml:space="preserve"> of private</w:t>
      </w:r>
      <w:r w:rsidR="00B220CC">
        <w:t xml:space="preserve"> registers</w:t>
      </w:r>
      <w:r w:rsidRPr="00887215">
        <w:t xml:space="preserve"> </w:t>
      </w:r>
      <w:r w:rsidR="00D758F0">
        <w:t>with the risk</w:t>
      </w:r>
      <w:r w:rsidRPr="00887215">
        <w:t xml:space="preserve"> </w:t>
      </w:r>
      <w:r w:rsidR="00E03B63">
        <w:t>of</w:t>
      </w:r>
      <w:r w:rsidR="00CD7CAB">
        <w:t xml:space="preserve"> ov</w:t>
      </w:r>
      <w:r w:rsidR="00E03B63">
        <w:t>erestimati</w:t>
      </w:r>
      <w:r w:rsidRPr="00887215">
        <w:t>n</w:t>
      </w:r>
      <w:r w:rsidR="00E03B63">
        <w:t>g</w:t>
      </w:r>
      <w:r w:rsidRPr="00887215">
        <w:t xml:space="preserve"> the </w:t>
      </w:r>
      <w:r w:rsidR="00CD7CAB">
        <w:t xml:space="preserve">role of </w:t>
      </w:r>
      <w:r w:rsidR="00474236">
        <w:t>large</w:t>
      </w:r>
      <w:r w:rsidR="006A482D" w:rsidRPr="00887215">
        <w:t xml:space="preserve"> </w:t>
      </w:r>
      <w:r w:rsidR="00017A57" w:rsidRPr="00887215">
        <w:t>firms</w:t>
      </w:r>
      <w:r w:rsidRPr="00887215">
        <w:t xml:space="preserve"> </w:t>
      </w:r>
      <w:r w:rsidR="006A482D" w:rsidRPr="00887215">
        <w:t>operating in highly</w:t>
      </w:r>
      <w:r w:rsidRPr="00887215">
        <w:t xml:space="preserve"> competitive </w:t>
      </w:r>
      <w:r w:rsidR="006A482D" w:rsidRPr="00887215">
        <w:t>markets</w:t>
      </w:r>
      <w:r w:rsidRPr="00887215">
        <w:t xml:space="preserve"> and </w:t>
      </w:r>
      <w:r w:rsidR="00B220CC">
        <w:t>with higher</w:t>
      </w:r>
      <w:r w:rsidRPr="00887215">
        <w:t xml:space="preserve"> </w:t>
      </w:r>
      <w:r w:rsidR="00B220CC">
        <w:t>propensity to invest o</w:t>
      </w:r>
      <w:r w:rsidR="00474236">
        <w:t>n IA</w:t>
      </w:r>
      <w:r w:rsidRPr="00887215">
        <w:t>.</w:t>
      </w:r>
    </w:p>
    <w:p w14:paraId="251FDDFA" w14:textId="596928F9" w:rsidR="006A482D" w:rsidRPr="00887215" w:rsidRDefault="006A482D" w:rsidP="005526C7">
      <w:pPr>
        <w:spacing w:after="0"/>
      </w:pPr>
      <w:r w:rsidRPr="00887215">
        <w:t>The Italian INAPP-ISTAT survey</w:t>
      </w:r>
    </w:p>
    <w:p w14:paraId="1FBDA9A9" w14:textId="598043FB" w:rsidR="004E0E10" w:rsidRPr="00887215" w:rsidRDefault="006A482D" w:rsidP="004E0E10">
      <w:r w:rsidRPr="00887215">
        <w:t>Although several experiences have been developed at internation</w:t>
      </w:r>
      <w:r w:rsidR="00D758F0">
        <w:t>al level over the last decade [5</w:t>
      </w:r>
      <w:r w:rsidRPr="00887215">
        <w:t>], two Italian public institutions (the Italian Statistical Institute</w:t>
      </w:r>
      <w:r w:rsidR="004E0E10" w:rsidRPr="00887215">
        <w:t>, ISTAT</w:t>
      </w:r>
      <w:r w:rsidRPr="00887215">
        <w:t xml:space="preserve"> and the </w:t>
      </w:r>
      <w:r w:rsidRPr="00887215">
        <w:lastRenderedPageBreak/>
        <w:t xml:space="preserve">Institute for Public Policy </w:t>
      </w:r>
      <w:r w:rsidR="004E0E10" w:rsidRPr="00887215">
        <w:t>A</w:t>
      </w:r>
      <w:r w:rsidRPr="00887215">
        <w:t>nalysis</w:t>
      </w:r>
      <w:r w:rsidR="004E0E10" w:rsidRPr="00887215">
        <w:t>, INAPP</w:t>
      </w:r>
      <w:r w:rsidRPr="00887215">
        <w:t xml:space="preserve">) have succeeded in carrying out for the first time an official business survey on intangible assets in a large EU country </w:t>
      </w:r>
      <w:r w:rsidR="00D758F0">
        <w:t>[6</w:t>
      </w:r>
      <w:r w:rsidR="0091747A" w:rsidRPr="00887215">
        <w:t>].</w:t>
      </w:r>
      <w:r w:rsidR="004E0E10" w:rsidRPr="00887215">
        <w:t xml:space="preserve"> In 2013, by scaling up a previous (2009)</w:t>
      </w:r>
      <w:r w:rsidR="00B220CC">
        <w:t xml:space="preserve"> </w:t>
      </w:r>
      <w:r w:rsidR="004E0E10" w:rsidRPr="00887215">
        <w:t>pilot survey on a sample of 200 firms, INAPP</w:t>
      </w:r>
      <w:r w:rsidR="00B220CC">
        <w:t xml:space="preserve"> and</w:t>
      </w:r>
      <w:r w:rsidR="004E0E10" w:rsidRPr="00887215">
        <w:t xml:space="preserve"> ISTAT launched the first Italian survey on intangible investments </w:t>
      </w:r>
      <w:r w:rsidR="00B220CC">
        <w:t xml:space="preserve">in firms. The survey, </w:t>
      </w:r>
      <w:r w:rsidR="004E0E10" w:rsidRPr="00887215">
        <w:t xml:space="preserve">with reference to the year 2012, covered a sample of </w:t>
      </w:r>
      <w:r w:rsidR="00D102EC" w:rsidRPr="00887215">
        <w:t>28</w:t>
      </w:r>
      <w:r w:rsidR="004E0E10" w:rsidRPr="00887215">
        <w:t>,</w:t>
      </w:r>
      <w:r w:rsidR="00D102EC" w:rsidRPr="00887215">
        <w:t>321</w:t>
      </w:r>
      <w:r w:rsidR="004E0E10" w:rsidRPr="00887215">
        <w:t xml:space="preserve"> manufacturing and services f</w:t>
      </w:r>
      <w:r w:rsidR="00CD7CAB">
        <w:t xml:space="preserve">irms with 10 employees or more. </w:t>
      </w:r>
      <w:r w:rsidR="004E0E10" w:rsidRPr="00887215">
        <w:t xml:space="preserve">The actual sample included 10,631 observations </w:t>
      </w:r>
      <w:r w:rsidR="009A0C45" w:rsidRPr="00887215">
        <w:t xml:space="preserve">(response rate 37.5 per cent) </w:t>
      </w:r>
      <w:r w:rsidR="004E0E10" w:rsidRPr="00887215">
        <w:t>and allow</w:t>
      </w:r>
      <w:r w:rsidR="009A0C45" w:rsidRPr="00887215">
        <w:t>ed</w:t>
      </w:r>
      <w:r w:rsidR="004E0E10" w:rsidRPr="00887215">
        <w:t xml:space="preserve"> </w:t>
      </w:r>
      <w:r w:rsidR="009A0C45" w:rsidRPr="00887215">
        <w:t xml:space="preserve">for </w:t>
      </w:r>
      <w:r w:rsidR="004E0E10" w:rsidRPr="00887215">
        <w:t xml:space="preserve">an in-depth analysis of the </w:t>
      </w:r>
      <w:r w:rsidR="009A0C45" w:rsidRPr="00887215">
        <w:t xml:space="preserve">IA </w:t>
      </w:r>
      <w:r w:rsidR="004E0E10" w:rsidRPr="00887215">
        <w:t xml:space="preserve">phenomenon </w:t>
      </w:r>
      <w:r w:rsidR="009A0C45" w:rsidRPr="00887215">
        <w:t xml:space="preserve">both </w:t>
      </w:r>
      <w:r w:rsidR="005F6E85">
        <w:t>by sector and size class</w:t>
      </w:r>
      <w:r w:rsidR="004E0E10" w:rsidRPr="00887215">
        <w:t>. The I</w:t>
      </w:r>
      <w:r w:rsidR="009A0C45" w:rsidRPr="00887215">
        <w:t>NAPP</w:t>
      </w:r>
      <w:r w:rsidR="004E0E10" w:rsidRPr="00887215">
        <w:t xml:space="preserve"> survey largely replicated the </w:t>
      </w:r>
      <w:r w:rsidR="009A0C45" w:rsidRPr="00887215">
        <w:t>ONS</w:t>
      </w:r>
      <w:r w:rsidR="004E0E10" w:rsidRPr="00887215">
        <w:t xml:space="preserve"> survey </w:t>
      </w:r>
      <w:r w:rsidR="009A0C45" w:rsidRPr="00887215">
        <w:t>methodology</w:t>
      </w:r>
      <w:r w:rsidR="004E0E10" w:rsidRPr="00887215">
        <w:t>, albeit with adaptations to the Italian context.</w:t>
      </w:r>
    </w:p>
    <w:p w14:paraId="26FCB219" w14:textId="77777777" w:rsidR="00BC6AFE" w:rsidRPr="00887215" w:rsidRDefault="00BC6AFE" w:rsidP="00BC6AFE">
      <w:pPr>
        <w:pStyle w:val="Titolo1"/>
      </w:pPr>
      <w:r w:rsidRPr="00887215">
        <w:t>Methods</w:t>
      </w:r>
    </w:p>
    <w:p w14:paraId="47492FAA" w14:textId="75ABCB36" w:rsidR="00BC6AFE" w:rsidRPr="00887215" w:rsidRDefault="009A0C45" w:rsidP="00BC6AFE">
      <w:r w:rsidRPr="00887215">
        <w:t xml:space="preserve">At a stage where several surveys, across a number of countries, have tested the methodology for the implementation of IA surveys originally developed by the </w:t>
      </w:r>
      <w:r w:rsidR="00997BD4">
        <w:t>UK</w:t>
      </w:r>
      <w:r w:rsidR="00997BD4" w:rsidRPr="00887215">
        <w:t xml:space="preserve"> </w:t>
      </w:r>
      <w:r w:rsidRPr="00887215">
        <w:t>ONS, an issue can be raised about the effectiveness of such methodology and the need for improvements either based on the experiences available so far, or designed as potential</w:t>
      </w:r>
      <w:r w:rsidR="00845350" w:rsidRPr="00887215">
        <w:t>ly</w:t>
      </w:r>
      <w:r w:rsidRPr="00887215">
        <w:t xml:space="preserve"> new approaches.</w:t>
      </w:r>
    </w:p>
    <w:p w14:paraId="5DB66AA4" w14:textId="1D3E90FF" w:rsidR="00BC6AFE" w:rsidRPr="00887215" w:rsidRDefault="009A0C45" w:rsidP="001B50CE">
      <w:pPr>
        <w:pStyle w:val="Titolo2"/>
        <w:tabs>
          <w:tab w:val="clear" w:pos="1080"/>
          <w:tab w:val="num" w:pos="482"/>
        </w:tabs>
        <w:ind w:left="482" w:hanging="482"/>
      </w:pPr>
      <w:r w:rsidRPr="00887215">
        <w:t>Comparing the main experiences in surveying IA in firms</w:t>
      </w:r>
    </w:p>
    <w:p w14:paraId="4A8B42B5" w14:textId="3CC2A384" w:rsidR="005526C7" w:rsidRPr="00887215" w:rsidRDefault="005526C7" w:rsidP="005526C7">
      <w:r w:rsidRPr="00887215">
        <w:t>Available information (Table 1)</w:t>
      </w:r>
      <w:r>
        <w:t xml:space="preserve"> </w:t>
      </w:r>
      <w:r w:rsidR="009D6AEE">
        <w:t>indicates</w:t>
      </w:r>
      <w:r w:rsidR="009D6AEE" w:rsidRPr="00887215">
        <w:t xml:space="preserve"> </w:t>
      </w:r>
      <w:r w:rsidRPr="00887215">
        <w:t xml:space="preserve">the trade-off between the quality of the results and the burden on respondents (strongly associated with the response rate). When asking for a few qualitative information to a RDD sample, the burden is minimised but, at the same time, it is awkward to collect any quantitative data, even just as an estimate (and to draw a reliable estimate for the whole population, as well). </w:t>
      </w:r>
    </w:p>
    <w:p w14:paraId="271A37E5" w14:textId="769B3BC9" w:rsidR="000318DE" w:rsidRPr="00887215" w:rsidRDefault="000318DE" w:rsidP="000318DE">
      <w:pPr>
        <w:pStyle w:val="Didascalia"/>
      </w:pPr>
      <w:r w:rsidRPr="00887215">
        <w:t xml:space="preserve">Table </w:t>
      </w:r>
      <w:r w:rsidRPr="00887215">
        <w:fldChar w:fldCharType="begin"/>
      </w:r>
      <w:r w:rsidRPr="00887215">
        <w:instrText xml:space="preserve"> SEQ Table \* ARABIC </w:instrText>
      </w:r>
      <w:r w:rsidRPr="00887215">
        <w:fldChar w:fldCharType="separate"/>
      </w:r>
      <w:r w:rsidRPr="00887215">
        <w:rPr>
          <w:noProof/>
        </w:rPr>
        <w:t>1</w:t>
      </w:r>
      <w:r w:rsidRPr="00887215">
        <w:fldChar w:fldCharType="end"/>
      </w:r>
      <w:r w:rsidRPr="00887215">
        <w:t>. Comparing some methodological features of IA surveys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405"/>
        <w:gridCol w:w="1186"/>
        <w:gridCol w:w="1662"/>
        <w:gridCol w:w="1294"/>
        <w:gridCol w:w="1403"/>
      </w:tblGrid>
      <w:tr w:rsidR="00887215" w:rsidRPr="00887215" w14:paraId="4FC871E6" w14:textId="77777777" w:rsidTr="00D758F0">
        <w:tc>
          <w:tcPr>
            <w:tcW w:w="1657" w:type="dxa"/>
            <w:shd w:val="clear" w:color="auto" w:fill="auto"/>
          </w:tcPr>
          <w:p w14:paraId="33DF1FAA" w14:textId="2EE5406C" w:rsidR="000318DE" w:rsidRPr="00887215" w:rsidRDefault="000318DE" w:rsidP="00AE0BF9">
            <w:pPr>
              <w:spacing w:after="0"/>
              <w:rPr>
                <w:b/>
                <w:bCs/>
              </w:rPr>
            </w:pPr>
            <w:r w:rsidRPr="00887215">
              <w:rPr>
                <w:b/>
                <w:bCs/>
              </w:rPr>
              <w:t>Survey</w:t>
            </w:r>
          </w:p>
        </w:tc>
        <w:tc>
          <w:tcPr>
            <w:tcW w:w="1405" w:type="dxa"/>
            <w:shd w:val="clear" w:color="auto" w:fill="auto"/>
          </w:tcPr>
          <w:p w14:paraId="11CE7D93" w14:textId="17A2174E" w:rsidR="000318DE" w:rsidRPr="00887215" w:rsidRDefault="000318DE" w:rsidP="00AE0BF9">
            <w:pPr>
              <w:spacing w:after="0"/>
              <w:rPr>
                <w:b/>
                <w:bCs/>
              </w:rPr>
            </w:pPr>
            <w:r w:rsidRPr="00887215">
              <w:rPr>
                <w:b/>
                <w:bCs/>
              </w:rPr>
              <w:t>Territory</w:t>
            </w:r>
          </w:p>
        </w:tc>
        <w:tc>
          <w:tcPr>
            <w:tcW w:w="1186" w:type="dxa"/>
            <w:shd w:val="clear" w:color="auto" w:fill="auto"/>
          </w:tcPr>
          <w:p w14:paraId="39B42873" w14:textId="6C19A34B" w:rsidR="000318DE" w:rsidRPr="00887215" w:rsidRDefault="000318DE" w:rsidP="00AE0BF9">
            <w:pPr>
              <w:spacing w:after="0"/>
              <w:rPr>
                <w:b/>
                <w:bCs/>
              </w:rPr>
            </w:pPr>
            <w:r w:rsidRPr="00887215">
              <w:rPr>
                <w:b/>
                <w:bCs/>
              </w:rPr>
              <w:t>Sample size</w:t>
            </w:r>
          </w:p>
        </w:tc>
        <w:tc>
          <w:tcPr>
            <w:tcW w:w="1662" w:type="dxa"/>
            <w:shd w:val="clear" w:color="auto" w:fill="auto"/>
          </w:tcPr>
          <w:p w14:paraId="4F809885" w14:textId="27D6EC53" w:rsidR="000318DE" w:rsidRPr="00887215" w:rsidRDefault="008C7182" w:rsidP="00AE0BF9">
            <w:pPr>
              <w:spacing w:after="0"/>
              <w:rPr>
                <w:b/>
                <w:bCs/>
              </w:rPr>
            </w:pPr>
            <w:r w:rsidRPr="00887215">
              <w:rPr>
                <w:b/>
                <w:bCs/>
              </w:rPr>
              <w:t>Sampling method</w:t>
            </w:r>
          </w:p>
        </w:tc>
        <w:tc>
          <w:tcPr>
            <w:tcW w:w="1294" w:type="dxa"/>
            <w:shd w:val="clear" w:color="auto" w:fill="auto"/>
          </w:tcPr>
          <w:p w14:paraId="136810DE" w14:textId="315E943F" w:rsidR="000318DE" w:rsidRPr="00887215" w:rsidRDefault="008C7182" w:rsidP="00AE0BF9">
            <w:pPr>
              <w:spacing w:after="0"/>
              <w:rPr>
                <w:b/>
                <w:bCs/>
              </w:rPr>
            </w:pPr>
            <w:r w:rsidRPr="00887215">
              <w:rPr>
                <w:b/>
                <w:bCs/>
              </w:rPr>
              <w:t>Realised sample</w:t>
            </w:r>
          </w:p>
        </w:tc>
        <w:tc>
          <w:tcPr>
            <w:tcW w:w="1403" w:type="dxa"/>
            <w:shd w:val="clear" w:color="auto" w:fill="auto"/>
          </w:tcPr>
          <w:p w14:paraId="1A5BD35E" w14:textId="6819CB4A" w:rsidR="000318DE" w:rsidRPr="00887215" w:rsidRDefault="008C7182" w:rsidP="00AE0BF9">
            <w:pPr>
              <w:spacing w:after="0"/>
              <w:rPr>
                <w:b/>
                <w:bCs/>
              </w:rPr>
            </w:pPr>
            <w:r w:rsidRPr="00887215">
              <w:rPr>
                <w:b/>
                <w:bCs/>
              </w:rPr>
              <w:t>Response rate</w:t>
            </w:r>
          </w:p>
        </w:tc>
      </w:tr>
      <w:tr w:rsidR="00887215" w:rsidRPr="00887215" w14:paraId="2B0448D3" w14:textId="77777777" w:rsidTr="00D758F0">
        <w:tc>
          <w:tcPr>
            <w:tcW w:w="1657" w:type="dxa"/>
            <w:shd w:val="clear" w:color="auto" w:fill="auto"/>
          </w:tcPr>
          <w:p w14:paraId="1B26490B" w14:textId="453C6170" w:rsidR="000318DE" w:rsidRPr="00887215" w:rsidRDefault="000318DE" w:rsidP="00AE0BF9">
            <w:pPr>
              <w:spacing w:after="0"/>
            </w:pPr>
            <w:r w:rsidRPr="00887215">
              <w:t>ONS 2009</w:t>
            </w:r>
          </w:p>
        </w:tc>
        <w:tc>
          <w:tcPr>
            <w:tcW w:w="1405" w:type="dxa"/>
            <w:shd w:val="clear" w:color="auto" w:fill="auto"/>
          </w:tcPr>
          <w:p w14:paraId="26CCFDDE" w14:textId="77461D36" w:rsidR="000318DE" w:rsidRPr="00887215" w:rsidRDefault="000318DE" w:rsidP="00AE0BF9">
            <w:pPr>
              <w:spacing w:after="0"/>
            </w:pPr>
            <w:r w:rsidRPr="00887215">
              <w:t>UK</w:t>
            </w:r>
          </w:p>
        </w:tc>
        <w:tc>
          <w:tcPr>
            <w:tcW w:w="1186" w:type="dxa"/>
            <w:shd w:val="clear" w:color="auto" w:fill="auto"/>
          </w:tcPr>
          <w:p w14:paraId="21340372" w14:textId="2BDD3D99" w:rsidR="000318DE" w:rsidRPr="00887215" w:rsidRDefault="000318DE" w:rsidP="00AE0BF9">
            <w:pPr>
              <w:spacing w:after="0"/>
            </w:pPr>
            <w:r w:rsidRPr="00887215">
              <w:t>2,000</w:t>
            </w:r>
          </w:p>
        </w:tc>
        <w:tc>
          <w:tcPr>
            <w:tcW w:w="1662" w:type="dxa"/>
            <w:shd w:val="clear" w:color="auto" w:fill="auto"/>
          </w:tcPr>
          <w:p w14:paraId="6374DF10" w14:textId="40E93F31" w:rsidR="000318DE" w:rsidRPr="00887215" w:rsidRDefault="008C7182" w:rsidP="00AE0BF9">
            <w:pPr>
              <w:spacing w:after="0"/>
            </w:pPr>
            <w:r w:rsidRPr="00887215">
              <w:t>Register based</w:t>
            </w:r>
          </w:p>
        </w:tc>
        <w:tc>
          <w:tcPr>
            <w:tcW w:w="1294" w:type="dxa"/>
            <w:shd w:val="clear" w:color="auto" w:fill="auto"/>
          </w:tcPr>
          <w:p w14:paraId="159E60ED" w14:textId="73B7D26E" w:rsidR="000318DE" w:rsidRPr="00887215" w:rsidRDefault="008C7182" w:rsidP="00AE0BF9">
            <w:pPr>
              <w:spacing w:after="0"/>
            </w:pPr>
            <w:r w:rsidRPr="00887215">
              <w:t>8</w:t>
            </w:r>
            <w:r w:rsidR="008A5F6E" w:rsidRPr="00887215">
              <w:t>38</w:t>
            </w:r>
          </w:p>
        </w:tc>
        <w:tc>
          <w:tcPr>
            <w:tcW w:w="1403" w:type="dxa"/>
            <w:shd w:val="clear" w:color="auto" w:fill="auto"/>
          </w:tcPr>
          <w:p w14:paraId="77F91E17" w14:textId="47E8FF4F" w:rsidR="000318DE" w:rsidRPr="00887215" w:rsidRDefault="008C7182" w:rsidP="00AE0BF9">
            <w:pPr>
              <w:spacing w:after="0"/>
            </w:pPr>
            <w:r w:rsidRPr="00887215">
              <w:t>42%</w:t>
            </w:r>
          </w:p>
        </w:tc>
      </w:tr>
      <w:tr w:rsidR="00887215" w:rsidRPr="00887215" w14:paraId="2F79966D" w14:textId="77777777" w:rsidTr="00D758F0">
        <w:tc>
          <w:tcPr>
            <w:tcW w:w="1657" w:type="dxa"/>
            <w:shd w:val="clear" w:color="auto" w:fill="auto"/>
          </w:tcPr>
          <w:p w14:paraId="57C65999" w14:textId="72FBF54B" w:rsidR="000318DE" w:rsidRPr="00887215" w:rsidRDefault="000318DE" w:rsidP="00AE0BF9">
            <w:pPr>
              <w:spacing w:after="0"/>
            </w:pPr>
            <w:r w:rsidRPr="00887215">
              <w:t>Eurobarometer 2013</w:t>
            </w:r>
          </w:p>
        </w:tc>
        <w:tc>
          <w:tcPr>
            <w:tcW w:w="1405" w:type="dxa"/>
            <w:shd w:val="clear" w:color="auto" w:fill="auto"/>
          </w:tcPr>
          <w:p w14:paraId="6F6822A3" w14:textId="3C235F68" w:rsidR="000318DE" w:rsidRPr="00887215" w:rsidRDefault="000318DE" w:rsidP="00AE0BF9">
            <w:pPr>
              <w:spacing w:after="0"/>
            </w:pPr>
            <w:r w:rsidRPr="00887215">
              <w:t>36 countries (mostly EU)</w:t>
            </w:r>
          </w:p>
        </w:tc>
        <w:tc>
          <w:tcPr>
            <w:tcW w:w="1186" w:type="dxa"/>
            <w:shd w:val="clear" w:color="auto" w:fill="auto"/>
          </w:tcPr>
          <w:p w14:paraId="0905C22D" w14:textId="77777777" w:rsidR="000318DE" w:rsidRPr="00887215" w:rsidRDefault="000318DE" w:rsidP="00AE0BF9">
            <w:pPr>
              <w:spacing w:after="0"/>
            </w:pPr>
          </w:p>
        </w:tc>
        <w:tc>
          <w:tcPr>
            <w:tcW w:w="1662" w:type="dxa"/>
            <w:shd w:val="clear" w:color="auto" w:fill="auto"/>
          </w:tcPr>
          <w:p w14:paraId="3CF6EEAC" w14:textId="3B60A9D2" w:rsidR="000318DE" w:rsidRPr="00887215" w:rsidRDefault="008C7182" w:rsidP="00AE0BF9">
            <w:pPr>
              <w:spacing w:after="0"/>
            </w:pPr>
            <w:r w:rsidRPr="00887215">
              <w:t>Random digit dial (RDD)</w:t>
            </w:r>
          </w:p>
        </w:tc>
        <w:tc>
          <w:tcPr>
            <w:tcW w:w="1294" w:type="dxa"/>
            <w:shd w:val="clear" w:color="auto" w:fill="auto"/>
          </w:tcPr>
          <w:p w14:paraId="682F0A68" w14:textId="6A921B47" w:rsidR="000318DE" w:rsidRPr="00887215" w:rsidRDefault="008C7182" w:rsidP="00AE0BF9">
            <w:pPr>
              <w:spacing w:after="0"/>
            </w:pPr>
            <w:r w:rsidRPr="00887215">
              <w:t>11,317</w:t>
            </w:r>
          </w:p>
        </w:tc>
        <w:tc>
          <w:tcPr>
            <w:tcW w:w="1403" w:type="dxa"/>
            <w:shd w:val="clear" w:color="auto" w:fill="auto"/>
          </w:tcPr>
          <w:p w14:paraId="6FAF3462" w14:textId="27B52463" w:rsidR="000318DE" w:rsidRPr="00887215" w:rsidRDefault="008C7182" w:rsidP="00AE0BF9">
            <w:pPr>
              <w:spacing w:after="0"/>
            </w:pPr>
            <w:r w:rsidRPr="00887215">
              <w:t>6 to 69%</w:t>
            </w:r>
          </w:p>
        </w:tc>
      </w:tr>
      <w:tr w:rsidR="00887215" w:rsidRPr="00887215" w14:paraId="61D6E3CA" w14:textId="77777777" w:rsidTr="00D758F0">
        <w:tc>
          <w:tcPr>
            <w:tcW w:w="1657" w:type="dxa"/>
            <w:shd w:val="clear" w:color="auto" w:fill="auto"/>
          </w:tcPr>
          <w:p w14:paraId="668CB321" w14:textId="7EA4E5C0" w:rsidR="000318DE" w:rsidRPr="00887215" w:rsidRDefault="000318DE" w:rsidP="00AE0BF9">
            <w:pPr>
              <w:spacing w:after="0"/>
            </w:pPr>
            <w:r w:rsidRPr="00887215">
              <w:t>INAPP/ISTAT 2013</w:t>
            </w:r>
          </w:p>
        </w:tc>
        <w:tc>
          <w:tcPr>
            <w:tcW w:w="1405" w:type="dxa"/>
            <w:shd w:val="clear" w:color="auto" w:fill="auto"/>
          </w:tcPr>
          <w:p w14:paraId="3EC0E988" w14:textId="0FE3A82D" w:rsidR="000318DE" w:rsidRPr="00887215" w:rsidRDefault="000318DE" w:rsidP="00AE0BF9">
            <w:pPr>
              <w:spacing w:after="0"/>
            </w:pPr>
            <w:r w:rsidRPr="00887215">
              <w:t>Italy</w:t>
            </w:r>
          </w:p>
        </w:tc>
        <w:tc>
          <w:tcPr>
            <w:tcW w:w="1186" w:type="dxa"/>
            <w:shd w:val="clear" w:color="auto" w:fill="auto"/>
          </w:tcPr>
          <w:p w14:paraId="09CBD981" w14:textId="7674057D" w:rsidR="000318DE" w:rsidRPr="00887215" w:rsidRDefault="008C7182" w:rsidP="00AE0BF9">
            <w:pPr>
              <w:spacing w:after="0"/>
            </w:pPr>
            <w:r w:rsidRPr="00887215">
              <w:t>28,320</w:t>
            </w:r>
          </w:p>
        </w:tc>
        <w:tc>
          <w:tcPr>
            <w:tcW w:w="1662" w:type="dxa"/>
            <w:shd w:val="clear" w:color="auto" w:fill="auto"/>
          </w:tcPr>
          <w:p w14:paraId="6C63EE32" w14:textId="6957F220" w:rsidR="000318DE" w:rsidRPr="00887215" w:rsidRDefault="008C7182" w:rsidP="00AE0BF9">
            <w:pPr>
              <w:spacing w:after="0"/>
            </w:pPr>
            <w:r w:rsidRPr="00887215">
              <w:t>Register based</w:t>
            </w:r>
          </w:p>
        </w:tc>
        <w:tc>
          <w:tcPr>
            <w:tcW w:w="1294" w:type="dxa"/>
            <w:shd w:val="clear" w:color="auto" w:fill="auto"/>
          </w:tcPr>
          <w:p w14:paraId="50B5E72E" w14:textId="2CE8CA90" w:rsidR="000318DE" w:rsidRPr="00887215" w:rsidRDefault="008C7182" w:rsidP="00AE0BF9">
            <w:pPr>
              <w:spacing w:after="0"/>
            </w:pPr>
            <w:r w:rsidRPr="00887215">
              <w:t>10,631</w:t>
            </w:r>
          </w:p>
        </w:tc>
        <w:tc>
          <w:tcPr>
            <w:tcW w:w="1403" w:type="dxa"/>
            <w:shd w:val="clear" w:color="auto" w:fill="auto"/>
          </w:tcPr>
          <w:p w14:paraId="6D72A2A7" w14:textId="51170420" w:rsidR="000318DE" w:rsidRPr="00887215" w:rsidRDefault="008C7182" w:rsidP="00AE0BF9">
            <w:pPr>
              <w:spacing w:after="0"/>
            </w:pPr>
            <w:r w:rsidRPr="00887215">
              <w:t>37.5%</w:t>
            </w:r>
          </w:p>
        </w:tc>
      </w:tr>
    </w:tbl>
    <w:p w14:paraId="46A66416" w14:textId="5357D312" w:rsidR="002E4E66" w:rsidRPr="00887215" w:rsidRDefault="00474236" w:rsidP="000318DE">
      <w:r>
        <w:t>An</w:t>
      </w:r>
      <w:r w:rsidR="002E4E66" w:rsidRPr="00887215">
        <w:t xml:space="preserve"> issue is whether </w:t>
      </w:r>
      <w:r w:rsidR="00CD7CAB">
        <w:t>IA</w:t>
      </w:r>
      <w:r w:rsidR="002E4E66" w:rsidRPr="00887215">
        <w:t xml:space="preserve"> survey</w:t>
      </w:r>
      <w:r>
        <w:t>s</w:t>
      </w:r>
      <w:r w:rsidR="00CD7CAB">
        <w:t xml:space="preserve"> </w:t>
      </w:r>
      <w:r w:rsidR="00887215" w:rsidRPr="00887215">
        <w:t>sh</w:t>
      </w:r>
      <w:r w:rsidR="002E4E66" w:rsidRPr="00887215">
        <w:t xml:space="preserve">ould be voluntary or mandatory. </w:t>
      </w:r>
      <w:r w:rsidR="00377930" w:rsidRPr="00887215">
        <w:t xml:space="preserve">In the table above, three voluntary surveys are compared </w:t>
      </w:r>
      <w:r w:rsidR="00CD7CAB">
        <w:t>to highlight three distinct approaches</w:t>
      </w:r>
      <w:r>
        <w:t xml:space="preserve">. This leaves </w:t>
      </w:r>
      <w:r w:rsidR="00377930" w:rsidRPr="00887215">
        <w:t xml:space="preserve">room to improve the quality of </w:t>
      </w:r>
      <w:r w:rsidR="00CD7CAB">
        <w:t xml:space="preserve">future </w:t>
      </w:r>
      <w:r w:rsidR="00377930" w:rsidRPr="00887215">
        <w:t>IA surveys without adopt</w:t>
      </w:r>
      <w:r w:rsidR="00CD7CAB">
        <w:t>ing</w:t>
      </w:r>
      <w:r w:rsidR="00377930" w:rsidRPr="00887215">
        <w:t xml:space="preserve"> a mandatory </w:t>
      </w:r>
      <w:r w:rsidR="004D48CF" w:rsidRPr="00887215">
        <w:t>attitude.</w:t>
      </w:r>
      <w:r w:rsidR="00377930" w:rsidRPr="00887215">
        <w:t xml:space="preserve"> </w:t>
      </w:r>
    </w:p>
    <w:p w14:paraId="5FCB6619" w14:textId="44342BE9" w:rsidR="001B50CE" w:rsidRPr="00887215" w:rsidRDefault="00862534" w:rsidP="001B50CE">
      <w:pPr>
        <w:pStyle w:val="Titolo2"/>
        <w:tabs>
          <w:tab w:val="clear" w:pos="1080"/>
          <w:tab w:val="num" w:pos="482"/>
        </w:tabs>
        <w:ind w:left="482" w:hanging="482"/>
      </w:pPr>
      <w:r w:rsidRPr="00887215">
        <w:t>Options for improving response rates and results’ quality in IA surveys</w:t>
      </w:r>
    </w:p>
    <w:p w14:paraId="14EAB822" w14:textId="1A7229FA" w:rsidR="00B35AB6" w:rsidRPr="00887215" w:rsidRDefault="008241FF" w:rsidP="00BC6AFE">
      <w:r w:rsidRPr="00887215">
        <w:t xml:space="preserve">INAPP and ISTAT, </w:t>
      </w:r>
      <w:r w:rsidR="00B35AB6" w:rsidRPr="00887215">
        <w:t>while planning for the Second Italian IA survey, to be launched in 2021, are going to test some changes in the methodology and contents of the survey in order to reduce the burden on respondents while keeping the survey voluntary.</w:t>
      </w:r>
      <w:r w:rsidR="0054171A">
        <w:t xml:space="preserve"> </w:t>
      </w:r>
      <w:r w:rsidR="00B35AB6" w:rsidRPr="00887215">
        <w:t xml:space="preserve">Pilot results will be available early in 2021 and will provide an answer to the reliability of a number of measures to be adopted in the new survey with the potential to become standard in this field. At this point, only a short description of them can be made available (Table 2).  </w:t>
      </w:r>
    </w:p>
    <w:p w14:paraId="11B38945" w14:textId="239EB362" w:rsidR="00B35AB6" w:rsidRPr="00887215" w:rsidRDefault="00B35AB6" w:rsidP="00B35AB6">
      <w:pPr>
        <w:pStyle w:val="Didascalia"/>
      </w:pPr>
      <w:r w:rsidRPr="00887215">
        <w:t xml:space="preserve"> Table 2. Methodological and contents changes to be tested for adoption in the II Italian IA survey 2021</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350"/>
      </w:tblGrid>
      <w:tr w:rsidR="00887215" w:rsidRPr="00887215" w14:paraId="5889EB0F" w14:textId="77777777" w:rsidTr="0026498D">
        <w:tc>
          <w:tcPr>
            <w:tcW w:w="2547" w:type="dxa"/>
            <w:shd w:val="clear" w:color="auto" w:fill="auto"/>
          </w:tcPr>
          <w:p w14:paraId="2FA5C6ED" w14:textId="1A875989" w:rsidR="00B35AB6" w:rsidRPr="00887215" w:rsidRDefault="00B35AB6" w:rsidP="00AE0BF9">
            <w:pPr>
              <w:spacing w:after="0"/>
              <w:rPr>
                <w:b/>
                <w:bCs/>
              </w:rPr>
            </w:pPr>
            <w:r w:rsidRPr="00887215">
              <w:rPr>
                <w:b/>
                <w:bCs/>
              </w:rPr>
              <w:t>Proposed changes</w:t>
            </w:r>
          </w:p>
        </w:tc>
        <w:tc>
          <w:tcPr>
            <w:tcW w:w="6350" w:type="dxa"/>
            <w:shd w:val="clear" w:color="auto" w:fill="auto"/>
          </w:tcPr>
          <w:p w14:paraId="05CD480B" w14:textId="549B4F5B" w:rsidR="00B35AB6" w:rsidRPr="00887215" w:rsidRDefault="00B35AB6" w:rsidP="00AE0BF9">
            <w:pPr>
              <w:spacing w:after="0"/>
              <w:rPr>
                <w:b/>
                <w:bCs/>
              </w:rPr>
            </w:pPr>
            <w:r w:rsidRPr="00887215">
              <w:rPr>
                <w:b/>
                <w:bCs/>
              </w:rPr>
              <w:t>Description</w:t>
            </w:r>
          </w:p>
        </w:tc>
      </w:tr>
      <w:tr w:rsidR="00887215" w:rsidRPr="00887215" w14:paraId="1C41BAC8" w14:textId="77777777" w:rsidTr="0026498D">
        <w:tc>
          <w:tcPr>
            <w:tcW w:w="2547" w:type="dxa"/>
            <w:shd w:val="clear" w:color="auto" w:fill="auto"/>
            <w:vAlign w:val="center"/>
          </w:tcPr>
          <w:p w14:paraId="3E0B81A8" w14:textId="4519A60B" w:rsidR="00B35AB6" w:rsidRPr="00887215" w:rsidRDefault="004B2A67" w:rsidP="00887215">
            <w:pPr>
              <w:spacing w:after="0"/>
              <w:jc w:val="left"/>
            </w:pPr>
            <w:r w:rsidRPr="00887215">
              <w:t>Higher size threshold</w:t>
            </w:r>
          </w:p>
        </w:tc>
        <w:tc>
          <w:tcPr>
            <w:tcW w:w="6350" w:type="dxa"/>
            <w:shd w:val="clear" w:color="auto" w:fill="auto"/>
          </w:tcPr>
          <w:p w14:paraId="5A79D063" w14:textId="28CE787E" w:rsidR="00B35AB6" w:rsidRPr="00887215" w:rsidRDefault="00887215" w:rsidP="00474236">
            <w:pPr>
              <w:spacing w:after="0"/>
            </w:pPr>
            <w:r>
              <w:t>Unlike</w:t>
            </w:r>
            <w:r w:rsidR="004B2A67" w:rsidRPr="00887215">
              <w:t xml:space="preserve"> the standard “10 employees or more”</w:t>
            </w:r>
            <w:r>
              <w:t>,</w:t>
            </w:r>
            <w:r w:rsidR="004B2A67" w:rsidRPr="00887215">
              <w:t xml:space="preserve"> the IA survey could focus only on mediu</w:t>
            </w:r>
            <w:r w:rsidR="00474236">
              <w:t>m</w:t>
            </w:r>
            <w:r w:rsidR="009D6AEE">
              <w:t xml:space="preserve"> and </w:t>
            </w:r>
            <w:r w:rsidR="00474236">
              <w:t>large firms (i.e. 20+ or 50+).</w:t>
            </w:r>
          </w:p>
        </w:tc>
      </w:tr>
      <w:tr w:rsidR="00887215" w:rsidRPr="00887215" w14:paraId="5091602E" w14:textId="77777777" w:rsidTr="0026498D">
        <w:tc>
          <w:tcPr>
            <w:tcW w:w="2547" w:type="dxa"/>
            <w:shd w:val="clear" w:color="auto" w:fill="auto"/>
            <w:vAlign w:val="center"/>
          </w:tcPr>
          <w:p w14:paraId="20A750DE" w14:textId="6AD02473" w:rsidR="00B35AB6" w:rsidRPr="00887215" w:rsidRDefault="00EE70AC" w:rsidP="0026498D">
            <w:pPr>
              <w:spacing w:after="0"/>
              <w:jc w:val="left"/>
            </w:pPr>
            <w:r w:rsidRPr="00887215">
              <w:lastRenderedPageBreak/>
              <w:t xml:space="preserve">Integration of survey data and Cost </w:t>
            </w:r>
            <w:r w:rsidR="0026498D" w:rsidRPr="00887215">
              <w:t>(or Tax</w:t>
            </w:r>
            <w:r w:rsidR="0026498D">
              <w:t>)</w:t>
            </w:r>
            <w:r w:rsidR="0026498D" w:rsidRPr="00887215">
              <w:t xml:space="preserve"> </w:t>
            </w:r>
            <w:r w:rsidR="0026498D">
              <w:t>Statement data</w:t>
            </w:r>
          </w:p>
        </w:tc>
        <w:tc>
          <w:tcPr>
            <w:tcW w:w="6350" w:type="dxa"/>
            <w:shd w:val="clear" w:color="auto" w:fill="auto"/>
          </w:tcPr>
          <w:p w14:paraId="4DD60FB1" w14:textId="6F0C7027" w:rsidR="00B35AB6" w:rsidRPr="00887215" w:rsidRDefault="00EE70AC" w:rsidP="0026498D">
            <w:pPr>
              <w:spacing w:after="0"/>
            </w:pPr>
            <w:r w:rsidRPr="00887215">
              <w:t>The availability of official financi</w:t>
            </w:r>
            <w:r w:rsidR="0026498D">
              <w:t>al reports from surveyed firms</w:t>
            </w:r>
            <w:r w:rsidRPr="00887215">
              <w:t xml:space="preserve"> could allow for reducing the number of survey questions or speeding up the checking process.</w:t>
            </w:r>
          </w:p>
        </w:tc>
      </w:tr>
      <w:tr w:rsidR="00887215" w:rsidRPr="00887215" w14:paraId="01EC4FA2" w14:textId="77777777" w:rsidTr="0026498D">
        <w:tc>
          <w:tcPr>
            <w:tcW w:w="2547" w:type="dxa"/>
            <w:shd w:val="clear" w:color="auto" w:fill="auto"/>
            <w:vAlign w:val="center"/>
          </w:tcPr>
          <w:p w14:paraId="78A5F774" w14:textId="43C7561E" w:rsidR="00887215" w:rsidRPr="00887215" w:rsidRDefault="00887215" w:rsidP="00887215">
            <w:pPr>
              <w:spacing w:after="0"/>
              <w:jc w:val="left"/>
            </w:pPr>
            <w:r>
              <w:t>Mixed CAWI</w:t>
            </w:r>
            <w:r w:rsidR="0054171A">
              <w:t>-CATI data collection mode</w:t>
            </w:r>
          </w:p>
        </w:tc>
        <w:tc>
          <w:tcPr>
            <w:tcW w:w="6350" w:type="dxa"/>
            <w:shd w:val="clear" w:color="auto" w:fill="auto"/>
          </w:tcPr>
          <w:p w14:paraId="12131A80" w14:textId="288CF881" w:rsidR="00887215" w:rsidRPr="00887215" w:rsidRDefault="0054171A" w:rsidP="00AE0BF9">
            <w:pPr>
              <w:spacing w:after="0"/>
            </w:pPr>
            <w:r>
              <w:t>Advantages of both methods could be jointly exploited by planning for repeated call</w:t>
            </w:r>
            <w:r w:rsidR="005F6E85">
              <w:t xml:space="preserve"> attempts of</w:t>
            </w:r>
            <w:r>
              <w:t xml:space="preserve"> non-respondents based on a</w:t>
            </w:r>
            <w:r w:rsidR="00696055">
              <w:t>n</w:t>
            </w:r>
            <w:r>
              <w:t xml:space="preserve"> estimated propensity to reply of each single sampled unit. </w:t>
            </w:r>
          </w:p>
        </w:tc>
      </w:tr>
      <w:tr w:rsidR="00887215" w:rsidRPr="00887215" w14:paraId="46DB3CB3" w14:textId="77777777" w:rsidTr="0026498D">
        <w:tc>
          <w:tcPr>
            <w:tcW w:w="2547" w:type="dxa"/>
            <w:shd w:val="clear" w:color="auto" w:fill="auto"/>
            <w:vAlign w:val="center"/>
          </w:tcPr>
          <w:p w14:paraId="662CF3A5" w14:textId="257F5C86" w:rsidR="00887215" w:rsidRPr="00887215" w:rsidRDefault="00887215" w:rsidP="00887215">
            <w:pPr>
              <w:spacing w:after="0"/>
              <w:jc w:val="left"/>
            </w:pPr>
            <w:r w:rsidRPr="00887215">
              <w:t>Prioritising the sample selection</w:t>
            </w:r>
          </w:p>
        </w:tc>
        <w:tc>
          <w:tcPr>
            <w:tcW w:w="6350" w:type="dxa"/>
            <w:shd w:val="clear" w:color="auto" w:fill="auto"/>
          </w:tcPr>
          <w:p w14:paraId="658BFFA5" w14:textId="6F07D076" w:rsidR="00887215" w:rsidRPr="00887215" w:rsidRDefault="00B220CC" w:rsidP="00B220CC">
            <w:pPr>
              <w:spacing w:after="0"/>
            </w:pPr>
            <w:r>
              <w:t xml:space="preserve">Firms </w:t>
            </w:r>
            <w:r w:rsidR="00887215" w:rsidRPr="00887215">
              <w:t>responding to the f</w:t>
            </w:r>
            <w:r w:rsidR="0026498D">
              <w:t>irst wave c</w:t>
            </w:r>
            <w:r w:rsidR="00887215" w:rsidRPr="00887215">
              <w:t xml:space="preserve">ould be </w:t>
            </w:r>
            <w:r w:rsidR="0026498D">
              <w:t>included in</w:t>
            </w:r>
            <w:r>
              <w:t xml:space="preserve"> a longitudinal panel.</w:t>
            </w:r>
            <w:r w:rsidR="00FE42C4">
              <w:t xml:space="preserve"> </w:t>
            </w:r>
            <w:r>
              <w:t>L</w:t>
            </w:r>
            <w:r w:rsidR="00887215" w:rsidRPr="00887215">
              <w:t xml:space="preserve">isted </w:t>
            </w:r>
            <w:r w:rsidR="00FE42C4" w:rsidRPr="00887215">
              <w:t xml:space="preserve">firms </w:t>
            </w:r>
            <w:r>
              <w:t>could be addressed by a census</w:t>
            </w:r>
            <w:r w:rsidR="00887215" w:rsidRPr="00887215">
              <w:t>.</w:t>
            </w:r>
          </w:p>
        </w:tc>
      </w:tr>
      <w:tr w:rsidR="003E12D1" w:rsidRPr="00887215" w14:paraId="48E94FA1" w14:textId="77777777" w:rsidTr="0026498D">
        <w:tc>
          <w:tcPr>
            <w:tcW w:w="2547" w:type="dxa"/>
            <w:shd w:val="clear" w:color="auto" w:fill="auto"/>
            <w:vAlign w:val="center"/>
          </w:tcPr>
          <w:p w14:paraId="6B1F2FFF" w14:textId="1DCE77CF" w:rsidR="003E12D1" w:rsidRPr="00887215" w:rsidRDefault="003E12D1" w:rsidP="003E12D1">
            <w:pPr>
              <w:spacing w:after="0"/>
              <w:jc w:val="left"/>
            </w:pPr>
            <w:r>
              <w:t>Cognitive testing and expert advice</w:t>
            </w:r>
          </w:p>
        </w:tc>
        <w:tc>
          <w:tcPr>
            <w:tcW w:w="6350" w:type="dxa"/>
            <w:shd w:val="clear" w:color="auto" w:fill="auto"/>
          </w:tcPr>
          <w:p w14:paraId="26814964" w14:textId="2AFAC37C" w:rsidR="003E12D1" w:rsidRPr="00887215" w:rsidRDefault="003E12D1" w:rsidP="00B220CC">
            <w:pPr>
              <w:spacing w:after="0"/>
            </w:pPr>
            <w:r>
              <w:t>Well-established techniques of cognitive testing will be used to check for meaningfulness and consistency of the questionnaire. The process will be assisted by a team of expert advisors</w:t>
            </w:r>
            <w:r w:rsidR="00B220CC">
              <w:t>.</w:t>
            </w:r>
          </w:p>
        </w:tc>
      </w:tr>
      <w:tr w:rsidR="003E12D1" w:rsidRPr="00887215" w14:paraId="2E8BAD6E" w14:textId="77777777" w:rsidTr="0026498D">
        <w:tc>
          <w:tcPr>
            <w:tcW w:w="2547" w:type="dxa"/>
            <w:shd w:val="clear" w:color="auto" w:fill="auto"/>
            <w:vAlign w:val="center"/>
          </w:tcPr>
          <w:p w14:paraId="68C53356" w14:textId="68741F23" w:rsidR="003E12D1" w:rsidRPr="00887215" w:rsidRDefault="003E12D1" w:rsidP="003E12D1">
            <w:pPr>
              <w:spacing w:after="0"/>
              <w:jc w:val="left"/>
            </w:pPr>
            <w:r w:rsidRPr="00887215">
              <w:t>Focusing on practices to assess the IA stock</w:t>
            </w:r>
          </w:p>
        </w:tc>
        <w:tc>
          <w:tcPr>
            <w:tcW w:w="6350" w:type="dxa"/>
            <w:shd w:val="clear" w:color="auto" w:fill="auto"/>
          </w:tcPr>
          <w:p w14:paraId="704F5563" w14:textId="7DA734B1" w:rsidR="003E12D1" w:rsidRPr="00887215" w:rsidRDefault="003E12D1" w:rsidP="00B220CC">
            <w:pPr>
              <w:spacing w:after="0"/>
            </w:pPr>
            <w:r w:rsidRPr="00887215">
              <w:t>In addition</w:t>
            </w:r>
            <w:r>
              <w:t>,</w:t>
            </w:r>
            <w:r w:rsidRPr="00887215">
              <w:t xml:space="preserve"> or as an alternative</w:t>
            </w:r>
            <w:r>
              <w:t>,</w:t>
            </w:r>
            <w:r w:rsidRPr="00887215">
              <w:t xml:space="preserve"> to ask for IA investments (flows), a</w:t>
            </w:r>
            <w:r w:rsidR="00E16182">
              <w:t>n</w:t>
            </w:r>
            <w:r w:rsidRPr="00887215">
              <w:t xml:space="preserve"> IA survey could </w:t>
            </w:r>
            <w:r w:rsidR="00E16182">
              <w:t xml:space="preserve">be </w:t>
            </w:r>
            <w:r w:rsidRPr="00887215">
              <w:t>made easier by adopting methods used by consultants and adviso</w:t>
            </w:r>
            <w:r w:rsidR="00D758F0">
              <w:t>rs to assess the firms’ value [7</w:t>
            </w:r>
            <w:r w:rsidRPr="00887215">
              <w:t>].</w:t>
            </w:r>
          </w:p>
        </w:tc>
      </w:tr>
    </w:tbl>
    <w:p w14:paraId="39B8E597" w14:textId="168F8D67" w:rsidR="00BC6AFE" w:rsidRDefault="00BC6AFE" w:rsidP="00380A1C">
      <w:pPr>
        <w:spacing w:after="0"/>
      </w:pPr>
    </w:p>
    <w:p w14:paraId="1C3057C6" w14:textId="13FF7D80" w:rsidR="00FE42C4" w:rsidRDefault="00FE42C4" w:rsidP="0001362D">
      <w:pPr>
        <w:pStyle w:val="Titolo2"/>
        <w:tabs>
          <w:tab w:val="clear" w:pos="1080"/>
          <w:tab w:val="num" w:pos="482"/>
        </w:tabs>
        <w:ind w:left="482" w:hanging="482"/>
      </w:pPr>
      <w:r>
        <w:t>Size threshold</w:t>
      </w:r>
    </w:p>
    <w:p w14:paraId="23672C15" w14:textId="4688EAC3" w:rsidR="00C46784" w:rsidRDefault="00E11C4E" w:rsidP="00E11C4E">
      <w:r>
        <w:t>By assessing the results of the Italian 2013 survey, it has been questioned whether the use of the size threshold of 10 employees (as a standard in official business statistics) could make sense for a voluntary and highly specialised survey as the IA survey. Two considerations are driving the survey managers to opt for a higher threshold in 2021. First, the problems in communicating the key concepts of the survey to small firms (whereas most of them do not have an IA strategy). Second, the need to increase the rate of response that is systematically lower for small businesses (see previous survey’s results in Table 3).</w:t>
      </w:r>
    </w:p>
    <w:p w14:paraId="4B7E4DE6" w14:textId="4D7E3DCC" w:rsidR="00C46784" w:rsidRPr="00C46784" w:rsidRDefault="00C46784" w:rsidP="00C46784">
      <w:pPr>
        <w:pStyle w:val="Didascalia"/>
      </w:pPr>
      <w:r w:rsidRPr="00887215">
        <w:t xml:space="preserve">Table </w:t>
      </w:r>
      <w:r>
        <w:t>3</w:t>
      </w:r>
      <w:r w:rsidRPr="00887215">
        <w:t xml:space="preserve">. </w:t>
      </w:r>
      <w:r>
        <w:t>Sample and response rates of the I</w:t>
      </w:r>
      <w:r w:rsidRPr="00887215">
        <w:t xml:space="preserve"> Italian IA su</w:t>
      </w:r>
      <w:r>
        <w:t>rvey 2013 by size class</w:t>
      </w:r>
    </w:p>
    <w:tbl>
      <w:tblPr>
        <w:tblW w:w="85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7"/>
        <w:gridCol w:w="1757"/>
        <w:gridCol w:w="1077"/>
        <w:gridCol w:w="1757"/>
        <w:gridCol w:w="1077"/>
        <w:gridCol w:w="1077"/>
      </w:tblGrid>
      <w:tr w:rsidR="001B3DC3" w:rsidRPr="00C46784" w14:paraId="69EDF1D1" w14:textId="77777777" w:rsidTr="001B3DC3">
        <w:trPr>
          <w:trHeight w:val="300"/>
        </w:trPr>
        <w:tc>
          <w:tcPr>
            <w:tcW w:w="1757" w:type="dxa"/>
            <w:shd w:val="clear" w:color="auto" w:fill="auto"/>
            <w:noWrap/>
            <w:vAlign w:val="bottom"/>
          </w:tcPr>
          <w:p w14:paraId="1111DA42" w14:textId="56BAD024" w:rsidR="00C46784" w:rsidRPr="00C46784" w:rsidRDefault="00C46784" w:rsidP="00C46784">
            <w:pPr>
              <w:spacing w:after="0"/>
              <w:jc w:val="left"/>
            </w:pPr>
            <w:r>
              <w:t>Size classes (no. of employees</w:t>
            </w:r>
          </w:p>
        </w:tc>
        <w:tc>
          <w:tcPr>
            <w:tcW w:w="1757" w:type="dxa"/>
            <w:shd w:val="clear" w:color="auto" w:fill="auto"/>
            <w:noWrap/>
            <w:vAlign w:val="bottom"/>
          </w:tcPr>
          <w:p w14:paraId="74EEE21A" w14:textId="781DA9EA" w:rsidR="00C46784" w:rsidRPr="00C46784" w:rsidRDefault="00C46784" w:rsidP="00C46784">
            <w:pPr>
              <w:spacing w:after="0"/>
              <w:jc w:val="right"/>
            </w:pPr>
            <w:r>
              <w:t>Initial sample (no. enterprises)</w:t>
            </w:r>
          </w:p>
        </w:tc>
        <w:tc>
          <w:tcPr>
            <w:tcW w:w="1077" w:type="dxa"/>
            <w:shd w:val="clear" w:color="auto" w:fill="auto"/>
            <w:noWrap/>
            <w:vAlign w:val="bottom"/>
          </w:tcPr>
          <w:p w14:paraId="0B64EE45" w14:textId="24970BCA" w:rsidR="00C46784" w:rsidRPr="00C46784" w:rsidRDefault="00C46784" w:rsidP="00C46784">
            <w:pPr>
              <w:spacing w:after="0"/>
              <w:jc w:val="right"/>
            </w:pPr>
            <w:r>
              <w:t>% by size class</w:t>
            </w:r>
          </w:p>
        </w:tc>
        <w:tc>
          <w:tcPr>
            <w:tcW w:w="1757" w:type="dxa"/>
            <w:shd w:val="clear" w:color="auto" w:fill="auto"/>
            <w:noWrap/>
            <w:vAlign w:val="bottom"/>
          </w:tcPr>
          <w:p w14:paraId="3A15730E" w14:textId="0E47F71D" w:rsidR="00C46784" w:rsidRPr="00C46784" w:rsidRDefault="00C46784" w:rsidP="00C46784">
            <w:pPr>
              <w:spacing w:after="0"/>
              <w:jc w:val="right"/>
            </w:pPr>
            <w:r>
              <w:t>Realised sample (no. enterprises)</w:t>
            </w:r>
          </w:p>
        </w:tc>
        <w:tc>
          <w:tcPr>
            <w:tcW w:w="1077" w:type="dxa"/>
            <w:shd w:val="clear" w:color="auto" w:fill="auto"/>
            <w:noWrap/>
            <w:vAlign w:val="bottom"/>
          </w:tcPr>
          <w:p w14:paraId="63EBBD72" w14:textId="48823FCB" w:rsidR="00C46784" w:rsidRPr="00C46784" w:rsidRDefault="00C46784" w:rsidP="00C46784">
            <w:pPr>
              <w:spacing w:after="0"/>
              <w:jc w:val="right"/>
            </w:pPr>
            <w:r>
              <w:t>% by size class</w:t>
            </w:r>
          </w:p>
        </w:tc>
        <w:tc>
          <w:tcPr>
            <w:tcW w:w="1077" w:type="dxa"/>
            <w:shd w:val="clear" w:color="auto" w:fill="auto"/>
            <w:noWrap/>
            <w:vAlign w:val="bottom"/>
          </w:tcPr>
          <w:p w14:paraId="65CFA4B0" w14:textId="50584B71" w:rsidR="00C46784" w:rsidRPr="00C46784" w:rsidRDefault="00C46784" w:rsidP="00C46784">
            <w:pPr>
              <w:spacing w:after="0"/>
              <w:jc w:val="right"/>
            </w:pPr>
            <w:r>
              <w:t>Response rates (%)</w:t>
            </w:r>
          </w:p>
        </w:tc>
      </w:tr>
      <w:tr w:rsidR="00C46784" w:rsidRPr="00C46784" w14:paraId="7FE3815C" w14:textId="77777777" w:rsidTr="001B3DC3">
        <w:trPr>
          <w:trHeight w:val="300"/>
        </w:trPr>
        <w:tc>
          <w:tcPr>
            <w:tcW w:w="1757" w:type="dxa"/>
            <w:shd w:val="clear" w:color="auto" w:fill="auto"/>
            <w:noWrap/>
            <w:vAlign w:val="bottom"/>
            <w:hideMark/>
          </w:tcPr>
          <w:p w14:paraId="17DF1CBE" w14:textId="77777777" w:rsidR="00C46784" w:rsidRPr="00C46784" w:rsidRDefault="00C46784" w:rsidP="00C46784">
            <w:pPr>
              <w:spacing w:after="0"/>
              <w:jc w:val="left"/>
            </w:pPr>
            <w:r w:rsidRPr="00C46784">
              <w:t>10-49</w:t>
            </w:r>
          </w:p>
        </w:tc>
        <w:tc>
          <w:tcPr>
            <w:tcW w:w="1757" w:type="dxa"/>
            <w:shd w:val="clear" w:color="auto" w:fill="auto"/>
            <w:noWrap/>
            <w:vAlign w:val="bottom"/>
            <w:hideMark/>
          </w:tcPr>
          <w:p w14:paraId="655E63BD" w14:textId="6F21CF59" w:rsidR="00C46784" w:rsidRPr="00C46784" w:rsidRDefault="00E11C4E" w:rsidP="00C46784">
            <w:pPr>
              <w:spacing w:after="0"/>
              <w:jc w:val="right"/>
            </w:pPr>
            <w:r>
              <w:t>11,</w:t>
            </w:r>
            <w:r w:rsidR="00C46784" w:rsidRPr="00C46784">
              <w:t>487</w:t>
            </w:r>
          </w:p>
        </w:tc>
        <w:tc>
          <w:tcPr>
            <w:tcW w:w="1077" w:type="dxa"/>
            <w:shd w:val="clear" w:color="auto" w:fill="auto"/>
            <w:noWrap/>
            <w:vAlign w:val="bottom"/>
            <w:hideMark/>
          </w:tcPr>
          <w:p w14:paraId="712524C5" w14:textId="7E8C04A1" w:rsidR="00C46784" w:rsidRPr="00C46784" w:rsidRDefault="00E11C4E" w:rsidP="00C46784">
            <w:pPr>
              <w:spacing w:after="0"/>
              <w:jc w:val="right"/>
            </w:pPr>
            <w:r>
              <w:t>40.</w:t>
            </w:r>
            <w:r w:rsidR="00C46784" w:rsidRPr="00C46784">
              <w:t>6</w:t>
            </w:r>
          </w:p>
        </w:tc>
        <w:tc>
          <w:tcPr>
            <w:tcW w:w="1757" w:type="dxa"/>
            <w:shd w:val="clear" w:color="auto" w:fill="auto"/>
            <w:noWrap/>
            <w:vAlign w:val="bottom"/>
            <w:hideMark/>
          </w:tcPr>
          <w:p w14:paraId="390094F9" w14:textId="513B1207" w:rsidR="00C46784" w:rsidRPr="00C46784" w:rsidRDefault="00E11C4E" w:rsidP="00C46784">
            <w:pPr>
              <w:spacing w:after="0"/>
              <w:jc w:val="right"/>
            </w:pPr>
            <w:r>
              <w:t>3,</w:t>
            </w:r>
            <w:r w:rsidR="00C46784" w:rsidRPr="00C46784">
              <w:t>717</w:t>
            </w:r>
          </w:p>
        </w:tc>
        <w:tc>
          <w:tcPr>
            <w:tcW w:w="1077" w:type="dxa"/>
            <w:shd w:val="clear" w:color="auto" w:fill="auto"/>
            <w:noWrap/>
            <w:vAlign w:val="bottom"/>
            <w:hideMark/>
          </w:tcPr>
          <w:p w14:paraId="665FF497" w14:textId="652A4BA8" w:rsidR="00C46784" w:rsidRPr="00C46784" w:rsidRDefault="00C46784" w:rsidP="00C46784">
            <w:pPr>
              <w:spacing w:after="0"/>
              <w:jc w:val="right"/>
            </w:pPr>
            <w:r w:rsidRPr="00C46784">
              <w:t>35</w:t>
            </w:r>
            <w:r w:rsidR="00E11C4E">
              <w:t>.0</w:t>
            </w:r>
          </w:p>
        </w:tc>
        <w:tc>
          <w:tcPr>
            <w:tcW w:w="1077" w:type="dxa"/>
            <w:shd w:val="clear" w:color="auto" w:fill="auto"/>
            <w:noWrap/>
            <w:vAlign w:val="bottom"/>
            <w:hideMark/>
          </w:tcPr>
          <w:p w14:paraId="0A37206C" w14:textId="21DCB3BE" w:rsidR="00C46784" w:rsidRPr="00C46784" w:rsidRDefault="00E11C4E" w:rsidP="00C46784">
            <w:pPr>
              <w:spacing w:after="0"/>
              <w:jc w:val="right"/>
            </w:pPr>
            <w:r>
              <w:t>32.</w:t>
            </w:r>
            <w:r w:rsidR="00C46784" w:rsidRPr="00C46784">
              <w:t>4</w:t>
            </w:r>
          </w:p>
        </w:tc>
      </w:tr>
      <w:tr w:rsidR="00C46784" w:rsidRPr="00C46784" w14:paraId="46D5E7B8" w14:textId="77777777" w:rsidTr="001B3DC3">
        <w:trPr>
          <w:trHeight w:val="300"/>
        </w:trPr>
        <w:tc>
          <w:tcPr>
            <w:tcW w:w="1757" w:type="dxa"/>
            <w:shd w:val="clear" w:color="auto" w:fill="auto"/>
            <w:noWrap/>
            <w:vAlign w:val="bottom"/>
            <w:hideMark/>
          </w:tcPr>
          <w:p w14:paraId="55E6941E" w14:textId="77777777" w:rsidR="00C46784" w:rsidRPr="00C46784" w:rsidRDefault="00C46784" w:rsidP="00C46784">
            <w:pPr>
              <w:spacing w:after="0"/>
              <w:jc w:val="left"/>
            </w:pPr>
            <w:r w:rsidRPr="00C46784">
              <w:t>50-99</w:t>
            </w:r>
          </w:p>
        </w:tc>
        <w:tc>
          <w:tcPr>
            <w:tcW w:w="1757" w:type="dxa"/>
            <w:shd w:val="clear" w:color="auto" w:fill="auto"/>
            <w:noWrap/>
            <w:vAlign w:val="bottom"/>
            <w:hideMark/>
          </w:tcPr>
          <w:p w14:paraId="09CD19BE" w14:textId="5F73FBDB" w:rsidR="00C46784" w:rsidRPr="00C46784" w:rsidRDefault="00E11C4E" w:rsidP="00C46784">
            <w:pPr>
              <w:spacing w:after="0"/>
              <w:jc w:val="right"/>
            </w:pPr>
            <w:r>
              <w:t>9,</w:t>
            </w:r>
            <w:r w:rsidR="00C46784" w:rsidRPr="00C46784">
              <w:t>277</w:t>
            </w:r>
          </w:p>
        </w:tc>
        <w:tc>
          <w:tcPr>
            <w:tcW w:w="1077" w:type="dxa"/>
            <w:shd w:val="clear" w:color="auto" w:fill="auto"/>
            <w:noWrap/>
            <w:vAlign w:val="bottom"/>
            <w:hideMark/>
          </w:tcPr>
          <w:p w14:paraId="1C615582" w14:textId="0E95ECDF" w:rsidR="00C46784" w:rsidRPr="00C46784" w:rsidRDefault="00E11C4E" w:rsidP="00C46784">
            <w:pPr>
              <w:spacing w:after="0"/>
              <w:jc w:val="right"/>
            </w:pPr>
            <w:r>
              <w:t>32.</w:t>
            </w:r>
            <w:r w:rsidR="00C46784" w:rsidRPr="00C46784">
              <w:t>8</w:t>
            </w:r>
          </w:p>
        </w:tc>
        <w:tc>
          <w:tcPr>
            <w:tcW w:w="1757" w:type="dxa"/>
            <w:shd w:val="clear" w:color="auto" w:fill="auto"/>
            <w:noWrap/>
            <w:vAlign w:val="bottom"/>
            <w:hideMark/>
          </w:tcPr>
          <w:p w14:paraId="5D1A1AA4" w14:textId="7C6A2D21" w:rsidR="00C46784" w:rsidRPr="00C46784" w:rsidRDefault="00E11C4E" w:rsidP="00C46784">
            <w:pPr>
              <w:spacing w:after="0"/>
              <w:jc w:val="right"/>
            </w:pPr>
            <w:r>
              <w:t>3,</w:t>
            </w:r>
            <w:r w:rsidR="00C46784" w:rsidRPr="00C46784">
              <w:t>697</w:t>
            </w:r>
          </w:p>
        </w:tc>
        <w:tc>
          <w:tcPr>
            <w:tcW w:w="1077" w:type="dxa"/>
            <w:shd w:val="clear" w:color="auto" w:fill="auto"/>
            <w:noWrap/>
            <w:vAlign w:val="bottom"/>
            <w:hideMark/>
          </w:tcPr>
          <w:p w14:paraId="4D7CEB2E" w14:textId="0C79CC2C" w:rsidR="00C46784" w:rsidRPr="00C46784" w:rsidRDefault="00E11C4E" w:rsidP="00C46784">
            <w:pPr>
              <w:spacing w:after="0"/>
              <w:jc w:val="right"/>
            </w:pPr>
            <w:r>
              <w:t>34.7</w:t>
            </w:r>
          </w:p>
        </w:tc>
        <w:tc>
          <w:tcPr>
            <w:tcW w:w="1077" w:type="dxa"/>
            <w:shd w:val="clear" w:color="auto" w:fill="auto"/>
            <w:noWrap/>
            <w:vAlign w:val="bottom"/>
            <w:hideMark/>
          </w:tcPr>
          <w:p w14:paraId="4C57293D" w14:textId="0923F863" w:rsidR="00C46784" w:rsidRPr="00C46784" w:rsidRDefault="00E11C4E" w:rsidP="00C46784">
            <w:pPr>
              <w:spacing w:after="0"/>
              <w:jc w:val="right"/>
            </w:pPr>
            <w:r>
              <w:t>39.</w:t>
            </w:r>
            <w:r w:rsidR="00C46784" w:rsidRPr="00C46784">
              <w:t>9</w:t>
            </w:r>
          </w:p>
        </w:tc>
      </w:tr>
      <w:tr w:rsidR="00C46784" w:rsidRPr="00C46784" w14:paraId="23645A90" w14:textId="77777777" w:rsidTr="001B3DC3">
        <w:trPr>
          <w:trHeight w:val="300"/>
        </w:trPr>
        <w:tc>
          <w:tcPr>
            <w:tcW w:w="1757" w:type="dxa"/>
            <w:shd w:val="clear" w:color="auto" w:fill="auto"/>
            <w:noWrap/>
            <w:vAlign w:val="bottom"/>
            <w:hideMark/>
          </w:tcPr>
          <w:p w14:paraId="17276087" w14:textId="77777777" w:rsidR="00C46784" w:rsidRPr="00C46784" w:rsidRDefault="00C46784" w:rsidP="00C46784">
            <w:pPr>
              <w:spacing w:after="0"/>
              <w:jc w:val="left"/>
            </w:pPr>
            <w:r w:rsidRPr="00C46784">
              <w:t>100-250</w:t>
            </w:r>
          </w:p>
        </w:tc>
        <w:tc>
          <w:tcPr>
            <w:tcW w:w="1757" w:type="dxa"/>
            <w:shd w:val="clear" w:color="auto" w:fill="auto"/>
            <w:noWrap/>
            <w:vAlign w:val="bottom"/>
            <w:hideMark/>
          </w:tcPr>
          <w:p w14:paraId="5CAED6FC" w14:textId="38881195" w:rsidR="00C46784" w:rsidRPr="00C46784" w:rsidRDefault="00E11C4E" w:rsidP="00C46784">
            <w:pPr>
              <w:spacing w:after="0"/>
              <w:jc w:val="right"/>
            </w:pPr>
            <w:r>
              <w:t>5,</w:t>
            </w:r>
            <w:r w:rsidR="00C46784" w:rsidRPr="00C46784">
              <w:t>017</w:t>
            </w:r>
          </w:p>
        </w:tc>
        <w:tc>
          <w:tcPr>
            <w:tcW w:w="1077" w:type="dxa"/>
            <w:shd w:val="clear" w:color="auto" w:fill="auto"/>
            <w:noWrap/>
            <w:vAlign w:val="bottom"/>
            <w:hideMark/>
          </w:tcPr>
          <w:p w14:paraId="3A7A6760" w14:textId="77B9CD90" w:rsidR="00C46784" w:rsidRPr="00C46784" w:rsidRDefault="00E11C4E" w:rsidP="00C46784">
            <w:pPr>
              <w:spacing w:after="0"/>
              <w:jc w:val="right"/>
            </w:pPr>
            <w:r>
              <w:t>17.</w:t>
            </w:r>
            <w:r w:rsidR="00C46784" w:rsidRPr="00C46784">
              <w:t>7</w:t>
            </w:r>
          </w:p>
        </w:tc>
        <w:tc>
          <w:tcPr>
            <w:tcW w:w="1757" w:type="dxa"/>
            <w:shd w:val="clear" w:color="auto" w:fill="auto"/>
            <w:noWrap/>
            <w:vAlign w:val="bottom"/>
            <w:hideMark/>
          </w:tcPr>
          <w:p w14:paraId="04DCA1F3" w14:textId="2A47BF73" w:rsidR="00C46784" w:rsidRPr="00C46784" w:rsidRDefault="00E11C4E" w:rsidP="00C46784">
            <w:pPr>
              <w:spacing w:after="0"/>
              <w:jc w:val="right"/>
            </w:pPr>
            <w:r>
              <w:t>2,</w:t>
            </w:r>
            <w:r w:rsidR="00C46784" w:rsidRPr="00C46784">
              <w:t>016</w:t>
            </w:r>
          </w:p>
        </w:tc>
        <w:tc>
          <w:tcPr>
            <w:tcW w:w="1077" w:type="dxa"/>
            <w:shd w:val="clear" w:color="auto" w:fill="auto"/>
            <w:noWrap/>
            <w:vAlign w:val="bottom"/>
            <w:hideMark/>
          </w:tcPr>
          <w:p w14:paraId="1F3D931D" w14:textId="63FA39F7" w:rsidR="00C46784" w:rsidRPr="00C46784" w:rsidRDefault="00C46784" w:rsidP="00C46784">
            <w:pPr>
              <w:spacing w:after="0"/>
              <w:jc w:val="right"/>
            </w:pPr>
            <w:r w:rsidRPr="00C46784">
              <w:t>19</w:t>
            </w:r>
            <w:r w:rsidR="00E11C4E">
              <w:t>.0</w:t>
            </w:r>
          </w:p>
        </w:tc>
        <w:tc>
          <w:tcPr>
            <w:tcW w:w="1077" w:type="dxa"/>
            <w:shd w:val="clear" w:color="auto" w:fill="auto"/>
            <w:noWrap/>
            <w:vAlign w:val="bottom"/>
            <w:hideMark/>
          </w:tcPr>
          <w:p w14:paraId="18417CFB" w14:textId="6C8929EF" w:rsidR="00C46784" w:rsidRPr="00C46784" w:rsidRDefault="00E11C4E" w:rsidP="00C46784">
            <w:pPr>
              <w:spacing w:after="0"/>
              <w:jc w:val="right"/>
            </w:pPr>
            <w:r>
              <w:t>40.</w:t>
            </w:r>
            <w:r w:rsidR="00C46784" w:rsidRPr="00C46784">
              <w:t>2</w:t>
            </w:r>
          </w:p>
        </w:tc>
      </w:tr>
      <w:tr w:rsidR="00C46784" w:rsidRPr="00C46784" w14:paraId="6992C429" w14:textId="77777777" w:rsidTr="001B3DC3">
        <w:trPr>
          <w:trHeight w:val="300"/>
        </w:trPr>
        <w:tc>
          <w:tcPr>
            <w:tcW w:w="1757" w:type="dxa"/>
            <w:shd w:val="clear" w:color="auto" w:fill="auto"/>
            <w:noWrap/>
            <w:vAlign w:val="bottom"/>
            <w:hideMark/>
          </w:tcPr>
          <w:p w14:paraId="5BF314B0" w14:textId="77777777" w:rsidR="00C46784" w:rsidRPr="00C46784" w:rsidRDefault="00C46784" w:rsidP="00C46784">
            <w:pPr>
              <w:spacing w:after="0"/>
              <w:jc w:val="left"/>
            </w:pPr>
            <w:r w:rsidRPr="00C46784">
              <w:t>250-499</w:t>
            </w:r>
          </w:p>
        </w:tc>
        <w:tc>
          <w:tcPr>
            <w:tcW w:w="1757" w:type="dxa"/>
            <w:shd w:val="clear" w:color="auto" w:fill="auto"/>
            <w:noWrap/>
            <w:vAlign w:val="bottom"/>
            <w:hideMark/>
          </w:tcPr>
          <w:p w14:paraId="176D7DA1" w14:textId="09EDDB93" w:rsidR="00C46784" w:rsidRPr="00C46784" w:rsidRDefault="00E11C4E" w:rsidP="00C46784">
            <w:pPr>
              <w:spacing w:after="0"/>
              <w:jc w:val="right"/>
            </w:pPr>
            <w:r>
              <w:t>1,</w:t>
            </w:r>
            <w:r w:rsidR="00C46784" w:rsidRPr="00C46784">
              <w:t>480</w:t>
            </w:r>
          </w:p>
        </w:tc>
        <w:tc>
          <w:tcPr>
            <w:tcW w:w="1077" w:type="dxa"/>
            <w:shd w:val="clear" w:color="auto" w:fill="auto"/>
            <w:noWrap/>
            <w:vAlign w:val="bottom"/>
            <w:hideMark/>
          </w:tcPr>
          <w:p w14:paraId="5E794D39" w14:textId="787FB90F" w:rsidR="00C46784" w:rsidRPr="00C46784" w:rsidRDefault="00E11C4E" w:rsidP="00C46784">
            <w:pPr>
              <w:spacing w:after="0"/>
              <w:jc w:val="right"/>
            </w:pPr>
            <w:r>
              <w:t>5.</w:t>
            </w:r>
            <w:r w:rsidR="00C46784" w:rsidRPr="00C46784">
              <w:t>2</w:t>
            </w:r>
          </w:p>
        </w:tc>
        <w:tc>
          <w:tcPr>
            <w:tcW w:w="1757" w:type="dxa"/>
            <w:shd w:val="clear" w:color="auto" w:fill="auto"/>
            <w:noWrap/>
            <w:vAlign w:val="bottom"/>
            <w:hideMark/>
          </w:tcPr>
          <w:p w14:paraId="6E946556" w14:textId="77777777" w:rsidR="00C46784" w:rsidRPr="00C46784" w:rsidRDefault="00C46784" w:rsidP="00C46784">
            <w:pPr>
              <w:spacing w:after="0"/>
              <w:jc w:val="right"/>
            </w:pPr>
            <w:r w:rsidRPr="00C46784">
              <w:t>672</w:t>
            </w:r>
          </w:p>
        </w:tc>
        <w:tc>
          <w:tcPr>
            <w:tcW w:w="1077" w:type="dxa"/>
            <w:shd w:val="clear" w:color="auto" w:fill="auto"/>
            <w:noWrap/>
            <w:vAlign w:val="bottom"/>
            <w:hideMark/>
          </w:tcPr>
          <w:p w14:paraId="4E008815" w14:textId="72FAF44A" w:rsidR="00C46784" w:rsidRPr="00C46784" w:rsidRDefault="00E11C4E" w:rsidP="00C46784">
            <w:pPr>
              <w:spacing w:after="0"/>
              <w:jc w:val="right"/>
            </w:pPr>
            <w:r>
              <w:t>6.</w:t>
            </w:r>
            <w:r w:rsidR="00C46784" w:rsidRPr="00C46784">
              <w:t>3</w:t>
            </w:r>
          </w:p>
        </w:tc>
        <w:tc>
          <w:tcPr>
            <w:tcW w:w="1077" w:type="dxa"/>
            <w:shd w:val="clear" w:color="auto" w:fill="auto"/>
            <w:noWrap/>
            <w:vAlign w:val="bottom"/>
            <w:hideMark/>
          </w:tcPr>
          <w:p w14:paraId="05716094" w14:textId="75DC9C67" w:rsidR="00C46784" w:rsidRPr="00C46784" w:rsidRDefault="00E11C4E" w:rsidP="00C46784">
            <w:pPr>
              <w:spacing w:after="0"/>
              <w:jc w:val="right"/>
            </w:pPr>
            <w:r>
              <w:t>45.</w:t>
            </w:r>
            <w:r w:rsidR="00C46784" w:rsidRPr="00C46784">
              <w:t>4</w:t>
            </w:r>
          </w:p>
        </w:tc>
      </w:tr>
      <w:tr w:rsidR="00C46784" w:rsidRPr="00C46784" w14:paraId="49026170" w14:textId="77777777" w:rsidTr="001B3DC3">
        <w:trPr>
          <w:trHeight w:val="300"/>
        </w:trPr>
        <w:tc>
          <w:tcPr>
            <w:tcW w:w="1757" w:type="dxa"/>
            <w:shd w:val="clear" w:color="auto" w:fill="auto"/>
            <w:noWrap/>
            <w:vAlign w:val="bottom"/>
            <w:hideMark/>
          </w:tcPr>
          <w:p w14:paraId="3E7C5427" w14:textId="77777777" w:rsidR="00C46784" w:rsidRPr="00C46784" w:rsidRDefault="00C46784" w:rsidP="00C46784">
            <w:pPr>
              <w:spacing w:after="0"/>
              <w:jc w:val="left"/>
            </w:pPr>
            <w:r w:rsidRPr="00C46784">
              <w:t>500+</w:t>
            </w:r>
          </w:p>
        </w:tc>
        <w:tc>
          <w:tcPr>
            <w:tcW w:w="1757" w:type="dxa"/>
            <w:shd w:val="clear" w:color="auto" w:fill="auto"/>
            <w:noWrap/>
            <w:vAlign w:val="bottom"/>
            <w:hideMark/>
          </w:tcPr>
          <w:p w14:paraId="42B52E4A" w14:textId="3E6B10D7" w:rsidR="00C46784" w:rsidRPr="00C46784" w:rsidRDefault="00E11C4E" w:rsidP="00C46784">
            <w:pPr>
              <w:spacing w:after="0"/>
              <w:jc w:val="right"/>
            </w:pPr>
            <w:r>
              <w:t>1,</w:t>
            </w:r>
            <w:r w:rsidR="00C46784" w:rsidRPr="00C46784">
              <w:t>060</w:t>
            </w:r>
          </w:p>
        </w:tc>
        <w:tc>
          <w:tcPr>
            <w:tcW w:w="1077" w:type="dxa"/>
            <w:shd w:val="clear" w:color="auto" w:fill="auto"/>
            <w:noWrap/>
            <w:vAlign w:val="bottom"/>
            <w:hideMark/>
          </w:tcPr>
          <w:p w14:paraId="3BBDA9B8" w14:textId="249B7928" w:rsidR="00C46784" w:rsidRPr="00C46784" w:rsidRDefault="00E11C4E" w:rsidP="00C46784">
            <w:pPr>
              <w:spacing w:after="0"/>
              <w:jc w:val="right"/>
            </w:pPr>
            <w:r>
              <w:t>3.</w:t>
            </w:r>
            <w:r w:rsidR="00C46784" w:rsidRPr="00C46784">
              <w:t>7</w:t>
            </w:r>
          </w:p>
        </w:tc>
        <w:tc>
          <w:tcPr>
            <w:tcW w:w="1757" w:type="dxa"/>
            <w:shd w:val="clear" w:color="auto" w:fill="auto"/>
            <w:noWrap/>
            <w:vAlign w:val="bottom"/>
            <w:hideMark/>
          </w:tcPr>
          <w:p w14:paraId="7624D3B4" w14:textId="77777777" w:rsidR="00C46784" w:rsidRPr="00C46784" w:rsidRDefault="00C46784" w:rsidP="00C46784">
            <w:pPr>
              <w:spacing w:after="0"/>
              <w:jc w:val="right"/>
            </w:pPr>
            <w:r w:rsidRPr="00C46784">
              <w:t>529</w:t>
            </w:r>
          </w:p>
        </w:tc>
        <w:tc>
          <w:tcPr>
            <w:tcW w:w="1077" w:type="dxa"/>
            <w:shd w:val="clear" w:color="auto" w:fill="auto"/>
            <w:noWrap/>
            <w:vAlign w:val="bottom"/>
            <w:hideMark/>
          </w:tcPr>
          <w:p w14:paraId="7DDA94C0" w14:textId="2FFC6A2E" w:rsidR="00C46784" w:rsidRPr="00C46784" w:rsidRDefault="00C46784" w:rsidP="00C46784">
            <w:pPr>
              <w:spacing w:after="0"/>
              <w:jc w:val="right"/>
            </w:pPr>
            <w:r w:rsidRPr="00C46784">
              <w:t>5</w:t>
            </w:r>
            <w:r w:rsidR="00E11C4E">
              <w:t>.0</w:t>
            </w:r>
          </w:p>
        </w:tc>
        <w:tc>
          <w:tcPr>
            <w:tcW w:w="1077" w:type="dxa"/>
            <w:shd w:val="clear" w:color="auto" w:fill="auto"/>
            <w:noWrap/>
            <w:vAlign w:val="bottom"/>
            <w:hideMark/>
          </w:tcPr>
          <w:p w14:paraId="45898D66" w14:textId="313993E7" w:rsidR="00C46784" w:rsidRPr="00C46784" w:rsidRDefault="00E11C4E" w:rsidP="00C46784">
            <w:pPr>
              <w:spacing w:after="0"/>
              <w:jc w:val="right"/>
            </w:pPr>
            <w:r>
              <w:t>49.</w:t>
            </w:r>
            <w:r w:rsidR="00C46784" w:rsidRPr="00C46784">
              <w:t>9</w:t>
            </w:r>
          </w:p>
        </w:tc>
      </w:tr>
      <w:tr w:rsidR="00C46784" w:rsidRPr="00C46784" w14:paraId="6A2915BD" w14:textId="77777777" w:rsidTr="001B3DC3">
        <w:trPr>
          <w:trHeight w:val="300"/>
        </w:trPr>
        <w:tc>
          <w:tcPr>
            <w:tcW w:w="1757" w:type="dxa"/>
            <w:shd w:val="clear" w:color="auto" w:fill="auto"/>
            <w:noWrap/>
            <w:vAlign w:val="bottom"/>
            <w:hideMark/>
          </w:tcPr>
          <w:p w14:paraId="7B60E84A" w14:textId="5E4A410E" w:rsidR="00C46784" w:rsidRPr="00C46784" w:rsidRDefault="00C46784" w:rsidP="00C46784">
            <w:pPr>
              <w:spacing w:after="0"/>
              <w:jc w:val="left"/>
            </w:pPr>
            <w:r w:rsidRPr="00C46784">
              <w:t>TOTAL</w:t>
            </w:r>
          </w:p>
        </w:tc>
        <w:tc>
          <w:tcPr>
            <w:tcW w:w="1757" w:type="dxa"/>
            <w:shd w:val="clear" w:color="auto" w:fill="auto"/>
            <w:noWrap/>
            <w:vAlign w:val="bottom"/>
            <w:hideMark/>
          </w:tcPr>
          <w:p w14:paraId="4FBC6095" w14:textId="0D1E746A" w:rsidR="00C46784" w:rsidRPr="00C46784" w:rsidRDefault="00E11C4E" w:rsidP="00C46784">
            <w:pPr>
              <w:spacing w:after="0"/>
              <w:jc w:val="right"/>
            </w:pPr>
            <w:r>
              <w:t>28,</w:t>
            </w:r>
            <w:r w:rsidR="00C46784" w:rsidRPr="00C46784">
              <w:t>321</w:t>
            </w:r>
          </w:p>
        </w:tc>
        <w:tc>
          <w:tcPr>
            <w:tcW w:w="1077" w:type="dxa"/>
            <w:shd w:val="clear" w:color="auto" w:fill="auto"/>
            <w:noWrap/>
            <w:vAlign w:val="bottom"/>
            <w:hideMark/>
          </w:tcPr>
          <w:p w14:paraId="08D21E28" w14:textId="77777777" w:rsidR="00C46784" w:rsidRPr="00C46784" w:rsidRDefault="00C46784" w:rsidP="00C46784">
            <w:pPr>
              <w:spacing w:after="0"/>
              <w:jc w:val="right"/>
            </w:pPr>
            <w:r w:rsidRPr="00C46784">
              <w:t>100</w:t>
            </w:r>
          </w:p>
        </w:tc>
        <w:tc>
          <w:tcPr>
            <w:tcW w:w="1757" w:type="dxa"/>
            <w:shd w:val="clear" w:color="auto" w:fill="auto"/>
            <w:noWrap/>
            <w:vAlign w:val="bottom"/>
            <w:hideMark/>
          </w:tcPr>
          <w:p w14:paraId="7FDB98D4" w14:textId="45D68802" w:rsidR="00C46784" w:rsidRPr="00C46784" w:rsidRDefault="00E11C4E" w:rsidP="00C46784">
            <w:pPr>
              <w:spacing w:after="0"/>
              <w:jc w:val="right"/>
            </w:pPr>
            <w:r>
              <w:t>10,</w:t>
            </w:r>
            <w:r w:rsidR="00C46784" w:rsidRPr="00C46784">
              <w:t>631</w:t>
            </w:r>
          </w:p>
        </w:tc>
        <w:tc>
          <w:tcPr>
            <w:tcW w:w="1077" w:type="dxa"/>
            <w:shd w:val="clear" w:color="auto" w:fill="auto"/>
            <w:noWrap/>
            <w:vAlign w:val="bottom"/>
            <w:hideMark/>
          </w:tcPr>
          <w:p w14:paraId="2682F4FA" w14:textId="77777777" w:rsidR="00C46784" w:rsidRPr="00C46784" w:rsidRDefault="00C46784" w:rsidP="00C46784">
            <w:pPr>
              <w:spacing w:after="0"/>
              <w:jc w:val="right"/>
            </w:pPr>
            <w:r w:rsidRPr="00C46784">
              <w:t>100</w:t>
            </w:r>
          </w:p>
        </w:tc>
        <w:tc>
          <w:tcPr>
            <w:tcW w:w="1077" w:type="dxa"/>
            <w:shd w:val="clear" w:color="auto" w:fill="auto"/>
            <w:noWrap/>
            <w:vAlign w:val="bottom"/>
            <w:hideMark/>
          </w:tcPr>
          <w:p w14:paraId="08FCED52" w14:textId="033BC25F" w:rsidR="00C46784" w:rsidRPr="00C46784" w:rsidRDefault="00E11C4E" w:rsidP="00C46784">
            <w:pPr>
              <w:spacing w:after="0"/>
              <w:jc w:val="right"/>
            </w:pPr>
            <w:r>
              <w:t>37.</w:t>
            </w:r>
            <w:r w:rsidR="00C46784" w:rsidRPr="00C46784">
              <w:t>5</w:t>
            </w:r>
          </w:p>
        </w:tc>
      </w:tr>
    </w:tbl>
    <w:p w14:paraId="69D9F4DA" w14:textId="47543E84" w:rsidR="00D22320" w:rsidRDefault="00D22320" w:rsidP="00380A1C">
      <w:pPr>
        <w:spacing w:after="0"/>
      </w:pPr>
    </w:p>
    <w:p w14:paraId="259E21D5" w14:textId="6D0F5BE1" w:rsidR="00E11C4E" w:rsidRDefault="00E11C4E" w:rsidP="0001362D">
      <w:pPr>
        <w:pStyle w:val="Titolo2"/>
        <w:tabs>
          <w:tab w:val="clear" w:pos="1080"/>
          <w:tab w:val="num" w:pos="482"/>
        </w:tabs>
        <w:ind w:left="482" w:hanging="482"/>
      </w:pPr>
      <w:r>
        <w:t>Data integration</w:t>
      </w:r>
    </w:p>
    <w:p w14:paraId="0144ADEB" w14:textId="036EB953" w:rsidR="00E11C4E" w:rsidRDefault="00E11C4E" w:rsidP="00E11C4E">
      <w:pPr>
        <w:pStyle w:val="Text2"/>
        <w:ind w:left="0"/>
      </w:pPr>
      <w:r>
        <w:t xml:space="preserve">Data integration as a standard process in most statistical institutions can be effectively used in IA surveys to compensate for </w:t>
      </w:r>
      <w:r w:rsidR="00F85BA9">
        <w:t xml:space="preserve">the remarkable unit and item non-response rates, mostly in voluntary surveys. Available figures of firms’ sales, profits or investments can be collected to complement the information provided via surveys with the advantage to ask firms directly (almost) only for qualitative information. This could </w:t>
      </w:r>
      <w:r w:rsidR="0026498D">
        <w:t>be</w:t>
      </w:r>
      <w:r w:rsidR="00F85BA9">
        <w:t xml:space="preserve"> a key move to reduce the burden on firms an</w:t>
      </w:r>
      <w:r w:rsidR="00696055">
        <w:t xml:space="preserve">d to increase the response rate </w:t>
      </w:r>
      <w:r w:rsidR="0026498D">
        <w:t>while improving the quality of</w:t>
      </w:r>
      <w:r w:rsidR="00696055">
        <w:t xml:space="preserve"> results</w:t>
      </w:r>
      <w:r w:rsidR="00F85BA9">
        <w:t>.</w:t>
      </w:r>
    </w:p>
    <w:p w14:paraId="79AAC2B6" w14:textId="25491FE3" w:rsidR="00696055" w:rsidRDefault="00696055" w:rsidP="0001362D">
      <w:pPr>
        <w:pStyle w:val="Titolo2"/>
        <w:tabs>
          <w:tab w:val="clear" w:pos="1080"/>
          <w:tab w:val="num" w:pos="482"/>
        </w:tabs>
        <w:ind w:left="482" w:hanging="482"/>
      </w:pPr>
      <w:r>
        <w:t>Data collection</w:t>
      </w:r>
    </w:p>
    <w:p w14:paraId="01591864" w14:textId="347FB00B" w:rsidR="00696055" w:rsidRPr="00696055" w:rsidRDefault="00696055" w:rsidP="00696055">
      <w:pPr>
        <w:pStyle w:val="Text2"/>
        <w:ind w:left="0"/>
      </w:pPr>
      <w:r>
        <w:t>The mixed CAWI-CATI data collection method of the Italian 2013 IA survey will be replicated in the 2021 survey with some improvements. A</w:t>
      </w:r>
      <w:r w:rsidR="00380A1C">
        <w:t xml:space="preserve"> </w:t>
      </w:r>
      <w:r>
        <w:t>profiling of sampled firms will allow for a selection of firms with a higher response propensity and their prioritisation in the calling-up exercise. The online questionn</w:t>
      </w:r>
      <w:r w:rsidR="00380A1C">
        <w:t xml:space="preserve">aire will be improved </w:t>
      </w:r>
      <w:r>
        <w:t xml:space="preserve">by streamlining the </w:t>
      </w:r>
      <w:r w:rsidR="003E12D1">
        <w:t>flow of questions a</w:t>
      </w:r>
      <w:r w:rsidR="0026498D">
        <w:t>nd allowing for skipping th</w:t>
      </w:r>
      <w:r w:rsidR="003E12D1">
        <w:t>e questions not of interest for the respondent.</w:t>
      </w:r>
    </w:p>
    <w:p w14:paraId="4E566729" w14:textId="5CB126DF" w:rsidR="003E12D1" w:rsidRDefault="003E12D1" w:rsidP="0001362D">
      <w:pPr>
        <w:pStyle w:val="Titolo2"/>
        <w:tabs>
          <w:tab w:val="clear" w:pos="1080"/>
          <w:tab w:val="num" w:pos="482"/>
        </w:tabs>
        <w:ind w:left="482" w:hanging="482"/>
      </w:pPr>
      <w:r>
        <w:lastRenderedPageBreak/>
        <w:t>Sample selection</w:t>
      </w:r>
    </w:p>
    <w:p w14:paraId="132D2D74" w14:textId="72E0B916" w:rsidR="003E12D1" w:rsidRDefault="003E12D1" w:rsidP="003E12D1">
      <w:pPr>
        <w:pStyle w:val="Text2"/>
        <w:ind w:left="0"/>
      </w:pPr>
      <w:r>
        <w:t>T</w:t>
      </w:r>
      <w:r w:rsidR="00E03B63">
        <w:t xml:space="preserve">wo </w:t>
      </w:r>
      <w:r>
        <w:t xml:space="preserve">needs have to be </w:t>
      </w:r>
      <w:r w:rsidR="00E03B63">
        <w:t>considered</w:t>
      </w:r>
      <w:r>
        <w:t xml:space="preserve">. </w:t>
      </w:r>
      <w:r w:rsidR="00CD7CAB">
        <w:t>Aiming at</w:t>
      </w:r>
      <w:r>
        <w:t xml:space="preserve"> a full representativeness of the firms’ population, on the one hand. To focus on specific sub-populations of interest, on the other hand.  Another constrain</w:t>
      </w:r>
      <w:r w:rsidR="009D6AEE">
        <w:t>t</w:t>
      </w:r>
      <w:r>
        <w:t xml:space="preserve"> is the need to keep the size of the initial sample within a range of 30-35K firms. By considering the large number of SMEs in Italy, even a slight increase in the threshold size could allow for accommodating the mentioned needs without increasing too much the sample size. Of course, the extraction plan for each specific sub-sample (longitudinal panel, listed companies, etc.) will be designed in a detailed way.</w:t>
      </w:r>
    </w:p>
    <w:p w14:paraId="4E38171F" w14:textId="5CA1C6E2" w:rsidR="0001362D" w:rsidRPr="0001362D" w:rsidRDefault="00F12A68" w:rsidP="0001362D">
      <w:pPr>
        <w:pStyle w:val="Titolo2"/>
        <w:tabs>
          <w:tab w:val="clear" w:pos="1080"/>
          <w:tab w:val="num" w:pos="482"/>
        </w:tabs>
        <w:ind w:left="482" w:hanging="482"/>
      </w:pPr>
      <w:r>
        <w:t>New questionnaire and cognitive testing</w:t>
      </w:r>
    </w:p>
    <w:p w14:paraId="58DBD527" w14:textId="6E90230F" w:rsidR="0001362D" w:rsidRPr="0001362D" w:rsidRDefault="00F12A68" w:rsidP="0001362D">
      <w:r>
        <w:t>The new questionnaire of the Italian IA survey 2021 will turn to be mostly qualitative</w:t>
      </w:r>
      <w:r w:rsidR="00B03439">
        <w:t>, which is atypical for official business surveys that mainly collect financial data</w:t>
      </w:r>
      <w:r>
        <w:t>. T</w:t>
      </w:r>
      <w:r w:rsidR="00CD7CAB">
        <w:t>his c</w:t>
      </w:r>
      <w:r>
        <w:t>ould simplify the data provision by respondents (thus, to inc</w:t>
      </w:r>
      <w:r w:rsidR="00D550A1">
        <w:t>rease the response rate</w:t>
      </w:r>
      <w:r>
        <w:t>)</w:t>
      </w:r>
      <w:r w:rsidR="00D550A1">
        <w:t xml:space="preserve"> but will raise issues about the quality of answers and a meaningful interpretation of them.</w:t>
      </w:r>
      <w:r>
        <w:t xml:space="preserve"> </w:t>
      </w:r>
      <w:r w:rsidR="006D07F1">
        <w:t>This implies the need for a careful steering of the process by thoroughly testing the draft questionnaire with a selected number of firms. Moreover, a team of consultants will undertake a review of the testing results with the aim of making the questionnaire focused on the key points addressed by the survey while allowing for a smooth compilation.</w:t>
      </w:r>
    </w:p>
    <w:p w14:paraId="02F8B565" w14:textId="72A50BE5" w:rsidR="006D07F1" w:rsidRPr="00887215" w:rsidRDefault="006D07F1" w:rsidP="006D07F1">
      <w:pPr>
        <w:pStyle w:val="Titolo1"/>
      </w:pPr>
      <w:r>
        <w:t>Conclusions</w:t>
      </w:r>
    </w:p>
    <w:p w14:paraId="14AE48CA" w14:textId="3323A0D0" w:rsidR="00D22320" w:rsidRDefault="006D07F1" w:rsidP="006D07F1">
      <w:r>
        <w:t xml:space="preserve">The process of designing the Italian 2021 IA survey could mark a significant improvement in the management of business IA surveys that have been, so far, focusing on the collection of quantitative data in a context where survey managers had to rely on the positive attitude by respondents to provide statistical institutions with detailed data on a voluntary basis. The current pressure on respondents because of the combination of the Covid-19 pandemic and the economic downturn </w:t>
      </w:r>
      <w:bookmarkStart w:id="0" w:name="_GoBack"/>
      <w:r w:rsidR="00E16182">
        <w:t xml:space="preserve">calls </w:t>
      </w:r>
      <w:bookmarkEnd w:id="0"/>
      <w:r>
        <w:t>for a creative approach and the combined use of advanced methodological techniques to reduce the statistical burden on respondents</w:t>
      </w:r>
      <w:r w:rsidR="00C91889">
        <w:t>.</w:t>
      </w:r>
    </w:p>
    <w:p w14:paraId="4E9DF364" w14:textId="77777777" w:rsidR="00BC6AFE" w:rsidRPr="00887215" w:rsidRDefault="00BC6AFE" w:rsidP="009B4EE0">
      <w:pPr>
        <w:pStyle w:val="Titolo1"/>
        <w:numPr>
          <w:ilvl w:val="0"/>
          <w:numId w:val="0"/>
        </w:numPr>
        <w:ind w:left="480" w:hanging="480"/>
      </w:pPr>
      <w:r w:rsidRPr="00887215">
        <w:t>References</w:t>
      </w:r>
    </w:p>
    <w:p w14:paraId="15265B80" w14:textId="548F6965" w:rsidR="002225CA" w:rsidRPr="00887215" w:rsidRDefault="002225CA" w:rsidP="00B35AB6">
      <w:pPr>
        <w:pStyle w:val="Text1"/>
        <w:numPr>
          <w:ilvl w:val="0"/>
          <w:numId w:val="20"/>
        </w:numPr>
        <w:spacing w:after="120"/>
        <w:ind w:left="357" w:hanging="357"/>
        <w:jc w:val="left"/>
        <w:rPr>
          <w:szCs w:val="24"/>
        </w:rPr>
      </w:pPr>
      <w:r w:rsidRPr="00887215">
        <w:rPr>
          <w:szCs w:val="24"/>
          <w:shd w:val="clear" w:color="auto" w:fill="FFFFFF"/>
        </w:rPr>
        <w:t xml:space="preserve">C. Corrado, C. Hulten, D. Sichel, </w:t>
      </w:r>
      <w:r w:rsidRPr="00887215">
        <w:rPr>
          <w:i/>
          <w:iCs/>
          <w:szCs w:val="24"/>
          <w:shd w:val="clear" w:color="auto" w:fill="FFFFFF"/>
        </w:rPr>
        <w:t>Measuring Capital and Technology: an expanded framework</w:t>
      </w:r>
      <w:r w:rsidRPr="00887215">
        <w:rPr>
          <w:szCs w:val="24"/>
          <w:shd w:val="clear" w:color="auto" w:fill="FFFFFF"/>
        </w:rPr>
        <w:t>, 2002, </w:t>
      </w:r>
      <w:r w:rsidRPr="00887215">
        <w:rPr>
          <w:i/>
          <w:iCs/>
          <w:szCs w:val="24"/>
          <w:shd w:val="clear" w:color="auto" w:fill="FFFFFF"/>
        </w:rPr>
        <w:t>The University of Chicago Press</w:t>
      </w:r>
    </w:p>
    <w:p w14:paraId="0C1C36C3" w14:textId="221903EF" w:rsidR="0000711A" w:rsidRPr="00887215" w:rsidRDefault="0000711A" w:rsidP="00B35AB6">
      <w:pPr>
        <w:numPr>
          <w:ilvl w:val="0"/>
          <w:numId w:val="20"/>
        </w:numPr>
        <w:spacing w:after="120" w:line="240" w:lineRule="exact"/>
        <w:ind w:left="357" w:hanging="357"/>
        <w:rPr>
          <w:szCs w:val="24"/>
          <w:lang w:val="en-US"/>
        </w:rPr>
      </w:pPr>
      <w:r w:rsidRPr="00887215">
        <w:rPr>
          <w:szCs w:val="24"/>
          <w:lang w:val="en-US"/>
        </w:rPr>
        <w:t xml:space="preserve">G. Awano, M. Franklin, J. Haskel, and Z. Kastrinaki, “Measuring investment in intangible assets in the UK: results from a new survey”, 2010, </w:t>
      </w:r>
      <w:r w:rsidRPr="00887215">
        <w:rPr>
          <w:i/>
          <w:szCs w:val="24"/>
          <w:lang w:val="en-US"/>
        </w:rPr>
        <w:t>Economic &amp; Labour Market Review</w:t>
      </w:r>
      <w:r w:rsidRPr="00887215">
        <w:rPr>
          <w:szCs w:val="24"/>
          <w:lang w:val="en-US"/>
        </w:rPr>
        <w:t>, vol 4(7), July.</w:t>
      </w:r>
    </w:p>
    <w:p w14:paraId="58AE6F48" w14:textId="5246FC4E" w:rsidR="00017A57" w:rsidRPr="00887215" w:rsidRDefault="00017A57" w:rsidP="00B35AB6">
      <w:pPr>
        <w:numPr>
          <w:ilvl w:val="0"/>
          <w:numId w:val="20"/>
        </w:numPr>
        <w:spacing w:after="120" w:line="240" w:lineRule="exact"/>
        <w:ind w:left="357" w:hanging="357"/>
        <w:rPr>
          <w:szCs w:val="24"/>
          <w:lang w:val="en-US"/>
        </w:rPr>
      </w:pPr>
      <w:r w:rsidRPr="00887215">
        <w:rPr>
          <w:szCs w:val="24"/>
          <w:lang w:val="en-US"/>
        </w:rPr>
        <w:t xml:space="preserve">European Commission. </w:t>
      </w:r>
      <w:r w:rsidRPr="00887215">
        <w:rPr>
          <w:i/>
          <w:iCs/>
          <w:szCs w:val="24"/>
          <w:lang w:val="en-US"/>
        </w:rPr>
        <w:t>Investing in intangibles: economic assets and innovation drivers for growth</w:t>
      </w:r>
      <w:r w:rsidRPr="00887215">
        <w:rPr>
          <w:szCs w:val="24"/>
          <w:lang w:val="en-US"/>
        </w:rPr>
        <w:t>. 2013, Flash Eurobarometer 369.</w:t>
      </w:r>
    </w:p>
    <w:p w14:paraId="6CD6759A" w14:textId="2A0C8F6C" w:rsidR="00017A57" w:rsidRPr="00887215" w:rsidRDefault="00017A57" w:rsidP="00B35AB6">
      <w:pPr>
        <w:pStyle w:val="Text1"/>
        <w:numPr>
          <w:ilvl w:val="0"/>
          <w:numId w:val="20"/>
        </w:numPr>
        <w:spacing w:after="120"/>
        <w:jc w:val="left"/>
        <w:rPr>
          <w:szCs w:val="24"/>
        </w:rPr>
      </w:pPr>
      <w:r w:rsidRPr="00887215">
        <w:rPr>
          <w:szCs w:val="24"/>
          <w:lang w:val="it-IT"/>
        </w:rPr>
        <w:t xml:space="preserve">S. Montresor, G. Perani, A. Vezzani. </w:t>
      </w:r>
      <w:r w:rsidRPr="00887215">
        <w:rPr>
          <w:i/>
          <w:iCs/>
          <w:szCs w:val="24"/>
          <w:lang w:val="en-US"/>
        </w:rPr>
        <w:t xml:space="preserve">How do </w:t>
      </w:r>
      <w:r w:rsidR="004E0E10" w:rsidRPr="00887215">
        <w:rPr>
          <w:i/>
          <w:iCs/>
          <w:szCs w:val="24"/>
          <w:lang w:val="en-US"/>
        </w:rPr>
        <w:t>firms</w:t>
      </w:r>
      <w:r w:rsidRPr="00887215">
        <w:rPr>
          <w:i/>
          <w:iCs/>
          <w:szCs w:val="24"/>
          <w:lang w:val="en-US"/>
        </w:rPr>
        <w:t xml:space="preserve"> perceive their intangibles? New statistical evidence from the Innobarometer 2013</w:t>
      </w:r>
      <w:r w:rsidRPr="00887215">
        <w:rPr>
          <w:szCs w:val="24"/>
          <w:lang w:val="en-US"/>
        </w:rPr>
        <w:t xml:space="preserve">. 2014, </w:t>
      </w:r>
      <w:r w:rsidRPr="00887215">
        <w:rPr>
          <w:iCs/>
          <w:szCs w:val="24"/>
          <w:lang w:val="en-US"/>
        </w:rPr>
        <w:t>Technical report, Institute of Prospective Technological Studies (IPTS)</w:t>
      </w:r>
      <w:r w:rsidRPr="00887215">
        <w:rPr>
          <w:szCs w:val="24"/>
          <w:lang w:val="en-US"/>
        </w:rPr>
        <w:t>, European Commission.</w:t>
      </w:r>
    </w:p>
    <w:p w14:paraId="26915A59" w14:textId="77777777" w:rsidR="00552072" w:rsidRPr="00887215" w:rsidRDefault="00552072" w:rsidP="00B35AB6">
      <w:pPr>
        <w:pStyle w:val="Text1"/>
        <w:numPr>
          <w:ilvl w:val="0"/>
          <w:numId w:val="20"/>
        </w:numPr>
        <w:spacing w:after="120"/>
        <w:jc w:val="left"/>
      </w:pPr>
      <w:r w:rsidRPr="00887215">
        <w:t xml:space="preserve">T Redek, M Bavdaž, "Measuring the Intangibles Using Survey Data”, GLOBALINTO Paper, 2019, </w:t>
      </w:r>
      <w:hyperlink r:id="rId11" w:history="1">
        <w:r w:rsidRPr="00887215">
          <w:rPr>
            <w:rStyle w:val="Collegamentoipertestuale"/>
            <w:color w:val="auto"/>
          </w:rPr>
          <w:t>https://globalinto.eu/wp-content/uploads/2019/11/GLOBALINTO_D_1_3.pdf</w:t>
        </w:r>
      </w:hyperlink>
    </w:p>
    <w:p w14:paraId="455003FF" w14:textId="77777777" w:rsidR="00EE70AC" w:rsidRPr="00887215" w:rsidRDefault="003F7442" w:rsidP="00EE70AC">
      <w:pPr>
        <w:pStyle w:val="Text1"/>
        <w:numPr>
          <w:ilvl w:val="0"/>
          <w:numId w:val="20"/>
        </w:numPr>
        <w:spacing w:after="120"/>
        <w:jc w:val="left"/>
        <w:rPr>
          <w:lang w:val="it-IT"/>
        </w:rPr>
      </w:pPr>
      <w:r w:rsidRPr="00887215">
        <w:rPr>
          <w:lang w:val="fr-FR"/>
        </w:rPr>
        <w:t xml:space="preserve">R. Angotti, </w:t>
      </w:r>
      <w:r w:rsidRPr="00887215">
        <w:rPr>
          <w:i/>
          <w:iCs/>
          <w:lang w:val="fr-FR"/>
        </w:rPr>
        <w:t xml:space="preserve">Intangible Assets Survey. </w:t>
      </w:r>
      <w:r w:rsidRPr="00887215">
        <w:rPr>
          <w:i/>
          <w:iCs/>
          <w:lang w:val="it-IT"/>
        </w:rPr>
        <w:t>I Risultati della Rilevazione Statistica sugli Investimenti Intangibili delle Imprese</w:t>
      </w:r>
      <w:r w:rsidRPr="00887215">
        <w:rPr>
          <w:lang w:val="it-IT"/>
        </w:rPr>
        <w:t>, 2017, INAPP, Roma.</w:t>
      </w:r>
    </w:p>
    <w:p w14:paraId="780B28BF" w14:textId="4856CF00" w:rsidR="009A0C45" w:rsidRPr="00887215" w:rsidRDefault="009E12A9" w:rsidP="00EE70AC">
      <w:pPr>
        <w:pStyle w:val="Text1"/>
        <w:numPr>
          <w:ilvl w:val="0"/>
          <w:numId w:val="20"/>
        </w:numPr>
        <w:spacing w:after="120"/>
        <w:jc w:val="left"/>
        <w:rPr>
          <w:lang w:val="it-IT"/>
        </w:rPr>
      </w:pPr>
      <w:r w:rsidRPr="00887215">
        <w:rPr>
          <w:lang w:val="fr-FR"/>
        </w:rPr>
        <w:t xml:space="preserve">A. </w:t>
      </w:r>
      <w:r w:rsidR="003F782D" w:rsidRPr="00887215">
        <w:rPr>
          <w:lang w:val="fr-FR"/>
        </w:rPr>
        <w:t xml:space="preserve">Fustec </w:t>
      </w:r>
      <w:r w:rsidR="003F782D" w:rsidRPr="00887215">
        <w:rPr>
          <w:i/>
          <w:iCs/>
          <w:lang w:val="fr-FR"/>
        </w:rPr>
        <w:t>et al.</w:t>
      </w:r>
      <w:r w:rsidR="003F782D" w:rsidRPr="00887215">
        <w:rPr>
          <w:lang w:val="fr-FR"/>
        </w:rPr>
        <w:t xml:space="preserve">, </w:t>
      </w:r>
      <w:r w:rsidR="003F782D" w:rsidRPr="00887215">
        <w:rPr>
          <w:i/>
          <w:iCs/>
          <w:lang w:val="fr-FR"/>
        </w:rPr>
        <w:t>Thésaurus-Bercy. Référentiel français de mesure de la valeur extra-financière et financière du capital immatériel des entreprises</w:t>
      </w:r>
      <w:r w:rsidR="003F782D" w:rsidRPr="00887215">
        <w:rPr>
          <w:lang w:val="fr-FR"/>
        </w:rPr>
        <w:t>, 2011, Ministère de l’économie, des finances et de l’industrie, Paris.</w:t>
      </w:r>
    </w:p>
    <w:sectPr w:rsidR="009A0C45" w:rsidRPr="00887215" w:rsidSect="00BC6AFE">
      <w:footerReference w:type="default" r:id="rId12"/>
      <w:headerReference w:type="first" r:id="rId13"/>
      <w:footerReference w:type="first" r:id="rId14"/>
      <w:pgSz w:w="11906" w:h="16838" w:code="9"/>
      <w:pgMar w:top="1021" w:right="1701" w:bottom="1021" w:left="1588" w:header="601" w:footer="107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A84D" w16cex:dateUtc="2020-10-14T14:39:00Z"/>
  <w16cex:commentExtensible w16cex:durableId="2331ACCC" w16cex:dateUtc="2020-10-14T14:58:00Z"/>
  <w16cex:commentExtensible w16cex:durableId="2331AD7F" w16cex:dateUtc="2020-10-14T15:01:00Z"/>
  <w16cex:commentExtensible w16cex:durableId="2331AFF9" w16cex:dateUtc="2020-10-14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A520C0" w16cid:durableId="2331A84D"/>
  <w16cid:commentId w16cid:paraId="346DE891" w16cid:durableId="2331ACCC"/>
  <w16cid:commentId w16cid:paraId="5740AB3D" w16cid:durableId="2331AD7F"/>
  <w16cid:commentId w16cid:paraId="05CA9CCD" w16cid:durableId="2331AF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BBEDA" w14:textId="77777777" w:rsidR="0005343C" w:rsidRDefault="0005343C" w:rsidP="00BC6AFE">
      <w:pPr>
        <w:spacing w:after="0"/>
      </w:pPr>
      <w:r>
        <w:separator/>
      </w:r>
    </w:p>
  </w:endnote>
  <w:endnote w:type="continuationSeparator" w:id="0">
    <w:p w14:paraId="6489F69D" w14:textId="77777777" w:rsidR="0005343C" w:rsidRDefault="0005343C"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A52B2" w14:textId="46886EEF" w:rsidR="00D24082" w:rsidRDefault="00D24082">
    <w:pPr>
      <w:pStyle w:val="Pidipagina"/>
      <w:jc w:val="center"/>
    </w:pPr>
    <w:r>
      <w:fldChar w:fldCharType="begin"/>
    </w:r>
    <w:r>
      <w:instrText>PAGE</w:instrText>
    </w:r>
    <w:r>
      <w:fldChar w:fldCharType="separate"/>
    </w:r>
    <w:r w:rsidR="00BC1B73">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58B7B" w14:textId="77777777" w:rsidR="00D24082" w:rsidRDefault="00D24082">
    <w:pPr>
      <w:pStyle w:val="Pidipagina"/>
      <w:rPr>
        <w:sz w:val="24"/>
        <w:szCs w:val="24"/>
      </w:rPr>
    </w:pPr>
  </w:p>
  <w:p w14:paraId="0944E127" w14:textId="77777777" w:rsidR="00D24082" w:rsidRDefault="00D24082">
    <w:pPr>
      <w:pStyle w:val="Pidipagina"/>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327E4520" w14:textId="77777777" w:rsidR="00D24082" w:rsidRDefault="00D24082">
    <w:pPr>
      <w:pStyle w:val="Pidipagina"/>
    </w:pPr>
  </w:p>
  <w:p w14:paraId="312E99B1" w14:textId="77777777" w:rsidR="00D24082" w:rsidRDefault="00D24082">
    <w:pPr>
      <w:pStyle w:val="Pidipagina"/>
    </w:pPr>
    <w:r>
      <w:t>http://epp.eurostat.ec.europa.eu</w:t>
    </w:r>
  </w:p>
  <w:p w14:paraId="63CAF690" w14:textId="77777777" w:rsidR="00D24082" w:rsidRDefault="00D24082">
    <w:pPr>
      <w:pStyle w:val="Pidipagina"/>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9DEC3" w14:textId="77777777" w:rsidR="0005343C" w:rsidRDefault="0005343C" w:rsidP="00BC6AFE">
      <w:pPr>
        <w:spacing w:after="0"/>
      </w:pPr>
      <w:r>
        <w:separator/>
      </w:r>
    </w:p>
  </w:footnote>
  <w:footnote w:type="continuationSeparator" w:id="0">
    <w:p w14:paraId="3787967D" w14:textId="77777777" w:rsidR="0005343C" w:rsidRDefault="0005343C"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F5059" w14:textId="77777777" w:rsidR="00D24082" w:rsidRDefault="00D24082">
    <w:pPr>
      <w:pStyle w:val="Intestazion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360" w:hanging="360"/>
      </w:pPr>
      <w:rPr>
        <w:rFonts w:hint="default"/>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4" w15:restartNumberingAfterBreak="0">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080"/>
        </w:tabs>
        <w:ind w:left="1080" w:hanging="600"/>
      </w:pPr>
    </w:lvl>
    <w:lvl w:ilvl="2">
      <w:start w:val="1"/>
      <w:numFmt w:val="decimal"/>
      <w:pStyle w:val="Titolo3"/>
      <w:lvlText w:val="%1.%2.%3."/>
      <w:lvlJc w:val="left"/>
      <w:pPr>
        <w:tabs>
          <w:tab w:val="num" w:pos="1920"/>
        </w:tabs>
        <w:ind w:left="1920" w:hanging="840"/>
      </w:pPr>
    </w:lvl>
    <w:lvl w:ilvl="3">
      <w:start w:val="1"/>
      <w:numFmt w:val="decimal"/>
      <w:pStyle w:val="Tito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 w:numId="2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820501"/>
    <w:rsid w:val="0000711A"/>
    <w:rsid w:val="0001362D"/>
    <w:rsid w:val="00017A57"/>
    <w:rsid w:val="000318DE"/>
    <w:rsid w:val="0005343C"/>
    <w:rsid w:val="000642A1"/>
    <w:rsid w:val="00086705"/>
    <w:rsid w:val="000F7438"/>
    <w:rsid w:val="00127067"/>
    <w:rsid w:val="00181417"/>
    <w:rsid w:val="001857CF"/>
    <w:rsid w:val="001B3DC3"/>
    <w:rsid w:val="001B50CE"/>
    <w:rsid w:val="001B6FEB"/>
    <w:rsid w:val="001D2524"/>
    <w:rsid w:val="001F056B"/>
    <w:rsid w:val="002012A8"/>
    <w:rsid w:val="002225CA"/>
    <w:rsid w:val="00243A2C"/>
    <w:rsid w:val="00246454"/>
    <w:rsid w:val="00246AE7"/>
    <w:rsid w:val="0026498D"/>
    <w:rsid w:val="002E0D97"/>
    <w:rsid w:val="002E4E66"/>
    <w:rsid w:val="00327A5B"/>
    <w:rsid w:val="00332D6F"/>
    <w:rsid w:val="00372FC1"/>
    <w:rsid w:val="00377930"/>
    <w:rsid w:val="00380A1C"/>
    <w:rsid w:val="00381F34"/>
    <w:rsid w:val="00385AEB"/>
    <w:rsid w:val="003D30B8"/>
    <w:rsid w:val="003E12D1"/>
    <w:rsid w:val="003F18A3"/>
    <w:rsid w:val="003F1CAE"/>
    <w:rsid w:val="003F7442"/>
    <w:rsid w:val="003F782D"/>
    <w:rsid w:val="00474236"/>
    <w:rsid w:val="004B2A67"/>
    <w:rsid w:val="004D48CF"/>
    <w:rsid w:val="004E0E10"/>
    <w:rsid w:val="0054171A"/>
    <w:rsid w:val="00552072"/>
    <w:rsid w:val="005526C7"/>
    <w:rsid w:val="00573E28"/>
    <w:rsid w:val="005B4EA5"/>
    <w:rsid w:val="005F6E85"/>
    <w:rsid w:val="006312AF"/>
    <w:rsid w:val="006875D6"/>
    <w:rsid w:val="00696055"/>
    <w:rsid w:val="006A482D"/>
    <w:rsid w:val="006D07F1"/>
    <w:rsid w:val="006E216E"/>
    <w:rsid w:val="00741CF0"/>
    <w:rsid w:val="007553AC"/>
    <w:rsid w:val="00797DD0"/>
    <w:rsid w:val="00820501"/>
    <w:rsid w:val="00820BDC"/>
    <w:rsid w:val="008241FF"/>
    <w:rsid w:val="00845350"/>
    <w:rsid w:val="00862534"/>
    <w:rsid w:val="008847C3"/>
    <w:rsid w:val="00887215"/>
    <w:rsid w:val="00897EB2"/>
    <w:rsid w:val="008A5F6E"/>
    <w:rsid w:val="008A75D0"/>
    <w:rsid w:val="008C7182"/>
    <w:rsid w:val="008E29ED"/>
    <w:rsid w:val="0091747A"/>
    <w:rsid w:val="00923850"/>
    <w:rsid w:val="00997BD4"/>
    <w:rsid w:val="009A0C45"/>
    <w:rsid w:val="009A41E5"/>
    <w:rsid w:val="009B4EE0"/>
    <w:rsid w:val="009C77A4"/>
    <w:rsid w:val="009D6AEE"/>
    <w:rsid w:val="009E12A9"/>
    <w:rsid w:val="009F2AF0"/>
    <w:rsid w:val="00A15FD1"/>
    <w:rsid w:val="00A17E8C"/>
    <w:rsid w:val="00AB4423"/>
    <w:rsid w:val="00AF042A"/>
    <w:rsid w:val="00B03439"/>
    <w:rsid w:val="00B16DE8"/>
    <w:rsid w:val="00B220CC"/>
    <w:rsid w:val="00B2749A"/>
    <w:rsid w:val="00B35AB6"/>
    <w:rsid w:val="00B3641F"/>
    <w:rsid w:val="00B701C9"/>
    <w:rsid w:val="00B9492F"/>
    <w:rsid w:val="00BC17F5"/>
    <w:rsid w:val="00BC1B73"/>
    <w:rsid w:val="00BC6AFE"/>
    <w:rsid w:val="00C46784"/>
    <w:rsid w:val="00C91889"/>
    <w:rsid w:val="00CD7CAB"/>
    <w:rsid w:val="00D102EC"/>
    <w:rsid w:val="00D22320"/>
    <w:rsid w:val="00D24082"/>
    <w:rsid w:val="00D32C57"/>
    <w:rsid w:val="00D52EA1"/>
    <w:rsid w:val="00D53923"/>
    <w:rsid w:val="00D550A1"/>
    <w:rsid w:val="00D758F0"/>
    <w:rsid w:val="00DA7A42"/>
    <w:rsid w:val="00DB601E"/>
    <w:rsid w:val="00E03B63"/>
    <w:rsid w:val="00E11C4E"/>
    <w:rsid w:val="00E16182"/>
    <w:rsid w:val="00EE70AC"/>
    <w:rsid w:val="00F12A68"/>
    <w:rsid w:val="00F85BA9"/>
    <w:rsid w:val="00FE42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7E919"/>
  <w15:chartTrackingRefBased/>
  <w15:docId w15:val="{DB8D91A3-2B50-4A8E-855B-0E5360D4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link w:val="TestocommentoCaratter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3F18A3"/>
    <w:rPr>
      <w:color w:val="0563C1"/>
      <w:u w:val="single"/>
    </w:rPr>
  </w:style>
  <w:style w:type="character" w:customStyle="1" w:styleId="UnresolvedMention1">
    <w:name w:val="Unresolved Mention1"/>
    <w:uiPriority w:val="99"/>
    <w:semiHidden/>
    <w:unhideWhenUsed/>
    <w:rsid w:val="003F18A3"/>
    <w:rPr>
      <w:color w:val="605E5C"/>
      <w:shd w:val="clear" w:color="auto" w:fill="E1DFDD"/>
    </w:rPr>
  </w:style>
  <w:style w:type="paragraph" w:styleId="Testofumetto">
    <w:name w:val="Balloon Text"/>
    <w:basedOn w:val="Normale"/>
    <w:link w:val="TestofumettoCarattere"/>
    <w:uiPriority w:val="99"/>
    <w:semiHidden/>
    <w:unhideWhenUsed/>
    <w:rsid w:val="00385AEB"/>
    <w:pPr>
      <w:spacing w:after="0"/>
    </w:pPr>
    <w:rPr>
      <w:rFonts w:ascii="Segoe UI" w:hAnsi="Segoe UI" w:cs="Segoe UI"/>
      <w:sz w:val="18"/>
      <w:szCs w:val="18"/>
    </w:rPr>
  </w:style>
  <w:style w:type="character" w:customStyle="1" w:styleId="TestofumettoCarattere">
    <w:name w:val="Testo fumetto Carattere"/>
    <w:link w:val="Testofumetto"/>
    <w:uiPriority w:val="99"/>
    <w:semiHidden/>
    <w:rsid w:val="00385AEB"/>
    <w:rPr>
      <w:rFonts w:ascii="Segoe UI" w:hAnsi="Segoe UI" w:cs="Segoe UI"/>
      <w:sz w:val="18"/>
      <w:szCs w:val="18"/>
      <w:lang w:val="en-GB" w:eastAsia="en-US"/>
    </w:rPr>
  </w:style>
  <w:style w:type="paragraph" w:customStyle="1" w:styleId="Paragrafoelenco1">
    <w:name w:val="Paragrafo elenco1"/>
    <w:basedOn w:val="Normale"/>
    <w:rsid w:val="00017A57"/>
    <w:pPr>
      <w:spacing w:after="0"/>
      <w:ind w:left="720"/>
      <w:jc w:val="left"/>
    </w:pPr>
    <w:rPr>
      <w:szCs w:val="24"/>
      <w:lang w:val="it-IT" w:eastAsia="it-IT"/>
    </w:rPr>
  </w:style>
  <w:style w:type="character" w:styleId="Rimandocommento">
    <w:name w:val="annotation reference"/>
    <w:basedOn w:val="Carpredefinitoparagrafo"/>
    <w:uiPriority w:val="99"/>
    <w:semiHidden/>
    <w:unhideWhenUsed/>
    <w:rsid w:val="003F1CAE"/>
    <w:rPr>
      <w:sz w:val="16"/>
      <w:szCs w:val="16"/>
    </w:rPr>
  </w:style>
  <w:style w:type="paragraph" w:styleId="Soggettocommento">
    <w:name w:val="annotation subject"/>
    <w:basedOn w:val="Testocommento"/>
    <w:next w:val="Testocommento"/>
    <w:link w:val="SoggettocommentoCarattere"/>
    <w:uiPriority w:val="99"/>
    <w:semiHidden/>
    <w:unhideWhenUsed/>
    <w:rsid w:val="003F1CAE"/>
    <w:rPr>
      <w:b/>
      <w:bCs/>
    </w:rPr>
  </w:style>
  <w:style w:type="character" w:customStyle="1" w:styleId="TestocommentoCarattere">
    <w:name w:val="Testo commento Carattere"/>
    <w:basedOn w:val="Carpredefinitoparagrafo"/>
    <w:link w:val="Testocommento"/>
    <w:semiHidden/>
    <w:rsid w:val="003F1CAE"/>
    <w:rPr>
      <w:lang w:val="en-GB" w:eastAsia="en-US"/>
    </w:rPr>
  </w:style>
  <w:style w:type="character" w:customStyle="1" w:styleId="SoggettocommentoCarattere">
    <w:name w:val="Soggetto commento Carattere"/>
    <w:basedOn w:val="TestocommentoCarattere"/>
    <w:link w:val="Soggettocommento"/>
    <w:uiPriority w:val="99"/>
    <w:semiHidden/>
    <w:rsid w:val="003F1CAE"/>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70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lobalinto.eu/wp-content/uploads/2019/11/GLOBALINTO_D_1_3.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ni\Downloads\NTTS2021_Abstract_templa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3.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62AC-773B-4BAB-A035-07FB7E4FB26B}">
  <ds:schemaRefs/>
</ds:datastoreItem>
</file>

<file path=customXml/itemProps2.xml><?xml version="1.0" encoding="utf-8"?>
<ds:datastoreItem xmlns:ds="http://schemas.openxmlformats.org/officeDocument/2006/customXml" ds:itemID="{B406C654-FE0D-4FA5-9C33-13E2F461D7CA}">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D53209A8-E9E5-4DFC-8A5A-548F5269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NTTS2021_Abstract_template</Template>
  <TotalTime>1</TotalTime>
  <Pages>4</Pages>
  <Words>1916</Words>
  <Characters>10923</Characters>
  <Application>Microsoft Office Word</Application>
  <DocSecurity>0</DocSecurity>
  <PresentationFormat>Microsoft Word 14.0</PresentationFormat>
  <Lines>91</Lines>
  <Paragraphs>25</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Perani</dc:creator>
  <cp:keywords>EL4</cp:keywords>
  <cp:lastModifiedBy>Giulio Perani</cp:lastModifiedBy>
  <cp:revision>2</cp:revision>
  <cp:lastPrinted>2018-05-29T10:06:00Z</cp:lastPrinted>
  <dcterms:created xsi:type="dcterms:W3CDTF">2020-10-15T10:51:00Z</dcterms:created>
  <dcterms:modified xsi:type="dcterms:W3CDTF">2020-10-15T10:51:00Z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