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38B70" w14:textId="77777777" w:rsidR="00BC6AFE" w:rsidRDefault="000F4E8E" w:rsidP="00BC6AFE">
      <w:pPr>
        <w:pStyle w:val="Titel"/>
      </w:pPr>
      <w:r>
        <w:t xml:space="preserve">Moving from GDP Flash Estimates to GDP </w:t>
      </w:r>
      <w:proofErr w:type="spellStart"/>
      <w:r>
        <w:t>Nowcasts</w:t>
      </w:r>
      <w:proofErr w:type="spellEnd"/>
    </w:p>
    <w:p w14:paraId="1B892D38" w14:textId="77777777" w:rsidR="009622C3" w:rsidRDefault="009622C3" w:rsidP="00243A2C">
      <w:pPr>
        <w:rPr>
          <w:b/>
          <w:u w:val="single"/>
        </w:rPr>
      </w:pPr>
    </w:p>
    <w:p w14:paraId="78987589" w14:textId="19AB16B9" w:rsidR="00243A2C" w:rsidRDefault="00243A2C" w:rsidP="00243A2C">
      <w:r w:rsidRPr="00243A2C">
        <w:rPr>
          <w:b/>
          <w:u w:val="single"/>
        </w:rPr>
        <w:t>Keywords</w:t>
      </w:r>
      <w:r w:rsidRPr="00243A2C">
        <w:rPr>
          <w:b/>
        </w:rPr>
        <w:t>:</w:t>
      </w:r>
      <w:r>
        <w:t xml:space="preserve"> </w:t>
      </w:r>
      <w:r w:rsidR="009622C3">
        <w:t>Gross domestic product (GDP), economic growth, flash</w:t>
      </w:r>
      <w:bookmarkStart w:id="0" w:name="_GoBack"/>
      <w:bookmarkEnd w:id="0"/>
      <w:r w:rsidR="009622C3">
        <w:t xml:space="preserve"> estimate, </w:t>
      </w:r>
      <w:proofErr w:type="spellStart"/>
      <w:r w:rsidR="009622C3">
        <w:t>nowcast</w:t>
      </w:r>
      <w:proofErr w:type="spellEnd"/>
      <w:r w:rsidR="009622C3">
        <w:t>, monitoring economic growth and business cycle</w:t>
      </w:r>
      <w:r w:rsidR="002A6A42">
        <w:t xml:space="preserve">, </w:t>
      </w:r>
      <w:r w:rsidR="007F3DA5">
        <w:t>bridge models, dynamic factor models</w:t>
      </w:r>
      <w:r w:rsidR="008F0857">
        <w:t>,</w:t>
      </w:r>
      <w:r w:rsidR="007F3DA5" w:rsidDel="007F3DA5">
        <w:t xml:space="preserve"> </w:t>
      </w:r>
      <w:proofErr w:type="gramStart"/>
      <w:r w:rsidR="007F3DA5">
        <w:t>machine</w:t>
      </w:r>
      <w:r w:rsidR="002A6A42">
        <w:t xml:space="preserve"> l</w:t>
      </w:r>
      <w:r w:rsidR="009622C3">
        <w:t>earning</w:t>
      </w:r>
      <w:proofErr w:type="gramEnd"/>
      <w:r w:rsidR="007F3DA5">
        <w:t xml:space="preserve"> techniques</w:t>
      </w:r>
    </w:p>
    <w:p w14:paraId="7AD23AF1" w14:textId="77777777" w:rsidR="002012A8" w:rsidRDefault="002012A8" w:rsidP="002012A8">
      <w:pPr>
        <w:pStyle w:val="berschrift1"/>
      </w:pPr>
      <w:r>
        <w:t>Introduction</w:t>
      </w:r>
    </w:p>
    <w:p w14:paraId="6E2C1C58" w14:textId="1AB62A4B" w:rsidR="001B50CE" w:rsidRPr="000F4E8E" w:rsidRDefault="009622C3" w:rsidP="00BC6AFE">
      <w:r>
        <w:t xml:space="preserve">Gross domestic product (GDP) </w:t>
      </w:r>
      <w:r w:rsidR="00AD32B7">
        <w:t xml:space="preserve">and its rate of change </w:t>
      </w:r>
      <w:proofErr w:type="gramStart"/>
      <w:r w:rsidR="005503DB">
        <w:t xml:space="preserve">is </w:t>
      </w:r>
      <w:r>
        <w:t>considered</w:t>
      </w:r>
      <w:proofErr w:type="gramEnd"/>
      <w:r>
        <w:t xml:space="preserve"> one of the main indicators for the performance of a country’s economy. As times of crises reveal the need for policymakers to get a quick overview over the economic performance of a country – as we saw during the </w:t>
      </w:r>
      <w:r w:rsidR="00113739">
        <w:t>COVID-19 pandemic</w:t>
      </w:r>
      <w:r>
        <w:t xml:space="preserve"> – it is important to </w:t>
      </w:r>
      <w:r w:rsidR="00113739">
        <w:t>pr</w:t>
      </w:r>
      <w:r w:rsidR="000B56CF">
        <w:t>ov</w:t>
      </w:r>
      <w:r w:rsidR="00113739">
        <w:t>ide them with</w:t>
      </w:r>
      <w:r>
        <w:t xml:space="preserve"> quick </w:t>
      </w:r>
      <w:r w:rsidR="00113739">
        <w:t>and</w:t>
      </w:r>
      <w:r>
        <w:t xml:space="preserve"> accurate GDP</w:t>
      </w:r>
      <w:r w:rsidR="00113739">
        <w:t xml:space="preserve"> estimates</w:t>
      </w:r>
      <w:r>
        <w:t>. While Eurostat</w:t>
      </w:r>
      <w:r w:rsidR="00113739">
        <w:t>, Germany as well as</w:t>
      </w:r>
      <w:r>
        <w:t xml:space="preserve"> many </w:t>
      </w:r>
      <w:r w:rsidR="00411F2C">
        <w:t xml:space="preserve">other </w:t>
      </w:r>
      <w:r>
        <w:t xml:space="preserve">countries </w:t>
      </w:r>
      <w:r w:rsidR="00113739">
        <w:t xml:space="preserve">publish </w:t>
      </w:r>
      <w:r>
        <w:t>their GDP flash estimates at t+30</w:t>
      </w:r>
      <w:r w:rsidR="00113739">
        <w:t xml:space="preserve"> </w:t>
      </w:r>
      <w:r w:rsidR="00411F2C">
        <w:t xml:space="preserve">days </w:t>
      </w:r>
      <w:r w:rsidR="00113739">
        <w:t>after the end of a reference quarter</w:t>
      </w:r>
      <w:r>
        <w:t xml:space="preserve">, Germany </w:t>
      </w:r>
      <w:r w:rsidR="00226DF6">
        <w:t>is also testing in</w:t>
      </w:r>
      <w:r>
        <w:t xml:space="preserve"> a feasibility study to calculate an estimate for German GDP </w:t>
      </w:r>
      <w:r w:rsidR="00113739">
        <w:t>as early as t+</w:t>
      </w:r>
      <w:r>
        <w:t xml:space="preserve">10 days after the end of the reference quarter (GDP </w:t>
      </w:r>
      <w:proofErr w:type="spellStart"/>
      <w:r w:rsidR="000B56CF">
        <w:t>n</w:t>
      </w:r>
      <w:r>
        <w:t>owcast</w:t>
      </w:r>
      <w:proofErr w:type="spellEnd"/>
      <w:r>
        <w:t>)</w:t>
      </w:r>
      <w:r w:rsidR="00856501">
        <w:t>[1]</w:t>
      </w:r>
      <w:r>
        <w:t>.</w:t>
      </w:r>
      <w:r>
        <w:rPr>
          <w:color w:val="FF0000"/>
        </w:rPr>
        <w:t xml:space="preserve"> </w:t>
      </w:r>
      <w:r w:rsidR="00113739">
        <w:t>D</w:t>
      </w:r>
      <w:r w:rsidR="00113739" w:rsidRPr="000F4E8E">
        <w:t xml:space="preserve">ue to the more timely </w:t>
      </w:r>
      <w:proofErr w:type="gramStart"/>
      <w:r w:rsidR="00411F2C">
        <w:t>estimation</w:t>
      </w:r>
      <w:proofErr w:type="gramEnd"/>
      <w:r w:rsidR="00113739">
        <w:t xml:space="preserve"> t</w:t>
      </w:r>
      <w:r>
        <w:t xml:space="preserve">his GDP </w:t>
      </w:r>
      <w:proofErr w:type="spellStart"/>
      <w:r w:rsidR="000B56CF">
        <w:t>n</w:t>
      </w:r>
      <w:r>
        <w:t>owcast</w:t>
      </w:r>
      <w:proofErr w:type="spellEnd"/>
      <w:r>
        <w:t xml:space="preserve"> is based on a less complete set of source data</w:t>
      </w:r>
      <w:r w:rsidRPr="000F4E8E">
        <w:t xml:space="preserve">. It is therefore crucial to check the reliability of the </w:t>
      </w:r>
      <w:r w:rsidR="000B56CF">
        <w:t xml:space="preserve">GDP </w:t>
      </w:r>
      <w:proofErr w:type="spellStart"/>
      <w:r w:rsidR="000B56CF">
        <w:t>n</w:t>
      </w:r>
      <w:r w:rsidRPr="000F4E8E">
        <w:t>owcast</w:t>
      </w:r>
      <w:proofErr w:type="spellEnd"/>
      <w:r w:rsidRPr="000F4E8E">
        <w:t>, as there is a trade-off between timeliness and accuracy.</w:t>
      </w:r>
    </w:p>
    <w:p w14:paraId="03CA7797" w14:textId="2372C00D" w:rsidR="001B50CE" w:rsidRPr="000F4E8E" w:rsidRDefault="00A52C51" w:rsidP="00AC1328">
      <w:pPr>
        <w:pStyle w:val="berschrift1"/>
      </w:pPr>
      <w:r>
        <w:t>Methods</w:t>
      </w:r>
      <w:r w:rsidRPr="000F4E8E">
        <w:t xml:space="preserve"> </w:t>
      </w:r>
    </w:p>
    <w:p w14:paraId="694D57B8" w14:textId="148E1F01" w:rsidR="00A52C51" w:rsidRDefault="00A52C51" w:rsidP="00A52C51">
      <w:pPr>
        <w:pStyle w:val="berschrift2"/>
        <w:rPr>
          <w:lang w:val="en-US"/>
        </w:rPr>
      </w:pPr>
      <w:r w:rsidRPr="000F4E8E">
        <w:t xml:space="preserve">The pillars of the German GDP </w:t>
      </w:r>
      <w:proofErr w:type="spellStart"/>
      <w:r w:rsidRPr="000F4E8E">
        <w:t>nowcast</w:t>
      </w:r>
      <w:proofErr w:type="spellEnd"/>
      <w:r w:rsidRPr="000F4E8E">
        <w:t xml:space="preserve"> at t+10 days</w:t>
      </w:r>
    </w:p>
    <w:p w14:paraId="70D7F175" w14:textId="0C31B083" w:rsidR="00503210" w:rsidRDefault="00411F2C" w:rsidP="009622C3">
      <w:pPr>
        <w:rPr>
          <w:bCs/>
          <w:szCs w:val="24"/>
          <w:lang w:val="en-US"/>
        </w:rPr>
      </w:pPr>
      <w:r>
        <w:rPr>
          <w:bCs/>
          <w:szCs w:val="24"/>
          <w:lang w:val="en-US"/>
        </w:rPr>
        <w:t>The</w:t>
      </w:r>
      <w:r w:rsidR="009622C3" w:rsidRPr="000F4E8E">
        <w:rPr>
          <w:bCs/>
          <w:szCs w:val="24"/>
          <w:lang w:val="en-US"/>
        </w:rPr>
        <w:t xml:space="preserve"> official German GDP flash estimate at t+30 days</w:t>
      </w:r>
      <w:r w:rsidR="00226DF6">
        <w:rPr>
          <w:bCs/>
          <w:szCs w:val="24"/>
          <w:lang w:val="en-US"/>
        </w:rPr>
        <w:t xml:space="preserve"> </w:t>
      </w:r>
      <w:proofErr w:type="gramStart"/>
      <w:r w:rsidR="009622C3" w:rsidRPr="000F4E8E">
        <w:rPr>
          <w:bCs/>
          <w:szCs w:val="24"/>
          <w:lang w:val="en-US"/>
        </w:rPr>
        <w:t>is based</w:t>
      </w:r>
      <w:proofErr w:type="gramEnd"/>
      <w:r w:rsidR="009622C3" w:rsidRPr="000F4E8E">
        <w:rPr>
          <w:bCs/>
          <w:szCs w:val="24"/>
          <w:lang w:val="en-US"/>
        </w:rPr>
        <w:t xml:space="preserve"> on three pillars</w:t>
      </w:r>
      <w:r w:rsidR="00DD5B15">
        <w:rPr>
          <w:bCs/>
          <w:szCs w:val="24"/>
          <w:lang w:val="en-US"/>
        </w:rPr>
        <w:t>:</w:t>
      </w:r>
      <w:r w:rsidR="00561833" w:rsidRPr="000F4E8E">
        <w:rPr>
          <w:bCs/>
          <w:szCs w:val="24"/>
          <w:lang w:val="en-US"/>
        </w:rPr>
        <w:t xml:space="preserve"> </w:t>
      </w:r>
      <w:r>
        <w:rPr>
          <w:bCs/>
          <w:szCs w:val="24"/>
          <w:lang w:val="en-US"/>
        </w:rPr>
        <w:t>an</w:t>
      </w:r>
      <w:r w:rsidRPr="000F4E8E">
        <w:rPr>
          <w:bCs/>
          <w:szCs w:val="24"/>
          <w:lang w:val="en-US"/>
        </w:rPr>
        <w:t xml:space="preserve"> </w:t>
      </w:r>
      <w:r w:rsidR="00561833" w:rsidRPr="000F4E8E">
        <w:rPr>
          <w:bCs/>
          <w:szCs w:val="24"/>
          <w:lang w:val="en-US"/>
        </w:rPr>
        <w:t>expert approach,</w:t>
      </w:r>
      <w:r w:rsidR="00561833">
        <w:rPr>
          <w:bCs/>
          <w:szCs w:val="24"/>
          <w:lang w:val="en-US"/>
        </w:rPr>
        <w:t xml:space="preserve"> an econometric approach and </w:t>
      </w:r>
      <w:r>
        <w:rPr>
          <w:bCs/>
          <w:szCs w:val="24"/>
          <w:lang w:val="en-US"/>
        </w:rPr>
        <w:t xml:space="preserve">a </w:t>
      </w:r>
      <w:r w:rsidR="00561833">
        <w:rPr>
          <w:bCs/>
          <w:szCs w:val="24"/>
          <w:lang w:val="en-US"/>
        </w:rPr>
        <w:t>reconciliation between experts and econometric</w:t>
      </w:r>
      <w:r>
        <w:rPr>
          <w:bCs/>
          <w:szCs w:val="24"/>
          <w:lang w:val="en-US"/>
        </w:rPr>
        <w:t>ian</w:t>
      </w:r>
      <w:r w:rsidR="00561833">
        <w:rPr>
          <w:bCs/>
          <w:szCs w:val="24"/>
          <w:lang w:val="en-US"/>
        </w:rPr>
        <w:t xml:space="preserve">s. While the </w:t>
      </w:r>
      <w:r w:rsidR="009622C3">
        <w:rPr>
          <w:bCs/>
          <w:szCs w:val="24"/>
          <w:lang w:val="en-US"/>
        </w:rPr>
        <w:t>expert approach</w:t>
      </w:r>
      <w:r w:rsidR="00561833">
        <w:rPr>
          <w:bCs/>
          <w:szCs w:val="24"/>
          <w:lang w:val="en-US"/>
        </w:rPr>
        <w:t xml:space="preserve"> comprises the estimates of </w:t>
      </w:r>
      <w:r w:rsidR="009622C3">
        <w:rPr>
          <w:bCs/>
          <w:szCs w:val="24"/>
          <w:lang w:val="en-US"/>
        </w:rPr>
        <w:t>the</w:t>
      </w:r>
      <w:r w:rsidR="009622C3" w:rsidRPr="00F83F73">
        <w:t xml:space="preserve"> units within the national accounts divisions</w:t>
      </w:r>
      <w:r w:rsidR="00561833">
        <w:t xml:space="preserve">, the </w:t>
      </w:r>
      <w:r w:rsidR="009622C3">
        <w:rPr>
          <w:bCs/>
          <w:szCs w:val="24"/>
          <w:lang w:val="en-US"/>
        </w:rPr>
        <w:t xml:space="preserve">econometric approach </w:t>
      </w:r>
      <w:r w:rsidR="00561833">
        <w:rPr>
          <w:bCs/>
          <w:szCs w:val="24"/>
          <w:lang w:val="en-US"/>
        </w:rPr>
        <w:t xml:space="preserve">are GDP estimates calculated through the implementation of </w:t>
      </w:r>
      <w:r w:rsidR="002514B4">
        <w:rPr>
          <w:bCs/>
          <w:szCs w:val="24"/>
          <w:lang w:val="en-US"/>
        </w:rPr>
        <w:t xml:space="preserve">purely statistical </w:t>
      </w:r>
      <w:r w:rsidR="00561833">
        <w:rPr>
          <w:bCs/>
          <w:szCs w:val="24"/>
          <w:lang w:val="en-US"/>
        </w:rPr>
        <w:t>models</w:t>
      </w:r>
      <w:r>
        <w:rPr>
          <w:bCs/>
          <w:szCs w:val="24"/>
          <w:lang w:val="en-US"/>
        </w:rPr>
        <w:t>.</w:t>
      </w:r>
      <w:r w:rsidR="002514B4">
        <w:rPr>
          <w:bCs/>
          <w:szCs w:val="24"/>
          <w:lang w:val="en-US"/>
        </w:rPr>
        <w:t xml:space="preserve"> </w:t>
      </w:r>
    </w:p>
    <w:p w14:paraId="2756F710" w14:textId="2F797C0F" w:rsidR="009622C3" w:rsidRDefault="00561833" w:rsidP="009622C3">
      <w:pPr>
        <w:rPr>
          <w:bCs/>
          <w:szCs w:val="24"/>
          <w:lang w:val="en-US"/>
        </w:rPr>
      </w:pPr>
      <w:r>
        <w:rPr>
          <w:bCs/>
          <w:szCs w:val="24"/>
          <w:lang w:val="en-US"/>
        </w:rPr>
        <w:t xml:space="preserve">In </w:t>
      </w:r>
      <w:r w:rsidR="000C200F">
        <w:rPr>
          <w:bCs/>
          <w:szCs w:val="24"/>
          <w:lang w:val="en-US"/>
        </w:rPr>
        <w:t>contrast,</w:t>
      </w:r>
      <w:r w:rsidR="009622C3">
        <w:rPr>
          <w:bCs/>
          <w:szCs w:val="24"/>
          <w:lang w:val="en-US"/>
        </w:rPr>
        <w:t xml:space="preserve"> </w:t>
      </w:r>
      <w:r w:rsidR="002514B4">
        <w:rPr>
          <w:bCs/>
          <w:szCs w:val="24"/>
          <w:lang w:val="en-US"/>
        </w:rPr>
        <w:t xml:space="preserve">the t+10 </w:t>
      </w:r>
      <w:r w:rsidR="009622C3">
        <w:rPr>
          <w:bCs/>
          <w:szCs w:val="24"/>
          <w:lang w:val="en-US"/>
        </w:rPr>
        <w:t>GDP</w:t>
      </w:r>
      <w:r>
        <w:rPr>
          <w:bCs/>
          <w:szCs w:val="24"/>
          <w:lang w:val="en-US"/>
        </w:rPr>
        <w:t xml:space="preserve"> </w:t>
      </w:r>
      <w:proofErr w:type="spellStart"/>
      <w:r w:rsidR="006D61B9">
        <w:rPr>
          <w:bCs/>
          <w:szCs w:val="24"/>
          <w:lang w:val="en-US"/>
        </w:rPr>
        <w:t>n</w:t>
      </w:r>
      <w:r w:rsidR="00816217">
        <w:rPr>
          <w:bCs/>
          <w:szCs w:val="24"/>
          <w:lang w:val="en-US"/>
        </w:rPr>
        <w:t>owcast</w:t>
      </w:r>
      <w:proofErr w:type="spellEnd"/>
      <w:r w:rsidR="009622C3">
        <w:rPr>
          <w:bCs/>
          <w:szCs w:val="24"/>
          <w:lang w:val="en-US"/>
        </w:rPr>
        <w:t xml:space="preserve"> </w:t>
      </w:r>
      <w:r>
        <w:rPr>
          <w:bCs/>
          <w:szCs w:val="24"/>
          <w:lang w:val="en-US"/>
        </w:rPr>
        <w:t xml:space="preserve">only consists of one pillar, </w:t>
      </w:r>
      <w:r w:rsidR="002514B4">
        <w:rPr>
          <w:bCs/>
          <w:szCs w:val="24"/>
          <w:lang w:val="en-US"/>
        </w:rPr>
        <w:t xml:space="preserve">the </w:t>
      </w:r>
      <w:r>
        <w:rPr>
          <w:bCs/>
          <w:szCs w:val="24"/>
          <w:lang w:val="en-US"/>
        </w:rPr>
        <w:t xml:space="preserve">econometric approach. This is due to the fact, that at this early point in time less data </w:t>
      </w:r>
      <w:r w:rsidR="00226DF6">
        <w:rPr>
          <w:bCs/>
          <w:szCs w:val="24"/>
          <w:lang w:val="en-US"/>
        </w:rPr>
        <w:t xml:space="preserve">is </w:t>
      </w:r>
      <w:r>
        <w:rPr>
          <w:bCs/>
          <w:szCs w:val="24"/>
          <w:lang w:val="en-US"/>
        </w:rPr>
        <w:t xml:space="preserve">available </w:t>
      </w:r>
      <w:r w:rsidR="00226DF6">
        <w:rPr>
          <w:bCs/>
          <w:szCs w:val="24"/>
          <w:lang w:val="en-US"/>
        </w:rPr>
        <w:t xml:space="preserve">and more </w:t>
      </w:r>
      <w:r>
        <w:rPr>
          <w:bCs/>
          <w:szCs w:val="24"/>
          <w:lang w:val="en-US"/>
        </w:rPr>
        <w:t xml:space="preserve">econometric models </w:t>
      </w:r>
      <w:r w:rsidR="00226DF6">
        <w:rPr>
          <w:bCs/>
          <w:szCs w:val="24"/>
          <w:lang w:val="en-US"/>
        </w:rPr>
        <w:t xml:space="preserve">have to </w:t>
      </w:r>
      <w:proofErr w:type="gramStart"/>
      <w:r w:rsidR="00226DF6">
        <w:rPr>
          <w:bCs/>
          <w:szCs w:val="24"/>
          <w:lang w:val="en-US"/>
        </w:rPr>
        <w:t>be used</w:t>
      </w:r>
      <w:proofErr w:type="gramEnd"/>
      <w:r>
        <w:rPr>
          <w:bCs/>
          <w:szCs w:val="24"/>
          <w:lang w:val="en-US"/>
        </w:rPr>
        <w:t xml:space="preserve">. Therefore, the selection of the econometric model and the set of </w:t>
      </w:r>
      <w:r w:rsidR="00816217">
        <w:rPr>
          <w:bCs/>
          <w:szCs w:val="24"/>
          <w:lang w:val="en-US"/>
        </w:rPr>
        <w:t xml:space="preserve">explanatory </w:t>
      </w:r>
      <w:r>
        <w:rPr>
          <w:bCs/>
          <w:szCs w:val="24"/>
          <w:lang w:val="en-US"/>
        </w:rPr>
        <w:t>economic indicators is of great importance to outweigh the loss of data and expert</w:t>
      </w:r>
      <w:r w:rsidR="002514B4">
        <w:rPr>
          <w:bCs/>
          <w:szCs w:val="24"/>
          <w:lang w:val="en-US"/>
        </w:rPr>
        <w:t xml:space="preserve"> knowledge</w:t>
      </w:r>
      <w:r>
        <w:rPr>
          <w:bCs/>
          <w:szCs w:val="24"/>
          <w:lang w:val="en-US"/>
        </w:rPr>
        <w:t xml:space="preserve">.  </w:t>
      </w:r>
    </w:p>
    <w:p w14:paraId="10CCCB73" w14:textId="05E2E00E" w:rsidR="00BC6AFE" w:rsidRDefault="00561833" w:rsidP="00BC6AFE">
      <w:r>
        <w:t xml:space="preserve">The feasibility study on </w:t>
      </w:r>
      <w:r w:rsidR="002514B4">
        <w:t xml:space="preserve">the </w:t>
      </w:r>
      <w:r>
        <w:t xml:space="preserve">GDP </w:t>
      </w:r>
      <w:proofErr w:type="spellStart"/>
      <w:r w:rsidR="006D61B9">
        <w:t>n</w:t>
      </w:r>
      <w:r>
        <w:t>owcast</w:t>
      </w:r>
      <w:proofErr w:type="spellEnd"/>
      <w:r>
        <w:t xml:space="preserve"> </w:t>
      </w:r>
      <w:r w:rsidR="002514B4">
        <w:t>focuses</w:t>
      </w:r>
      <w:r>
        <w:t xml:space="preserve"> on three </w:t>
      </w:r>
      <w:r w:rsidR="007F3DA5">
        <w:t xml:space="preserve">different types of </w:t>
      </w:r>
      <w:r w:rsidR="000F4E8E">
        <w:t>econometric modelling</w:t>
      </w:r>
      <w:r w:rsidR="00CD3F59">
        <w:t xml:space="preserve"> to deal with the lack of data that result from accelerating GDP estimat</w:t>
      </w:r>
      <w:r w:rsidR="007F3DA5">
        <w:t>ion</w:t>
      </w:r>
      <w:r w:rsidR="00816217">
        <w:t xml:space="preserve">: </w:t>
      </w:r>
      <w:r w:rsidR="000F4E8E">
        <w:t xml:space="preserve">bridge models, dynamic factor models as well as the </w:t>
      </w:r>
      <w:r w:rsidR="000F4E8E" w:rsidRPr="000F4E8E">
        <w:t xml:space="preserve">implementation of </w:t>
      </w:r>
      <w:r w:rsidR="002514B4" w:rsidRPr="000F4E8E">
        <w:t>machine</w:t>
      </w:r>
      <w:r w:rsidR="000F4E8E" w:rsidRPr="000F4E8E">
        <w:t xml:space="preserve"> learning</w:t>
      </w:r>
      <w:r w:rsidR="002514B4">
        <w:t xml:space="preserve"> techniques</w:t>
      </w:r>
      <w:r w:rsidR="000F4E8E" w:rsidRPr="000F4E8E">
        <w:t>.</w:t>
      </w:r>
      <w:r w:rsidR="006D61B9">
        <w:t xml:space="preserve"> </w:t>
      </w:r>
      <w:r w:rsidR="007F3DA5">
        <w:t>At the time</w:t>
      </w:r>
      <w:r w:rsidR="006D61B9">
        <w:t xml:space="preserve"> the GDP </w:t>
      </w:r>
      <w:proofErr w:type="spellStart"/>
      <w:r w:rsidR="006D61B9">
        <w:t>n</w:t>
      </w:r>
      <w:r w:rsidR="007F3DA5">
        <w:t>owcast</w:t>
      </w:r>
      <w:proofErr w:type="spellEnd"/>
      <w:r w:rsidR="007F3DA5">
        <w:t xml:space="preserve"> is calculated, s</w:t>
      </w:r>
      <w:r w:rsidR="00FE3C17">
        <w:t xml:space="preserve">ome important </w:t>
      </w:r>
      <w:r w:rsidR="007F3DA5">
        <w:t>official source statistics are not yet available for</w:t>
      </w:r>
      <w:r w:rsidR="006D61B9">
        <w:t xml:space="preserve"> </w:t>
      </w:r>
      <w:r w:rsidR="00FE3C17">
        <w:t xml:space="preserve">all relevant months of the reference quarter. </w:t>
      </w:r>
      <w:r w:rsidR="00EE0349">
        <w:t xml:space="preserve">Hence, </w:t>
      </w:r>
      <w:r w:rsidR="007F3DA5">
        <w:t xml:space="preserve">this needs to be dealt with by applying appropriate </w:t>
      </w:r>
      <w:r w:rsidR="00603D0F">
        <w:t>econometric</w:t>
      </w:r>
      <w:r w:rsidR="00CD3F59">
        <w:t xml:space="preserve"> models</w:t>
      </w:r>
      <w:r w:rsidR="007F3DA5">
        <w:t xml:space="preserve"> and by filling the data gaps with relevant early</w:t>
      </w:r>
      <w:r w:rsidR="006D61B9">
        <w:t xml:space="preserve"> economic</w:t>
      </w:r>
      <w:r w:rsidR="007F3DA5">
        <w:t xml:space="preserve"> indicators, from either business surveys or new digital data sources.</w:t>
      </w:r>
    </w:p>
    <w:p w14:paraId="1BA5C0FD" w14:textId="77777777" w:rsidR="00BC6AFE" w:rsidRPr="000F4E8E" w:rsidRDefault="009622C3" w:rsidP="00E416E7">
      <w:pPr>
        <w:pStyle w:val="berschrift2"/>
      </w:pPr>
      <w:r w:rsidRPr="000F4E8E">
        <w:t>Bridge Models</w:t>
      </w:r>
    </w:p>
    <w:p w14:paraId="40E964F4" w14:textId="514C00A0" w:rsidR="00D52EA1" w:rsidRPr="000F4E8E" w:rsidRDefault="00DC6E70" w:rsidP="00DC6E70">
      <w:r>
        <w:rPr>
          <w:bCs/>
          <w:szCs w:val="24"/>
          <w:lang w:val="en-US"/>
        </w:rPr>
        <w:t xml:space="preserve">Bridge models are often introduced when explanatory </w:t>
      </w:r>
      <w:r w:rsidR="007F3DA5">
        <w:rPr>
          <w:bCs/>
          <w:szCs w:val="24"/>
          <w:lang w:val="en-US"/>
        </w:rPr>
        <w:t xml:space="preserve">variables </w:t>
      </w:r>
      <w:r>
        <w:rPr>
          <w:bCs/>
          <w:szCs w:val="24"/>
          <w:lang w:val="en-US"/>
        </w:rPr>
        <w:t>(</w:t>
      </w:r>
      <w:r w:rsidR="007F3DA5">
        <w:rPr>
          <w:bCs/>
          <w:szCs w:val="24"/>
          <w:lang w:val="en-US"/>
        </w:rPr>
        <w:t>e.g.</w:t>
      </w:r>
      <w:r w:rsidR="006D61B9">
        <w:rPr>
          <w:bCs/>
          <w:szCs w:val="24"/>
          <w:lang w:val="en-US"/>
        </w:rPr>
        <w:t xml:space="preserve"> </w:t>
      </w:r>
      <w:r w:rsidR="007F3DA5">
        <w:rPr>
          <w:bCs/>
          <w:szCs w:val="24"/>
          <w:lang w:val="en-US"/>
        </w:rPr>
        <w:t xml:space="preserve">the industrial </w:t>
      </w:r>
      <w:r>
        <w:rPr>
          <w:bCs/>
          <w:szCs w:val="24"/>
          <w:lang w:val="en-US"/>
        </w:rPr>
        <w:t xml:space="preserve">production index) </w:t>
      </w:r>
      <w:r w:rsidR="002745C3">
        <w:rPr>
          <w:bCs/>
          <w:szCs w:val="24"/>
          <w:lang w:val="en-US"/>
        </w:rPr>
        <w:t xml:space="preserve">have </w:t>
      </w:r>
      <w:r>
        <w:rPr>
          <w:bCs/>
          <w:szCs w:val="24"/>
          <w:lang w:val="en-US"/>
        </w:rPr>
        <w:t xml:space="preserve">monthly </w:t>
      </w:r>
      <w:r w:rsidR="002745C3">
        <w:rPr>
          <w:bCs/>
          <w:szCs w:val="24"/>
          <w:lang w:val="en-US"/>
        </w:rPr>
        <w:t xml:space="preserve">frequency </w:t>
      </w:r>
      <w:r>
        <w:rPr>
          <w:bCs/>
          <w:szCs w:val="24"/>
          <w:lang w:val="en-US"/>
        </w:rPr>
        <w:t>and</w:t>
      </w:r>
      <w:r w:rsidR="002745C3">
        <w:rPr>
          <w:bCs/>
          <w:szCs w:val="24"/>
          <w:lang w:val="en-US"/>
        </w:rPr>
        <w:t xml:space="preserve"> are</w:t>
      </w:r>
      <w:r>
        <w:rPr>
          <w:bCs/>
          <w:szCs w:val="24"/>
          <w:lang w:val="en-US"/>
        </w:rPr>
        <w:t xml:space="preserve"> only available for one or two months of </w:t>
      </w:r>
      <w:r w:rsidR="000E69DB">
        <w:rPr>
          <w:bCs/>
          <w:szCs w:val="24"/>
          <w:lang w:val="en-US"/>
        </w:rPr>
        <w:t xml:space="preserve">the </w:t>
      </w:r>
      <w:r w:rsidR="002745C3">
        <w:rPr>
          <w:bCs/>
          <w:szCs w:val="24"/>
          <w:lang w:val="en-US"/>
        </w:rPr>
        <w:t xml:space="preserve">respective </w:t>
      </w:r>
      <w:r>
        <w:rPr>
          <w:bCs/>
          <w:szCs w:val="24"/>
          <w:lang w:val="en-US"/>
        </w:rPr>
        <w:t>quarter. As GDP is a quarterly measure, the missing values of the monthly explanatory variable need to be forecasted</w:t>
      </w:r>
      <w:r w:rsidR="003916F2">
        <w:rPr>
          <w:bCs/>
          <w:szCs w:val="24"/>
          <w:lang w:val="en-US"/>
        </w:rPr>
        <w:t xml:space="preserve"> [2]</w:t>
      </w:r>
      <w:r>
        <w:rPr>
          <w:bCs/>
          <w:szCs w:val="24"/>
          <w:lang w:val="en-US"/>
        </w:rPr>
        <w:t>. Commonly used methods are ARIMA-</w:t>
      </w:r>
      <w:r>
        <w:rPr>
          <w:bCs/>
          <w:szCs w:val="24"/>
          <w:lang w:val="en-US"/>
        </w:rPr>
        <w:lastRenderedPageBreak/>
        <w:t xml:space="preserve">models </w:t>
      </w:r>
      <w:r w:rsidR="002745C3">
        <w:rPr>
          <w:bCs/>
          <w:szCs w:val="24"/>
          <w:lang w:val="en-US"/>
        </w:rPr>
        <w:t xml:space="preserve">(autoregressive integrated moving average) </w:t>
      </w:r>
      <w:r>
        <w:rPr>
          <w:bCs/>
          <w:szCs w:val="24"/>
          <w:lang w:val="en-US"/>
        </w:rPr>
        <w:t xml:space="preserve">or </w:t>
      </w:r>
      <w:r w:rsidR="002745C3">
        <w:rPr>
          <w:bCs/>
          <w:szCs w:val="24"/>
          <w:lang w:val="en-US"/>
        </w:rPr>
        <w:t>ADL-models (</w:t>
      </w:r>
      <w:r>
        <w:rPr>
          <w:bCs/>
          <w:szCs w:val="24"/>
          <w:lang w:val="en-US"/>
        </w:rPr>
        <w:t>autoregressive-distributed lag</w:t>
      </w:r>
      <w:r w:rsidR="002745C3">
        <w:rPr>
          <w:bCs/>
          <w:szCs w:val="24"/>
          <w:lang w:val="en-US"/>
        </w:rPr>
        <w:t>)</w:t>
      </w:r>
      <w:r>
        <w:rPr>
          <w:bCs/>
          <w:szCs w:val="24"/>
          <w:lang w:val="en-US"/>
        </w:rPr>
        <w:t xml:space="preserve">. </w:t>
      </w:r>
      <w:r w:rsidR="000B56CF">
        <w:rPr>
          <w:bCs/>
          <w:szCs w:val="24"/>
          <w:lang w:val="en-US"/>
        </w:rPr>
        <w:t xml:space="preserve">In the case of the German GDP </w:t>
      </w:r>
      <w:proofErr w:type="spellStart"/>
      <w:r w:rsidR="000B56CF">
        <w:rPr>
          <w:bCs/>
          <w:szCs w:val="24"/>
          <w:lang w:val="en-US"/>
        </w:rPr>
        <w:t>n</w:t>
      </w:r>
      <w:r w:rsidR="002745C3">
        <w:rPr>
          <w:bCs/>
          <w:szCs w:val="24"/>
          <w:lang w:val="en-US"/>
        </w:rPr>
        <w:t>owcast</w:t>
      </w:r>
      <w:proofErr w:type="spellEnd"/>
      <w:r w:rsidR="002745C3">
        <w:rPr>
          <w:bCs/>
          <w:szCs w:val="24"/>
          <w:lang w:val="en-US"/>
        </w:rPr>
        <w:t xml:space="preserve">, </w:t>
      </w:r>
      <w:r w:rsidR="000E69DB">
        <w:rPr>
          <w:bCs/>
          <w:szCs w:val="24"/>
          <w:lang w:val="en-US"/>
        </w:rPr>
        <w:t>in a first step, the missing monthly values of the official source statistics are forecasted using ARIMA-models that also account for the seasonality of the respective variables. In a second step, the various GDP components are estimated using the realized and forecasted values of the official source statistics and supplemented by a wide range of relevant early</w:t>
      </w:r>
      <w:r w:rsidR="006D61B9">
        <w:rPr>
          <w:bCs/>
          <w:szCs w:val="24"/>
          <w:lang w:val="en-US"/>
        </w:rPr>
        <w:t xml:space="preserve"> economic</w:t>
      </w:r>
      <w:r w:rsidR="000E69DB">
        <w:rPr>
          <w:bCs/>
          <w:szCs w:val="24"/>
          <w:lang w:val="en-US"/>
        </w:rPr>
        <w:t xml:space="preserve"> indicators.</w:t>
      </w:r>
      <w:r w:rsidR="004E7379">
        <w:rPr>
          <w:bCs/>
          <w:szCs w:val="24"/>
          <w:lang w:val="en-US"/>
        </w:rPr>
        <w:t xml:space="preserve"> Finally, the estimates of the various GDP components are aggregated to the GDP </w:t>
      </w:r>
      <w:proofErr w:type="spellStart"/>
      <w:r w:rsidR="004E7379">
        <w:rPr>
          <w:bCs/>
          <w:szCs w:val="24"/>
          <w:lang w:val="en-US"/>
        </w:rPr>
        <w:t>nowcast</w:t>
      </w:r>
      <w:proofErr w:type="spellEnd"/>
      <w:r w:rsidR="004E7379">
        <w:rPr>
          <w:bCs/>
          <w:szCs w:val="24"/>
          <w:lang w:val="en-US"/>
        </w:rPr>
        <w:t>.</w:t>
      </w:r>
    </w:p>
    <w:p w14:paraId="54D2C393" w14:textId="77777777" w:rsidR="009622C3" w:rsidRPr="00CC552E" w:rsidRDefault="009622C3" w:rsidP="00E416E7">
      <w:pPr>
        <w:pStyle w:val="berschrift2"/>
      </w:pPr>
      <w:r w:rsidRPr="00CC552E">
        <w:t>Dynamic Factor Models</w:t>
      </w:r>
    </w:p>
    <w:p w14:paraId="46C159CA" w14:textId="7691A1E0" w:rsidR="00866467" w:rsidRPr="00FB285E" w:rsidRDefault="0016379F" w:rsidP="00FB285E">
      <w:pPr>
        <w:rPr>
          <w:color w:val="FF0000"/>
        </w:rPr>
      </w:pPr>
      <w:r w:rsidRPr="00CC552E">
        <w:t xml:space="preserve">Another estimation method are dynamic factor models. The premise here is that </w:t>
      </w:r>
      <w:r w:rsidR="008A4B0E">
        <w:t xml:space="preserve">a </w:t>
      </w:r>
      <w:r w:rsidRPr="00CC552E">
        <w:t xml:space="preserve">large number of time series can be described by a relatively small number of unobserved or latent factors, which themselves evolve over time. This is especially useful </w:t>
      </w:r>
      <w:r w:rsidR="00547C59" w:rsidRPr="00CC552E">
        <w:t xml:space="preserve">for GDP estimations </w:t>
      </w:r>
      <w:r w:rsidRPr="00CC552E">
        <w:t>as economic development is reliant on many different economically relevant time series, whose co-movements</w:t>
      </w:r>
      <w:r w:rsidR="00547C59" w:rsidRPr="00CC552E">
        <w:t xml:space="preserve"> </w:t>
      </w:r>
      <w:r w:rsidR="008A4B0E">
        <w:t>can be</w:t>
      </w:r>
      <w:r w:rsidR="008A4B0E" w:rsidRPr="00CC552E">
        <w:t xml:space="preserve"> </w:t>
      </w:r>
      <w:r w:rsidR="00547C59" w:rsidRPr="00CC552E">
        <w:t xml:space="preserve">described </w:t>
      </w:r>
      <w:r w:rsidRPr="00CC552E">
        <w:t>by some common factor</w:t>
      </w:r>
      <w:r w:rsidR="008A4B0E">
        <w:t>s</w:t>
      </w:r>
      <w:r w:rsidR="00822FFA" w:rsidRPr="00CC552E">
        <w:t xml:space="preserve"> [3]</w:t>
      </w:r>
      <w:r w:rsidR="00547C59" w:rsidRPr="00CC552E">
        <w:t>.</w:t>
      </w:r>
      <w:r w:rsidRPr="00CC552E">
        <w:t xml:space="preserve"> </w:t>
      </w:r>
      <w:r w:rsidR="008A4B0E">
        <w:t>D</w:t>
      </w:r>
      <w:r w:rsidR="008A4B0E" w:rsidRPr="008A4B0E">
        <w:t xml:space="preserve">ynamic factor models can be used for news-analyses, </w:t>
      </w:r>
      <w:r w:rsidR="008A4B0E">
        <w:t xml:space="preserve">i.e. automatic </w:t>
      </w:r>
      <w:r w:rsidR="008A4B0E" w:rsidRPr="008A4B0E">
        <w:t xml:space="preserve">updates </w:t>
      </w:r>
      <w:r w:rsidR="008A4B0E">
        <w:t>of the GDP estimates as soon as new data becomes available</w:t>
      </w:r>
      <w:r w:rsidR="008A4B0E" w:rsidRPr="008A4B0E">
        <w:t xml:space="preserve">. This also allows assessing the marginal effect </w:t>
      </w:r>
      <w:r w:rsidR="008A4B0E">
        <w:t xml:space="preserve">of new information </w:t>
      </w:r>
      <w:r w:rsidR="008A4B0E" w:rsidRPr="008A4B0E">
        <w:t xml:space="preserve">on </w:t>
      </w:r>
      <w:r w:rsidR="008A4B0E">
        <w:t xml:space="preserve">the </w:t>
      </w:r>
      <w:r w:rsidR="008A4B0E" w:rsidRPr="008A4B0E">
        <w:t xml:space="preserve">GDP </w:t>
      </w:r>
      <w:r w:rsidR="008A4B0E">
        <w:t xml:space="preserve">estimates and can be easily implemented in the time series analysis software </w:t>
      </w:r>
      <w:proofErr w:type="spellStart"/>
      <w:r w:rsidR="008A4B0E">
        <w:t>JDemetra</w:t>
      </w:r>
      <w:proofErr w:type="spellEnd"/>
      <w:r w:rsidR="008A4B0E">
        <w:t>+</w:t>
      </w:r>
      <w:r w:rsidR="008A4B0E" w:rsidRPr="008A4B0E">
        <w:t>.</w:t>
      </w:r>
    </w:p>
    <w:p w14:paraId="029E8336" w14:textId="77777777" w:rsidR="009622C3" w:rsidRPr="000F4E8E" w:rsidRDefault="002745C3" w:rsidP="00E416E7">
      <w:pPr>
        <w:pStyle w:val="berschrift2"/>
      </w:pPr>
      <w:r w:rsidRPr="000F4E8E">
        <w:t>Machine</w:t>
      </w:r>
      <w:r w:rsidR="009622C3" w:rsidRPr="000F4E8E">
        <w:t xml:space="preserve"> Learning</w:t>
      </w:r>
    </w:p>
    <w:p w14:paraId="161C6684" w14:textId="3A3BB44A" w:rsidR="009622C3" w:rsidRDefault="00EE0349" w:rsidP="003D4A41">
      <w:r>
        <w:t xml:space="preserve">As big data as well as artificial intelligence are </w:t>
      </w:r>
      <w:r w:rsidR="000E69DB">
        <w:t xml:space="preserve">slowly but surely </w:t>
      </w:r>
      <w:r>
        <w:t xml:space="preserve">finding their way into official </w:t>
      </w:r>
      <w:r w:rsidR="00816217">
        <w:t>statistics</w:t>
      </w:r>
      <w:r w:rsidR="000E69DB">
        <w:t>,</w:t>
      </w:r>
      <w:r>
        <w:t xml:space="preserve"> </w:t>
      </w:r>
      <w:r w:rsidR="002745C3">
        <w:t xml:space="preserve">the associated methods </w:t>
      </w:r>
      <w:r>
        <w:t xml:space="preserve">offer great potential in enhancing GDP estimates. </w:t>
      </w:r>
      <w:r w:rsidR="002745C3">
        <w:t>Machine learning</w:t>
      </w:r>
      <w:r>
        <w:t xml:space="preserve"> techniques</w:t>
      </w:r>
      <w:r w:rsidR="006D61B9">
        <w:t xml:space="preserve"> </w:t>
      </w:r>
      <w:r w:rsidR="002745C3">
        <w:t xml:space="preserve">have been </w:t>
      </w:r>
      <w:r w:rsidR="007B3BE6">
        <w:t xml:space="preserve">explored </w:t>
      </w:r>
      <w:r w:rsidR="002745C3">
        <w:t>for their use in</w:t>
      </w:r>
      <w:r w:rsidR="007B3BE6">
        <w:t xml:space="preserve"> GDP </w:t>
      </w:r>
      <w:r w:rsidR="002745C3">
        <w:t>estimates by the German Council of Economic Experts as well as the Federal Ministry of Economic Affairs and Energy</w:t>
      </w:r>
      <w:r w:rsidR="00EE17CB" w:rsidRPr="00EE17CB">
        <w:t xml:space="preserve"> </w:t>
      </w:r>
      <w:r w:rsidR="00EE17CB">
        <w:t>[</w:t>
      </w:r>
      <w:r w:rsidR="00822FFA">
        <w:t>4</w:t>
      </w:r>
      <w:r w:rsidR="00EE17CB">
        <w:t>].</w:t>
      </w:r>
      <w:r w:rsidR="000E69DB">
        <w:t xml:space="preserve"> The Federal Statistical Office is also considering these new techniques as a third type of statistical model</w:t>
      </w:r>
      <w:r w:rsidR="000B56CF">
        <w:t xml:space="preserve">ling in the context of the GDP </w:t>
      </w:r>
      <w:proofErr w:type="spellStart"/>
      <w:r w:rsidR="000B56CF">
        <w:t>n</w:t>
      </w:r>
      <w:r w:rsidR="000E69DB">
        <w:t>owcast</w:t>
      </w:r>
      <w:proofErr w:type="spellEnd"/>
      <w:r w:rsidR="000E69DB">
        <w:t xml:space="preserve"> feasibility study.</w:t>
      </w:r>
    </w:p>
    <w:p w14:paraId="5A959CC3" w14:textId="77777777" w:rsidR="00BC6AFE" w:rsidRDefault="00BC6AFE" w:rsidP="00BC6AFE">
      <w:pPr>
        <w:pStyle w:val="berschrift1"/>
      </w:pPr>
      <w:r w:rsidRPr="000F4E8E">
        <w:t>Results</w:t>
      </w:r>
    </w:p>
    <w:p w14:paraId="1611FEF5" w14:textId="7C98E899" w:rsidR="00724FF7" w:rsidRDefault="00724FF7" w:rsidP="00B667F0">
      <w:pPr>
        <w:rPr>
          <w:bCs/>
          <w:szCs w:val="24"/>
          <w:lang w:val="en-US"/>
        </w:rPr>
      </w:pPr>
      <w:r w:rsidRPr="000F378E">
        <w:rPr>
          <w:bCs/>
          <w:szCs w:val="24"/>
          <w:lang w:val="en-US"/>
        </w:rPr>
        <w:t>The accuracy of results is probably the most important quality indicator of GDP estimates. The quality requirements</w:t>
      </w:r>
      <w:r>
        <w:rPr>
          <w:bCs/>
          <w:szCs w:val="24"/>
          <w:lang w:val="en-US"/>
        </w:rPr>
        <w:t xml:space="preserve"> for </w:t>
      </w:r>
      <w:r w:rsidR="007F7E61">
        <w:rPr>
          <w:bCs/>
          <w:szCs w:val="24"/>
          <w:lang w:val="en-US"/>
        </w:rPr>
        <w:t xml:space="preserve">European </w:t>
      </w:r>
      <w:r>
        <w:rPr>
          <w:bCs/>
          <w:szCs w:val="24"/>
          <w:lang w:val="en-US"/>
        </w:rPr>
        <w:t>GDP flash estimates</w:t>
      </w:r>
      <w:r w:rsidRPr="000F378E">
        <w:rPr>
          <w:bCs/>
          <w:szCs w:val="24"/>
          <w:lang w:val="en-US"/>
        </w:rPr>
        <w:t xml:space="preserve"> </w:t>
      </w:r>
      <w:r w:rsidR="007F7E61">
        <w:rPr>
          <w:bCs/>
          <w:szCs w:val="24"/>
          <w:lang w:val="en-US"/>
        </w:rPr>
        <w:t>could also serve as a</w:t>
      </w:r>
      <w:r w:rsidRPr="000F378E">
        <w:rPr>
          <w:bCs/>
          <w:szCs w:val="24"/>
          <w:lang w:val="en-US"/>
        </w:rPr>
        <w:t xml:space="preserve"> suitable benchmark for the accuracy of national </w:t>
      </w:r>
      <w:proofErr w:type="spellStart"/>
      <w:r>
        <w:rPr>
          <w:bCs/>
          <w:szCs w:val="24"/>
          <w:lang w:val="en-US"/>
        </w:rPr>
        <w:t>nowcasts</w:t>
      </w:r>
      <w:proofErr w:type="spellEnd"/>
      <w:r w:rsidR="00F95B83">
        <w:rPr>
          <w:bCs/>
          <w:szCs w:val="24"/>
          <w:lang w:val="en-US"/>
        </w:rPr>
        <w:t xml:space="preserve"> [</w:t>
      </w:r>
      <w:r w:rsidR="00822FFA">
        <w:rPr>
          <w:bCs/>
          <w:szCs w:val="24"/>
          <w:lang w:val="en-US"/>
        </w:rPr>
        <w:t>5</w:t>
      </w:r>
      <w:r w:rsidR="00F95B83">
        <w:rPr>
          <w:bCs/>
          <w:szCs w:val="24"/>
          <w:lang w:val="en-US"/>
        </w:rPr>
        <w:t>]</w:t>
      </w:r>
      <w:r w:rsidRPr="000F378E">
        <w:rPr>
          <w:bCs/>
          <w:szCs w:val="24"/>
          <w:lang w:val="en-US"/>
        </w:rPr>
        <w:t>:</w:t>
      </w:r>
      <w:r w:rsidR="00B667F0">
        <w:rPr>
          <w:bCs/>
          <w:szCs w:val="24"/>
          <w:lang w:val="en-US"/>
        </w:rPr>
        <w:t xml:space="preserve"> First, a</w:t>
      </w:r>
      <w:r w:rsidR="007F7E61">
        <w:rPr>
          <w:bCs/>
          <w:szCs w:val="24"/>
          <w:lang w:val="en-US"/>
        </w:rPr>
        <w:t xml:space="preserve"> GDP </w:t>
      </w:r>
      <w:proofErr w:type="spellStart"/>
      <w:r w:rsidR="007F7E61">
        <w:rPr>
          <w:bCs/>
          <w:szCs w:val="24"/>
          <w:lang w:val="en-US"/>
        </w:rPr>
        <w:t>nowcast</w:t>
      </w:r>
      <w:proofErr w:type="spellEnd"/>
      <w:r w:rsidRPr="005E0CDF">
        <w:rPr>
          <w:bCs/>
          <w:szCs w:val="24"/>
          <w:lang w:val="en-US"/>
        </w:rPr>
        <w:t xml:space="preserve"> should be an unbiased estimate of GDP growth at t+45</w:t>
      </w:r>
      <w:r w:rsidR="007F7E61">
        <w:rPr>
          <w:bCs/>
          <w:szCs w:val="24"/>
          <w:lang w:val="en-US"/>
        </w:rPr>
        <w:t xml:space="preserve"> days</w:t>
      </w:r>
      <w:r w:rsidRPr="005E0CDF">
        <w:rPr>
          <w:bCs/>
          <w:szCs w:val="24"/>
          <w:lang w:val="en-US"/>
        </w:rPr>
        <w:t>, with an average revision between –0.05 and +0.05 percentage points (</w:t>
      </w:r>
      <w:proofErr w:type="spellStart"/>
      <w:r w:rsidRPr="005E0CDF">
        <w:rPr>
          <w:bCs/>
          <w:szCs w:val="24"/>
          <w:lang w:val="en-US"/>
        </w:rPr>
        <w:t>ppt</w:t>
      </w:r>
      <w:proofErr w:type="spellEnd"/>
      <w:r w:rsidRPr="005E0CDF">
        <w:rPr>
          <w:bCs/>
          <w:szCs w:val="24"/>
          <w:lang w:val="en-US"/>
        </w:rPr>
        <w:t>), and no more than 66.7% of revisions in the same direction</w:t>
      </w:r>
      <w:r w:rsidR="005B517C">
        <w:rPr>
          <w:bCs/>
          <w:szCs w:val="24"/>
          <w:lang w:val="en-US"/>
        </w:rPr>
        <w:t>.</w:t>
      </w:r>
      <w:r w:rsidRPr="005E0CDF">
        <w:rPr>
          <w:bCs/>
          <w:szCs w:val="24"/>
          <w:lang w:val="en-US"/>
        </w:rPr>
        <w:t xml:space="preserve"> </w:t>
      </w:r>
      <w:r w:rsidR="00B667F0">
        <w:rPr>
          <w:bCs/>
          <w:szCs w:val="24"/>
          <w:lang w:val="en-US"/>
        </w:rPr>
        <w:t>Second, t</w:t>
      </w:r>
      <w:r w:rsidRPr="005E0CDF">
        <w:rPr>
          <w:bCs/>
          <w:szCs w:val="24"/>
          <w:lang w:val="en-US"/>
        </w:rPr>
        <w:t xml:space="preserve">he average absolute revision </w:t>
      </w:r>
      <w:r w:rsidR="007F7E61">
        <w:rPr>
          <w:bCs/>
          <w:szCs w:val="24"/>
          <w:lang w:val="en-US"/>
        </w:rPr>
        <w:t>of a</w:t>
      </w:r>
      <w:r w:rsidR="007F7E61" w:rsidRPr="005E0CDF">
        <w:rPr>
          <w:bCs/>
          <w:szCs w:val="24"/>
          <w:lang w:val="en-US"/>
        </w:rPr>
        <w:t xml:space="preserve"> </w:t>
      </w:r>
      <w:r w:rsidRPr="005E0CDF">
        <w:rPr>
          <w:bCs/>
          <w:szCs w:val="24"/>
          <w:lang w:val="en-US"/>
        </w:rPr>
        <w:t xml:space="preserve">GDP </w:t>
      </w:r>
      <w:proofErr w:type="spellStart"/>
      <w:r w:rsidR="007F7E61">
        <w:rPr>
          <w:bCs/>
          <w:szCs w:val="24"/>
          <w:lang w:val="en-US"/>
        </w:rPr>
        <w:t>nowcast</w:t>
      </w:r>
      <w:proofErr w:type="spellEnd"/>
      <w:r w:rsidRPr="005E0CDF">
        <w:rPr>
          <w:bCs/>
          <w:szCs w:val="24"/>
          <w:lang w:val="en-US"/>
        </w:rPr>
        <w:t xml:space="preserve"> should be within 0.10 </w:t>
      </w:r>
      <w:proofErr w:type="spellStart"/>
      <w:r w:rsidRPr="005E0CDF">
        <w:rPr>
          <w:bCs/>
          <w:szCs w:val="24"/>
          <w:lang w:val="en-US"/>
        </w:rPr>
        <w:t>ppt</w:t>
      </w:r>
      <w:proofErr w:type="spellEnd"/>
      <w:r w:rsidRPr="005E0CDF">
        <w:rPr>
          <w:bCs/>
          <w:szCs w:val="24"/>
          <w:lang w:val="en-US"/>
        </w:rPr>
        <w:t xml:space="preserve"> compared with t+</w:t>
      </w:r>
      <w:r w:rsidR="007F7E61">
        <w:rPr>
          <w:bCs/>
          <w:szCs w:val="24"/>
          <w:lang w:val="en-US"/>
        </w:rPr>
        <w:t>45</w:t>
      </w:r>
      <w:r w:rsidR="007F7E61" w:rsidRPr="005E0CDF">
        <w:rPr>
          <w:bCs/>
          <w:szCs w:val="24"/>
          <w:lang w:val="en-US"/>
        </w:rPr>
        <w:t xml:space="preserve"> </w:t>
      </w:r>
      <w:r w:rsidRPr="005E0CDF">
        <w:rPr>
          <w:bCs/>
          <w:szCs w:val="24"/>
          <w:lang w:val="en-US"/>
        </w:rPr>
        <w:t>GDP growth estimate</w:t>
      </w:r>
      <w:r w:rsidR="00DD5B15">
        <w:rPr>
          <w:bCs/>
          <w:szCs w:val="24"/>
          <w:lang w:val="en-US"/>
        </w:rPr>
        <w:t>.</w:t>
      </w:r>
    </w:p>
    <w:tbl>
      <w:tblPr>
        <w:tblW w:w="8593" w:type="dxa"/>
        <w:tblCellMar>
          <w:left w:w="70" w:type="dxa"/>
          <w:right w:w="70" w:type="dxa"/>
        </w:tblCellMar>
        <w:tblLook w:val="04A0" w:firstRow="1" w:lastRow="0" w:firstColumn="1" w:lastColumn="0" w:noHBand="0" w:noVBand="1"/>
      </w:tblPr>
      <w:tblGrid>
        <w:gridCol w:w="2487"/>
        <w:gridCol w:w="2223"/>
        <w:gridCol w:w="1801"/>
        <w:gridCol w:w="2082"/>
      </w:tblGrid>
      <w:tr w:rsidR="00CC72E5" w:rsidRPr="00CC72E5" w14:paraId="315430F9" w14:textId="77777777" w:rsidTr="00CC72E5">
        <w:trPr>
          <w:trHeight w:val="161"/>
        </w:trPr>
        <w:tc>
          <w:tcPr>
            <w:tcW w:w="8593" w:type="dxa"/>
            <w:gridSpan w:val="4"/>
            <w:tcBorders>
              <w:top w:val="nil"/>
              <w:left w:val="nil"/>
              <w:bottom w:val="nil"/>
              <w:right w:val="nil"/>
            </w:tcBorders>
            <w:shd w:val="clear" w:color="000000" w:fill="FFFFFF"/>
            <w:noWrap/>
            <w:vAlign w:val="bottom"/>
            <w:hideMark/>
          </w:tcPr>
          <w:p w14:paraId="2ACA6367" w14:textId="77777777" w:rsidR="00CC72E5" w:rsidRPr="00CC72E5" w:rsidRDefault="00CC72E5" w:rsidP="00CC72E5">
            <w:pPr>
              <w:spacing w:after="0"/>
              <w:jc w:val="center"/>
              <w:rPr>
                <w:b/>
                <w:bCs/>
                <w:color w:val="000000"/>
                <w:sz w:val="22"/>
                <w:szCs w:val="32"/>
                <w:lang w:val="de-DE" w:eastAsia="de-DE"/>
              </w:rPr>
            </w:pPr>
            <w:r w:rsidRPr="00CC72E5">
              <w:rPr>
                <w:b/>
                <w:bCs/>
                <w:color w:val="000000"/>
                <w:sz w:val="22"/>
                <w:szCs w:val="32"/>
                <w:lang w:val="de-DE" w:eastAsia="de-DE"/>
              </w:rPr>
              <w:t>Table 1: Revision Analysis</w:t>
            </w:r>
          </w:p>
        </w:tc>
      </w:tr>
      <w:tr w:rsidR="00CC72E5" w:rsidRPr="00CC72E5" w14:paraId="5D0BB34E" w14:textId="77777777" w:rsidTr="00CC72E5">
        <w:trPr>
          <w:trHeight w:val="334"/>
        </w:trPr>
        <w:tc>
          <w:tcPr>
            <w:tcW w:w="2487" w:type="dxa"/>
            <w:tcBorders>
              <w:top w:val="nil"/>
              <w:left w:val="nil"/>
              <w:bottom w:val="nil"/>
              <w:right w:val="nil"/>
            </w:tcBorders>
            <w:shd w:val="clear" w:color="000000" w:fill="FFFFFF"/>
            <w:noWrap/>
            <w:vAlign w:val="bottom"/>
            <w:hideMark/>
          </w:tcPr>
          <w:p w14:paraId="05E79009" w14:textId="77777777" w:rsidR="00CC72E5" w:rsidRPr="00CC72E5" w:rsidRDefault="00CC72E5" w:rsidP="00CC72E5">
            <w:pPr>
              <w:spacing w:after="0"/>
              <w:jc w:val="left"/>
              <w:rPr>
                <w:color w:val="000000"/>
                <w:sz w:val="22"/>
                <w:szCs w:val="32"/>
                <w:lang w:val="de-DE" w:eastAsia="de-DE"/>
              </w:rPr>
            </w:pPr>
            <w:r w:rsidRPr="00CC72E5">
              <w:rPr>
                <w:color w:val="000000"/>
                <w:sz w:val="22"/>
                <w:szCs w:val="32"/>
                <w:lang w:val="de-DE" w:eastAsia="de-DE"/>
              </w:rPr>
              <w:t> </w:t>
            </w:r>
          </w:p>
        </w:tc>
        <w:tc>
          <w:tcPr>
            <w:tcW w:w="22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8D5900" w14:textId="77777777" w:rsidR="00CC72E5" w:rsidRPr="00CC72E5" w:rsidRDefault="00CC72E5" w:rsidP="00CC72E5">
            <w:pPr>
              <w:spacing w:after="0"/>
              <w:jc w:val="center"/>
              <w:rPr>
                <w:color w:val="000000"/>
                <w:sz w:val="22"/>
                <w:szCs w:val="32"/>
                <w:lang w:val="de-DE" w:eastAsia="de-DE"/>
              </w:rPr>
            </w:pPr>
            <w:proofErr w:type="spellStart"/>
            <w:r w:rsidRPr="00CC72E5">
              <w:rPr>
                <w:color w:val="000000"/>
                <w:sz w:val="22"/>
                <w:szCs w:val="32"/>
                <w:lang w:val="de-DE" w:eastAsia="de-DE"/>
              </w:rPr>
              <w:t>Eurostat</w:t>
            </w:r>
            <w:proofErr w:type="spellEnd"/>
            <w:r w:rsidRPr="00CC72E5">
              <w:rPr>
                <w:color w:val="000000"/>
                <w:sz w:val="22"/>
                <w:szCs w:val="32"/>
                <w:lang w:val="de-DE" w:eastAsia="de-DE"/>
              </w:rPr>
              <w:t xml:space="preserve"> </w:t>
            </w:r>
            <w:proofErr w:type="spellStart"/>
            <w:r w:rsidRPr="00CC72E5">
              <w:rPr>
                <w:color w:val="000000"/>
                <w:sz w:val="22"/>
                <w:szCs w:val="32"/>
                <w:lang w:val="de-DE" w:eastAsia="de-DE"/>
              </w:rPr>
              <w:t>revision</w:t>
            </w:r>
            <w:proofErr w:type="spellEnd"/>
            <w:r w:rsidRPr="00CC72E5">
              <w:rPr>
                <w:color w:val="000000"/>
                <w:sz w:val="22"/>
                <w:szCs w:val="32"/>
                <w:lang w:val="de-DE" w:eastAsia="de-DE"/>
              </w:rPr>
              <w:t xml:space="preserve"> </w:t>
            </w:r>
            <w:proofErr w:type="spellStart"/>
            <w:r w:rsidRPr="00CC72E5">
              <w:rPr>
                <w:color w:val="000000"/>
                <w:sz w:val="22"/>
                <w:szCs w:val="32"/>
                <w:lang w:val="de-DE" w:eastAsia="de-DE"/>
              </w:rPr>
              <w:t>criteria</w:t>
            </w:r>
            <w:proofErr w:type="spellEnd"/>
          </w:p>
        </w:tc>
        <w:tc>
          <w:tcPr>
            <w:tcW w:w="3883" w:type="dxa"/>
            <w:gridSpan w:val="2"/>
            <w:tcBorders>
              <w:top w:val="single" w:sz="4" w:space="0" w:color="auto"/>
              <w:left w:val="nil"/>
              <w:bottom w:val="single" w:sz="4" w:space="0" w:color="auto"/>
              <w:right w:val="single" w:sz="4" w:space="0" w:color="000000"/>
            </w:tcBorders>
            <w:shd w:val="clear" w:color="000000" w:fill="FFFFFF"/>
            <w:vAlign w:val="center"/>
            <w:hideMark/>
          </w:tcPr>
          <w:p w14:paraId="0C9C2387" w14:textId="77777777" w:rsidR="00CC72E5" w:rsidRPr="00CC72E5" w:rsidRDefault="00CC72E5" w:rsidP="00CC72E5">
            <w:pPr>
              <w:spacing w:after="0"/>
              <w:jc w:val="center"/>
              <w:rPr>
                <w:sz w:val="22"/>
                <w:szCs w:val="32"/>
                <w:lang w:val="de-DE" w:eastAsia="de-DE"/>
              </w:rPr>
            </w:pPr>
            <w:r w:rsidRPr="00CC72E5">
              <w:rPr>
                <w:sz w:val="22"/>
                <w:szCs w:val="32"/>
                <w:lang w:val="de-DE" w:eastAsia="de-DE"/>
              </w:rPr>
              <w:t xml:space="preserve">Revision </w:t>
            </w:r>
            <w:proofErr w:type="spellStart"/>
            <w:r w:rsidRPr="00CC72E5">
              <w:rPr>
                <w:sz w:val="22"/>
                <w:szCs w:val="32"/>
                <w:lang w:val="de-DE" w:eastAsia="de-DE"/>
              </w:rPr>
              <w:t>to</w:t>
            </w:r>
            <w:proofErr w:type="spellEnd"/>
            <w:r w:rsidRPr="00CC72E5">
              <w:rPr>
                <w:sz w:val="22"/>
                <w:szCs w:val="32"/>
                <w:lang w:val="de-DE" w:eastAsia="de-DE"/>
              </w:rPr>
              <w:t xml:space="preserve"> GDP </w:t>
            </w:r>
            <w:proofErr w:type="spellStart"/>
            <w:r w:rsidRPr="00CC72E5">
              <w:rPr>
                <w:sz w:val="22"/>
                <w:szCs w:val="32"/>
                <w:lang w:val="de-DE" w:eastAsia="de-DE"/>
              </w:rPr>
              <w:t>estimate</w:t>
            </w:r>
            <w:proofErr w:type="spellEnd"/>
            <w:r w:rsidRPr="00CC72E5">
              <w:rPr>
                <w:sz w:val="22"/>
                <w:szCs w:val="32"/>
                <w:lang w:val="de-DE" w:eastAsia="de-DE"/>
              </w:rPr>
              <w:t xml:space="preserve"> at t+45</w:t>
            </w:r>
          </w:p>
        </w:tc>
      </w:tr>
      <w:tr w:rsidR="00CC72E5" w:rsidRPr="00CC72E5" w14:paraId="5D97F3EB" w14:textId="77777777" w:rsidTr="00CC72E5">
        <w:trPr>
          <w:trHeight w:val="161"/>
        </w:trPr>
        <w:tc>
          <w:tcPr>
            <w:tcW w:w="2487" w:type="dxa"/>
            <w:tcBorders>
              <w:top w:val="single" w:sz="4" w:space="0" w:color="auto"/>
              <w:left w:val="single" w:sz="4" w:space="0" w:color="auto"/>
              <w:bottom w:val="nil"/>
              <w:right w:val="single" w:sz="4" w:space="0" w:color="auto"/>
            </w:tcBorders>
            <w:shd w:val="clear" w:color="000000" w:fill="FFFFFF"/>
            <w:noWrap/>
            <w:vAlign w:val="bottom"/>
            <w:hideMark/>
          </w:tcPr>
          <w:p w14:paraId="24EA9932" w14:textId="77777777" w:rsidR="00CC72E5" w:rsidRPr="00CC72E5" w:rsidRDefault="00CC72E5" w:rsidP="00CC72E5">
            <w:pPr>
              <w:spacing w:after="0"/>
              <w:jc w:val="left"/>
              <w:rPr>
                <w:color w:val="000000"/>
                <w:sz w:val="22"/>
                <w:szCs w:val="32"/>
                <w:lang w:val="de-DE" w:eastAsia="de-DE"/>
              </w:rPr>
            </w:pPr>
            <w:r w:rsidRPr="00CC72E5">
              <w:rPr>
                <w:color w:val="000000"/>
                <w:sz w:val="22"/>
                <w:szCs w:val="32"/>
                <w:lang w:val="de-DE" w:eastAsia="de-DE"/>
              </w:rPr>
              <w:t> </w:t>
            </w:r>
          </w:p>
        </w:tc>
        <w:tc>
          <w:tcPr>
            <w:tcW w:w="2223" w:type="dxa"/>
            <w:tcBorders>
              <w:top w:val="nil"/>
              <w:left w:val="nil"/>
              <w:bottom w:val="nil"/>
              <w:right w:val="nil"/>
            </w:tcBorders>
            <w:shd w:val="clear" w:color="000000" w:fill="FFFFFF"/>
            <w:noWrap/>
            <w:vAlign w:val="bottom"/>
            <w:hideMark/>
          </w:tcPr>
          <w:p w14:paraId="5703CF2E" w14:textId="77777777" w:rsidR="00CC72E5" w:rsidRPr="00CC72E5" w:rsidRDefault="00CC72E5" w:rsidP="00CC72E5">
            <w:pPr>
              <w:spacing w:after="0"/>
              <w:jc w:val="left"/>
              <w:rPr>
                <w:color w:val="000000"/>
                <w:sz w:val="22"/>
                <w:szCs w:val="32"/>
                <w:lang w:val="de-DE" w:eastAsia="de-DE"/>
              </w:rPr>
            </w:pPr>
            <w:r w:rsidRPr="00CC72E5">
              <w:rPr>
                <w:color w:val="000000"/>
                <w:sz w:val="22"/>
                <w:szCs w:val="32"/>
                <w:lang w:val="de-DE" w:eastAsia="de-DE"/>
              </w:rPr>
              <w:t> </w:t>
            </w:r>
          </w:p>
        </w:tc>
        <w:tc>
          <w:tcPr>
            <w:tcW w:w="1801" w:type="dxa"/>
            <w:tcBorders>
              <w:top w:val="nil"/>
              <w:left w:val="single" w:sz="4" w:space="0" w:color="auto"/>
              <w:bottom w:val="single" w:sz="4" w:space="0" w:color="auto"/>
              <w:right w:val="single" w:sz="4" w:space="0" w:color="auto"/>
            </w:tcBorders>
            <w:shd w:val="clear" w:color="000000" w:fill="C00000"/>
            <w:vAlign w:val="bottom"/>
            <w:hideMark/>
          </w:tcPr>
          <w:p w14:paraId="48300482" w14:textId="77777777" w:rsidR="00CC72E5" w:rsidRPr="00CC72E5" w:rsidRDefault="00CC72E5" w:rsidP="00CC72E5">
            <w:pPr>
              <w:spacing w:after="0"/>
              <w:jc w:val="left"/>
              <w:rPr>
                <w:b/>
                <w:bCs/>
                <w:color w:val="FFFFFF"/>
                <w:sz w:val="22"/>
                <w:szCs w:val="32"/>
                <w:lang w:val="de-DE" w:eastAsia="de-DE"/>
              </w:rPr>
            </w:pPr>
            <w:r w:rsidRPr="00CC72E5">
              <w:rPr>
                <w:b/>
                <w:bCs/>
                <w:color w:val="FFFFFF"/>
                <w:sz w:val="22"/>
                <w:szCs w:val="32"/>
                <w:lang w:val="de-DE" w:eastAsia="de-DE"/>
              </w:rPr>
              <w:t xml:space="preserve">GDP </w:t>
            </w:r>
            <w:proofErr w:type="spellStart"/>
            <w:r w:rsidRPr="00CC72E5">
              <w:rPr>
                <w:b/>
                <w:bCs/>
                <w:color w:val="FFFFFF"/>
                <w:sz w:val="22"/>
                <w:szCs w:val="32"/>
                <w:lang w:val="de-DE" w:eastAsia="de-DE"/>
              </w:rPr>
              <w:t>Nowcast</w:t>
            </w:r>
            <w:proofErr w:type="spellEnd"/>
            <w:r w:rsidRPr="00CC72E5">
              <w:rPr>
                <w:b/>
                <w:bCs/>
                <w:color w:val="FFFFFF"/>
                <w:sz w:val="22"/>
                <w:szCs w:val="32"/>
                <w:lang w:val="de-DE" w:eastAsia="de-DE"/>
              </w:rPr>
              <w:t xml:space="preserve"> (t+10) </w:t>
            </w:r>
          </w:p>
        </w:tc>
        <w:tc>
          <w:tcPr>
            <w:tcW w:w="2082" w:type="dxa"/>
            <w:tcBorders>
              <w:top w:val="nil"/>
              <w:left w:val="nil"/>
              <w:bottom w:val="single" w:sz="4" w:space="0" w:color="auto"/>
              <w:right w:val="single" w:sz="4" w:space="0" w:color="auto"/>
            </w:tcBorders>
            <w:shd w:val="clear" w:color="000000" w:fill="ED7D31"/>
            <w:vAlign w:val="bottom"/>
            <w:hideMark/>
          </w:tcPr>
          <w:p w14:paraId="7529BF2C" w14:textId="77777777" w:rsidR="00CC72E5" w:rsidRPr="00CC72E5" w:rsidRDefault="00CC72E5" w:rsidP="00CC72E5">
            <w:pPr>
              <w:spacing w:after="0"/>
              <w:jc w:val="left"/>
              <w:rPr>
                <w:b/>
                <w:bCs/>
                <w:color w:val="FFFFFF"/>
                <w:sz w:val="22"/>
                <w:szCs w:val="32"/>
                <w:lang w:val="de-DE" w:eastAsia="de-DE"/>
              </w:rPr>
            </w:pPr>
            <w:r w:rsidRPr="00CC72E5">
              <w:rPr>
                <w:b/>
                <w:bCs/>
                <w:color w:val="FFFFFF"/>
                <w:sz w:val="22"/>
                <w:szCs w:val="32"/>
                <w:lang w:val="de-DE" w:eastAsia="de-DE"/>
              </w:rPr>
              <w:t xml:space="preserve">GDP </w:t>
            </w:r>
            <w:proofErr w:type="spellStart"/>
            <w:r w:rsidRPr="00CC72E5">
              <w:rPr>
                <w:b/>
                <w:bCs/>
                <w:color w:val="FFFFFF"/>
                <w:sz w:val="22"/>
                <w:szCs w:val="32"/>
                <w:lang w:val="de-DE" w:eastAsia="de-DE"/>
              </w:rPr>
              <w:t>flash</w:t>
            </w:r>
            <w:proofErr w:type="spellEnd"/>
            <w:r w:rsidRPr="00CC72E5">
              <w:rPr>
                <w:b/>
                <w:bCs/>
                <w:color w:val="FFFFFF"/>
                <w:sz w:val="22"/>
                <w:szCs w:val="32"/>
                <w:lang w:val="de-DE" w:eastAsia="de-DE"/>
              </w:rPr>
              <w:t xml:space="preserve"> </w:t>
            </w:r>
            <w:proofErr w:type="spellStart"/>
            <w:r w:rsidRPr="00CC72E5">
              <w:rPr>
                <w:b/>
                <w:bCs/>
                <w:color w:val="FFFFFF"/>
                <w:sz w:val="22"/>
                <w:szCs w:val="32"/>
                <w:lang w:val="de-DE" w:eastAsia="de-DE"/>
              </w:rPr>
              <w:t>estimate</w:t>
            </w:r>
            <w:proofErr w:type="spellEnd"/>
            <w:r w:rsidRPr="00CC72E5">
              <w:rPr>
                <w:b/>
                <w:bCs/>
                <w:color w:val="FFFFFF"/>
                <w:sz w:val="22"/>
                <w:szCs w:val="32"/>
                <w:lang w:val="de-DE" w:eastAsia="de-DE"/>
              </w:rPr>
              <w:t xml:space="preserve"> (t+30) </w:t>
            </w:r>
          </w:p>
        </w:tc>
      </w:tr>
      <w:tr w:rsidR="00CC72E5" w:rsidRPr="00CC72E5" w14:paraId="28A91542" w14:textId="77777777" w:rsidTr="00CC72E5">
        <w:trPr>
          <w:trHeight w:val="161"/>
        </w:trPr>
        <w:tc>
          <w:tcPr>
            <w:tcW w:w="2487" w:type="dxa"/>
            <w:tcBorders>
              <w:top w:val="nil"/>
              <w:left w:val="single" w:sz="4" w:space="0" w:color="auto"/>
              <w:bottom w:val="nil"/>
              <w:right w:val="nil"/>
            </w:tcBorders>
            <w:shd w:val="clear" w:color="000000" w:fill="FFFFFF"/>
            <w:noWrap/>
            <w:vAlign w:val="bottom"/>
            <w:hideMark/>
          </w:tcPr>
          <w:p w14:paraId="29755ECE" w14:textId="77777777" w:rsidR="00CC72E5" w:rsidRPr="00CC72E5" w:rsidRDefault="00CC72E5" w:rsidP="00CC72E5">
            <w:pPr>
              <w:spacing w:after="0"/>
              <w:jc w:val="right"/>
              <w:rPr>
                <w:color w:val="000000"/>
                <w:sz w:val="22"/>
                <w:szCs w:val="32"/>
                <w:lang w:val="de-DE" w:eastAsia="de-DE"/>
              </w:rPr>
            </w:pPr>
            <w:proofErr w:type="spellStart"/>
            <w:r w:rsidRPr="00CC72E5">
              <w:rPr>
                <w:color w:val="000000"/>
                <w:sz w:val="22"/>
                <w:szCs w:val="32"/>
                <w:lang w:val="de-DE" w:eastAsia="de-DE"/>
              </w:rPr>
              <w:t>Mean</w:t>
            </w:r>
            <w:proofErr w:type="spellEnd"/>
            <w:r w:rsidRPr="00CC72E5">
              <w:rPr>
                <w:color w:val="000000"/>
                <w:sz w:val="22"/>
                <w:szCs w:val="32"/>
                <w:lang w:val="de-DE" w:eastAsia="de-DE"/>
              </w:rPr>
              <w:t xml:space="preserve"> </w:t>
            </w:r>
            <w:proofErr w:type="spellStart"/>
            <w:r w:rsidRPr="00CC72E5">
              <w:rPr>
                <w:color w:val="000000"/>
                <w:sz w:val="22"/>
                <w:szCs w:val="32"/>
                <w:lang w:val="de-DE" w:eastAsia="de-DE"/>
              </w:rPr>
              <w:t>revision</w:t>
            </w:r>
            <w:proofErr w:type="spellEnd"/>
          </w:p>
        </w:tc>
        <w:tc>
          <w:tcPr>
            <w:tcW w:w="2223" w:type="dxa"/>
            <w:tcBorders>
              <w:top w:val="nil"/>
              <w:left w:val="single" w:sz="4" w:space="0" w:color="auto"/>
              <w:bottom w:val="nil"/>
              <w:right w:val="nil"/>
            </w:tcBorders>
            <w:shd w:val="clear" w:color="000000" w:fill="FFFFFF"/>
            <w:noWrap/>
            <w:vAlign w:val="bottom"/>
            <w:hideMark/>
          </w:tcPr>
          <w:p w14:paraId="16C2D5E9" w14:textId="77777777" w:rsidR="00CC72E5" w:rsidRPr="00CC72E5" w:rsidRDefault="00CC72E5" w:rsidP="00CC72E5">
            <w:pPr>
              <w:spacing w:after="0"/>
              <w:jc w:val="right"/>
              <w:rPr>
                <w:color w:val="000000"/>
                <w:sz w:val="22"/>
                <w:szCs w:val="32"/>
                <w:lang w:val="de-DE" w:eastAsia="de-DE"/>
              </w:rPr>
            </w:pPr>
            <w:r w:rsidRPr="00CC72E5">
              <w:rPr>
                <w:color w:val="000000"/>
                <w:sz w:val="22"/>
                <w:szCs w:val="32"/>
                <w:lang w:val="de-DE" w:eastAsia="de-DE"/>
              </w:rPr>
              <w:t>±0,05</w:t>
            </w:r>
          </w:p>
        </w:tc>
        <w:tc>
          <w:tcPr>
            <w:tcW w:w="1801" w:type="dxa"/>
            <w:tcBorders>
              <w:top w:val="nil"/>
              <w:left w:val="single" w:sz="4" w:space="0" w:color="auto"/>
              <w:bottom w:val="nil"/>
              <w:right w:val="single" w:sz="4" w:space="0" w:color="auto"/>
            </w:tcBorders>
            <w:shd w:val="clear" w:color="000000" w:fill="FFFFFF"/>
            <w:noWrap/>
            <w:vAlign w:val="bottom"/>
            <w:hideMark/>
          </w:tcPr>
          <w:p w14:paraId="4B9513A6" w14:textId="77777777" w:rsidR="00CC72E5" w:rsidRPr="00CC72E5" w:rsidRDefault="00CC72E5" w:rsidP="00CC72E5">
            <w:pPr>
              <w:spacing w:after="0"/>
              <w:jc w:val="center"/>
              <w:rPr>
                <w:color w:val="000000"/>
                <w:sz w:val="22"/>
                <w:szCs w:val="32"/>
                <w:lang w:val="de-DE" w:eastAsia="de-DE"/>
              </w:rPr>
            </w:pPr>
            <w:r w:rsidRPr="00CC72E5">
              <w:rPr>
                <w:color w:val="000000"/>
                <w:sz w:val="22"/>
                <w:szCs w:val="32"/>
                <w:lang w:val="de-DE" w:eastAsia="de-DE"/>
              </w:rPr>
              <w:t>0,057</w:t>
            </w:r>
          </w:p>
        </w:tc>
        <w:tc>
          <w:tcPr>
            <w:tcW w:w="2082" w:type="dxa"/>
            <w:tcBorders>
              <w:top w:val="nil"/>
              <w:left w:val="nil"/>
              <w:bottom w:val="nil"/>
              <w:right w:val="single" w:sz="4" w:space="0" w:color="auto"/>
            </w:tcBorders>
            <w:shd w:val="clear" w:color="000000" w:fill="FFFFFF"/>
            <w:noWrap/>
            <w:vAlign w:val="bottom"/>
            <w:hideMark/>
          </w:tcPr>
          <w:p w14:paraId="311FB680" w14:textId="77777777" w:rsidR="00CC72E5" w:rsidRPr="00CC72E5" w:rsidRDefault="00CC72E5" w:rsidP="00CC72E5">
            <w:pPr>
              <w:spacing w:after="0"/>
              <w:jc w:val="center"/>
              <w:rPr>
                <w:color w:val="000000"/>
                <w:sz w:val="22"/>
                <w:szCs w:val="32"/>
                <w:lang w:val="de-DE" w:eastAsia="de-DE"/>
              </w:rPr>
            </w:pPr>
            <w:r w:rsidRPr="00CC72E5">
              <w:rPr>
                <w:color w:val="000000"/>
                <w:sz w:val="22"/>
                <w:szCs w:val="32"/>
                <w:lang w:val="de-DE" w:eastAsia="de-DE"/>
              </w:rPr>
              <w:t>-0,025</w:t>
            </w:r>
          </w:p>
        </w:tc>
      </w:tr>
      <w:tr w:rsidR="00CC72E5" w:rsidRPr="00CC72E5" w14:paraId="53712AC5" w14:textId="77777777" w:rsidTr="00CC72E5">
        <w:trPr>
          <w:trHeight w:val="161"/>
        </w:trPr>
        <w:tc>
          <w:tcPr>
            <w:tcW w:w="2487" w:type="dxa"/>
            <w:tcBorders>
              <w:top w:val="nil"/>
              <w:left w:val="single" w:sz="4" w:space="0" w:color="auto"/>
              <w:bottom w:val="nil"/>
              <w:right w:val="nil"/>
            </w:tcBorders>
            <w:shd w:val="clear" w:color="000000" w:fill="FFFFFF"/>
            <w:noWrap/>
            <w:vAlign w:val="bottom"/>
            <w:hideMark/>
          </w:tcPr>
          <w:p w14:paraId="79A146C3" w14:textId="77777777" w:rsidR="00CC72E5" w:rsidRPr="00CC72E5" w:rsidRDefault="00CC72E5" w:rsidP="00CC72E5">
            <w:pPr>
              <w:spacing w:after="0"/>
              <w:jc w:val="right"/>
              <w:rPr>
                <w:color w:val="000000"/>
                <w:sz w:val="22"/>
                <w:szCs w:val="32"/>
                <w:lang w:val="de-DE" w:eastAsia="de-DE"/>
              </w:rPr>
            </w:pPr>
            <w:proofErr w:type="spellStart"/>
            <w:r w:rsidRPr="00CC72E5">
              <w:rPr>
                <w:color w:val="000000"/>
                <w:sz w:val="22"/>
                <w:szCs w:val="32"/>
                <w:lang w:val="de-DE" w:eastAsia="de-DE"/>
              </w:rPr>
              <w:t>Mean</w:t>
            </w:r>
            <w:proofErr w:type="spellEnd"/>
            <w:r w:rsidRPr="00CC72E5">
              <w:rPr>
                <w:color w:val="000000"/>
                <w:sz w:val="22"/>
                <w:szCs w:val="32"/>
                <w:lang w:val="de-DE" w:eastAsia="de-DE"/>
              </w:rPr>
              <w:t xml:space="preserve"> absolute </w:t>
            </w:r>
            <w:proofErr w:type="spellStart"/>
            <w:r w:rsidRPr="00CC72E5">
              <w:rPr>
                <w:color w:val="000000"/>
                <w:sz w:val="22"/>
                <w:szCs w:val="32"/>
                <w:lang w:val="de-DE" w:eastAsia="de-DE"/>
              </w:rPr>
              <w:t>revision</w:t>
            </w:r>
            <w:proofErr w:type="spellEnd"/>
          </w:p>
        </w:tc>
        <w:tc>
          <w:tcPr>
            <w:tcW w:w="2223" w:type="dxa"/>
            <w:tcBorders>
              <w:top w:val="nil"/>
              <w:left w:val="single" w:sz="4" w:space="0" w:color="auto"/>
              <w:bottom w:val="nil"/>
              <w:right w:val="nil"/>
            </w:tcBorders>
            <w:shd w:val="clear" w:color="000000" w:fill="FFFFFF"/>
            <w:noWrap/>
            <w:vAlign w:val="bottom"/>
            <w:hideMark/>
          </w:tcPr>
          <w:p w14:paraId="3B24931D" w14:textId="77777777" w:rsidR="00CC72E5" w:rsidRPr="00CC72E5" w:rsidRDefault="00CC72E5" w:rsidP="00CC72E5">
            <w:pPr>
              <w:spacing w:after="0"/>
              <w:jc w:val="right"/>
              <w:rPr>
                <w:color w:val="000000"/>
                <w:sz w:val="22"/>
                <w:szCs w:val="32"/>
                <w:lang w:val="de-DE" w:eastAsia="de-DE"/>
              </w:rPr>
            </w:pPr>
            <w:r w:rsidRPr="00CC72E5">
              <w:rPr>
                <w:color w:val="000000"/>
                <w:sz w:val="22"/>
                <w:szCs w:val="32"/>
                <w:lang w:val="de-DE" w:eastAsia="de-DE"/>
              </w:rPr>
              <w:t xml:space="preserve">                          0,10 </w:t>
            </w:r>
          </w:p>
        </w:tc>
        <w:tc>
          <w:tcPr>
            <w:tcW w:w="1801" w:type="dxa"/>
            <w:tcBorders>
              <w:top w:val="nil"/>
              <w:left w:val="single" w:sz="4" w:space="0" w:color="auto"/>
              <w:bottom w:val="nil"/>
              <w:right w:val="single" w:sz="4" w:space="0" w:color="auto"/>
            </w:tcBorders>
            <w:shd w:val="clear" w:color="000000" w:fill="FFFFFF"/>
            <w:noWrap/>
            <w:vAlign w:val="bottom"/>
            <w:hideMark/>
          </w:tcPr>
          <w:p w14:paraId="052C8526" w14:textId="77777777" w:rsidR="00CC72E5" w:rsidRPr="00CC72E5" w:rsidRDefault="00CC72E5" w:rsidP="00CC72E5">
            <w:pPr>
              <w:spacing w:after="0"/>
              <w:jc w:val="center"/>
              <w:rPr>
                <w:color w:val="000000"/>
                <w:sz w:val="22"/>
                <w:szCs w:val="32"/>
                <w:lang w:val="de-DE" w:eastAsia="de-DE"/>
              </w:rPr>
            </w:pPr>
            <w:r w:rsidRPr="00CC72E5">
              <w:rPr>
                <w:color w:val="000000"/>
                <w:sz w:val="22"/>
                <w:szCs w:val="32"/>
                <w:lang w:val="de-DE" w:eastAsia="de-DE"/>
              </w:rPr>
              <w:t>0,153</w:t>
            </w:r>
          </w:p>
        </w:tc>
        <w:tc>
          <w:tcPr>
            <w:tcW w:w="2082" w:type="dxa"/>
            <w:tcBorders>
              <w:top w:val="nil"/>
              <w:left w:val="nil"/>
              <w:bottom w:val="nil"/>
              <w:right w:val="single" w:sz="4" w:space="0" w:color="auto"/>
            </w:tcBorders>
            <w:shd w:val="clear" w:color="000000" w:fill="FFFFFF"/>
            <w:noWrap/>
            <w:vAlign w:val="bottom"/>
            <w:hideMark/>
          </w:tcPr>
          <w:p w14:paraId="17FCAC78" w14:textId="77777777" w:rsidR="00CC72E5" w:rsidRPr="00CC72E5" w:rsidRDefault="00CC72E5" w:rsidP="00CC72E5">
            <w:pPr>
              <w:spacing w:after="0"/>
              <w:jc w:val="center"/>
              <w:rPr>
                <w:color w:val="000000"/>
                <w:sz w:val="22"/>
                <w:szCs w:val="32"/>
                <w:lang w:val="de-DE" w:eastAsia="de-DE"/>
              </w:rPr>
            </w:pPr>
            <w:r w:rsidRPr="00CC72E5">
              <w:rPr>
                <w:color w:val="000000"/>
                <w:sz w:val="22"/>
                <w:szCs w:val="32"/>
                <w:lang w:val="de-DE" w:eastAsia="de-DE"/>
              </w:rPr>
              <w:t>0,100</w:t>
            </w:r>
          </w:p>
        </w:tc>
      </w:tr>
      <w:tr w:rsidR="00CC72E5" w:rsidRPr="00CC72E5" w14:paraId="6F65010A" w14:textId="77777777" w:rsidTr="00CC72E5">
        <w:trPr>
          <w:trHeight w:val="161"/>
        </w:trPr>
        <w:tc>
          <w:tcPr>
            <w:tcW w:w="2487" w:type="dxa"/>
            <w:tcBorders>
              <w:top w:val="nil"/>
              <w:left w:val="single" w:sz="4" w:space="0" w:color="auto"/>
              <w:bottom w:val="single" w:sz="4" w:space="0" w:color="auto"/>
              <w:right w:val="nil"/>
            </w:tcBorders>
            <w:shd w:val="clear" w:color="000000" w:fill="FFFFFF"/>
            <w:noWrap/>
            <w:vAlign w:val="bottom"/>
            <w:hideMark/>
          </w:tcPr>
          <w:p w14:paraId="3782A3BB" w14:textId="77777777" w:rsidR="00CC72E5" w:rsidRPr="00CC72E5" w:rsidRDefault="00CC72E5" w:rsidP="00CC72E5">
            <w:pPr>
              <w:spacing w:after="0"/>
              <w:jc w:val="right"/>
              <w:rPr>
                <w:color w:val="000000"/>
                <w:sz w:val="22"/>
                <w:szCs w:val="32"/>
                <w:lang w:val="de-DE" w:eastAsia="de-DE"/>
              </w:rPr>
            </w:pPr>
            <w:r w:rsidRPr="00CC72E5">
              <w:rPr>
                <w:color w:val="000000"/>
                <w:sz w:val="22"/>
                <w:szCs w:val="32"/>
                <w:lang w:val="de-DE" w:eastAsia="de-DE"/>
              </w:rPr>
              <w:t xml:space="preserve">Share </w:t>
            </w:r>
            <w:proofErr w:type="spellStart"/>
            <w:r w:rsidRPr="00CC72E5">
              <w:rPr>
                <w:color w:val="000000"/>
                <w:sz w:val="22"/>
                <w:szCs w:val="32"/>
                <w:lang w:val="de-DE" w:eastAsia="de-DE"/>
              </w:rPr>
              <w:t>of</w:t>
            </w:r>
            <w:proofErr w:type="spellEnd"/>
            <w:r w:rsidRPr="00CC72E5">
              <w:rPr>
                <w:color w:val="000000"/>
                <w:sz w:val="22"/>
                <w:szCs w:val="32"/>
                <w:lang w:val="de-DE" w:eastAsia="de-DE"/>
              </w:rPr>
              <w:t xml:space="preserve"> </w:t>
            </w:r>
            <w:proofErr w:type="spellStart"/>
            <w:r w:rsidRPr="00CC72E5">
              <w:rPr>
                <w:color w:val="000000"/>
                <w:sz w:val="22"/>
                <w:szCs w:val="32"/>
                <w:lang w:val="de-DE" w:eastAsia="de-DE"/>
              </w:rPr>
              <w:t>revision</w:t>
            </w:r>
            <w:proofErr w:type="spellEnd"/>
          </w:p>
        </w:tc>
        <w:tc>
          <w:tcPr>
            <w:tcW w:w="2223" w:type="dxa"/>
            <w:tcBorders>
              <w:top w:val="nil"/>
              <w:left w:val="single" w:sz="4" w:space="0" w:color="auto"/>
              <w:bottom w:val="single" w:sz="4" w:space="0" w:color="auto"/>
              <w:right w:val="nil"/>
            </w:tcBorders>
            <w:shd w:val="clear" w:color="000000" w:fill="FFFFFF"/>
            <w:noWrap/>
            <w:vAlign w:val="bottom"/>
            <w:hideMark/>
          </w:tcPr>
          <w:p w14:paraId="29D00072" w14:textId="77777777" w:rsidR="00CC72E5" w:rsidRPr="00CC72E5" w:rsidRDefault="00CC72E5" w:rsidP="00CC72E5">
            <w:pPr>
              <w:spacing w:after="0"/>
              <w:jc w:val="right"/>
              <w:rPr>
                <w:color w:val="000000"/>
                <w:sz w:val="22"/>
                <w:szCs w:val="32"/>
                <w:lang w:val="de-DE" w:eastAsia="de-DE"/>
              </w:rPr>
            </w:pPr>
            <w:r w:rsidRPr="00CC72E5">
              <w:rPr>
                <w:color w:val="000000"/>
                <w:sz w:val="22"/>
                <w:szCs w:val="32"/>
                <w:lang w:val="de-DE" w:eastAsia="de-DE"/>
              </w:rPr>
              <w:t>max. 66,7 %</w:t>
            </w:r>
          </w:p>
        </w:tc>
        <w:tc>
          <w:tcPr>
            <w:tcW w:w="1801" w:type="dxa"/>
            <w:tcBorders>
              <w:top w:val="nil"/>
              <w:left w:val="single" w:sz="4" w:space="0" w:color="auto"/>
              <w:bottom w:val="single" w:sz="4" w:space="0" w:color="auto"/>
              <w:right w:val="single" w:sz="4" w:space="0" w:color="auto"/>
            </w:tcBorders>
            <w:shd w:val="clear" w:color="000000" w:fill="FFFFFF"/>
            <w:noWrap/>
            <w:vAlign w:val="bottom"/>
            <w:hideMark/>
          </w:tcPr>
          <w:p w14:paraId="2BADE224" w14:textId="77777777" w:rsidR="00CC72E5" w:rsidRPr="00CC72E5" w:rsidRDefault="00CC72E5" w:rsidP="00CC72E5">
            <w:pPr>
              <w:spacing w:after="0"/>
              <w:jc w:val="center"/>
              <w:rPr>
                <w:color w:val="000000"/>
                <w:sz w:val="22"/>
                <w:szCs w:val="32"/>
                <w:lang w:val="de-DE" w:eastAsia="de-DE"/>
              </w:rPr>
            </w:pPr>
            <w:r w:rsidRPr="00CC72E5">
              <w:rPr>
                <w:color w:val="000000"/>
                <w:sz w:val="22"/>
                <w:szCs w:val="32"/>
                <w:lang w:val="de-DE" w:eastAsia="de-DE"/>
              </w:rPr>
              <w:t>0,688</w:t>
            </w:r>
          </w:p>
        </w:tc>
        <w:tc>
          <w:tcPr>
            <w:tcW w:w="2082" w:type="dxa"/>
            <w:tcBorders>
              <w:top w:val="nil"/>
              <w:left w:val="nil"/>
              <w:bottom w:val="single" w:sz="4" w:space="0" w:color="auto"/>
              <w:right w:val="single" w:sz="4" w:space="0" w:color="auto"/>
            </w:tcBorders>
            <w:shd w:val="clear" w:color="000000" w:fill="FFFFFF"/>
            <w:noWrap/>
            <w:vAlign w:val="bottom"/>
            <w:hideMark/>
          </w:tcPr>
          <w:p w14:paraId="48C958EB" w14:textId="77777777" w:rsidR="00CC72E5" w:rsidRPr="00CC72E5" w:rsidRDefault="00CC72E5" w:rsidP="00CC72E5">
            <w:pPr>
              <w:spacing w:after="0"/>
              <w:jc w:val="center"/>
              <w:rPr>
                <w:color w:val="000000"/>
                <w:sz w:val="22"/>
                <w:szCs w:val="32"/>
                <w:lang w:val="de-DE" w:eastAsia="de-DE"/>
              </w:rPr>
            </w:pPr>
            <w:r w:rsidRPr="00CC72E5">
              <w:rPr>
                <w:color w:val="000000"/>
                <w:sz w:val="22"/>
                <w:szCs w:val="32"/>
                <w:lang w:val="de-DE" w:eastAsia="de-DE"/>
              </w:rPr>
              <w:t>0,563</w:t>
            </w:r>
          </w:p>
        </w:tc>
      </w:tr>
      <w:tr w:rsidR="00CC72E5" w:rsidRPr="00CC72E5" w14:paraId="5D449043" w14:textId="77777777" w:rsidTr="00CC72E5">
        <w:trPr>
          <w:trHeight w:val="115"/>
        </w:trPr>
        <w:tc>
          <w:tcPr>
            <w:tcW w:w="8593" w:type="dxa"/>
            <w:gridSpan w:val="4"/>
            <w:tcBorders>
              <w:top w:val="single" w:sz="4" w:space="0" w:color="auto"/>
              <w:left w:val="nil"/>
              <w:bottom w:val="nil"/>
              <w:right w:val="nil"/>
            </w:tcBorders>
            <w:shd w:val="clear" w:color="000000" w:fill="FFFFFF"/>
            <w:vAlign w:val="bottom"/>
            <w:hideMark/>
          </w:tcPr>
          <w:p w14:paraId="10E5DC64" w14:textId="77777777" w:rsidR="00CC72E5" w:rsidRPr="00CC72E5" w:rsidRDefault="00CC72E5" w:rsidP="00CC72E5">
            <w:pPr>
              <w:spacing w:after="0"/>
              <w:jc w:val="left"/>
              <w:rPr>
                <w:color w:val="000000"/>
                <w:sz w:val="18"/>
                <w:szCs w:val="22"/>
                <w:lang w:val="de-DE" w:eastAsia="de-DE"/>
              </w:rPr>
            </w:pPr>
            <w:r w:rsidRPr="00CC72E5">
              <w:rPr>
                <w:color w:val="000000"/>
                <w:sz w:val="18"/>
                <w:szCs w:val="22"/>
                <w:lang w:val="de-DE" w:eastAsia="de-DE"/>
              </w:rPr>
              <w:t xml:space="preserve">Note: GDP </w:t>
            </w:r>
            <w:proofErr w:type="spellStart"/>
            <w:r w:rsidRPr="00CC72E5">
              <w:rPr>
                <w:color w:val="000000"/>
                <w:sz w:val="18"/>
                <w:szCs w:val="22"/>
                <w:lang w:val="de-DE" w:eastAsia="de-DE"/>
              </w:rPr>
              <w:t>growth</w:t>
            </w:r>
            <w:proofErr w:type="spellEnd"/>
            <w:r w:rsidRPr="00CC72E5">
              <w:rPr>
                <w:color w:val="000000"/>
                <w:sz w:val="18"/>
                <w:szCs w:val="22"/>
                <w:lang w:val="de-DE" w:eastAsia="de-DE"/>
              </w:rPr>
              <w:t xml:space="preserve"> rate </w:t>
            </w:r>
            <w:proofErr w:type="spellStart"/>
            <w:r w:rsidRPr="00CC72E5">
              <w:rPr>
                <w:color w:val="000000"/>
                <w:sz w:val="18"/>
                <w:szCs w:val="22"/>
                <w:lang w:val="de-DE" w:eastAsia="de-DE"/>
              </w:rPr>
              <w:t>yoy</w:t>
            </w:r>
            <w:proofErr w:type="spellEnd"/>
            <w:r w:rsidRPr="00CC72E5">
              <w:rPr>
                <w:color w:val="000000"/>
                <w:sz w:val="18"/>
                <w:szCs w:val="22"/>
                <w:lang w:val="de-DE" w:eastAsia="de-DE"/>
              </w:rPr>
              <w:t xml:space="preserve">. Time </w:t>
            </w:r>
            <w:proofErr w:type="spellStart"/>
            <w:r w:rsidRPr="00CC72E5">
              <w:rPr>
                <w:color w:val="000000"/>
                <w:sz w:val="18"/>
                <w:szCs w:val="22"/>
                <w:lang w:val="de-DE" w:eastAsia="de-DE"/>
              </w:rPr>
              <w:t>horizon</w:t>
            </w:r>
            <w:proofErr w:type="spellEnd"/>
            <w:r w:rsidRPr="00CC72E5">
              <w:rPr>
                <w:color w:val="000000"/>
                <w:sz w:val="18"/>
                <w:szCs w:val="22"/>
                <w:lang w:val="de-DE" w:eastAsia="de-DE"/>
              </w:rPr>
              <w:t xml:space="preserve">: 16 </w:t>
            </w:r>
            <w:proofErr w:type="spellStart"/>
            <w:r w:rsidRPr="00CC72E5">
              <w:rPr>
                <w:color w:val="000000"/>
                <w:sz w:val="18"/>
                <w:szCs w:val="22"/>
                <w:lang w:val="de-DE" w:eastAsia="de-DE"/>
              </w:rPr>
              <w:t>Quarters</w:t>
            </w:r>
            <w:proofErr w:type="spellEnd"/>
            <w:r w:rsidRPr="00CC72E5">
              <w:rPr>
                <w:color w:val="000000"/>
                <w:sz w:val="18"/>
                <w:szCs w:val="22"/>
                <w:lang w:val="de-DE" w:eastAsia="de-DE"/>
              </w:rPr>
              <w:t xml:space="preserve"> </w:t>
            </w:r>
            <w:proofErr w:type="spellStart"/>
            <w:r w:rsidRPr="00CC72E5">
              <w:rPr>
                <w:color w:val="000000"/>
                <w:sz w:val="18"/>
                <w:szCs w:val="22"/>
                <w:lang w:val="de-DE" w:eastAsia="de-DE"/>
              </w:rPr>
              <w:t>comprising</w:t>
            </w:r>
            <w:proofErr w:type="spellEnd"/>
            <w:r w:rsidRPr="00CC72E5">
              <w:rPr>
                <w:color w:val="000000"/>
                <w:sz w:val="18"/>
                <w:szCs w:val="22"/>
                <w:lang w:val="de-DE" w:eastAsia="de-DE"/>
              </w:rPr>
              <w:t xml:space="preserve"> 2016 Q1 </w:t>
            </w:r>
            <w:proofErr w:type="spellStart"/>
            <w:r w:rsidRPr="00CC72E5">
              <w:rPr>
                <w:color w:val="000000"/>
                <w:sz w:val="18"/>
                <w:szCs w:val="22"/>
                <w:lang w:val="de-DE" w:eastAsia="de-DE"/>
              </w:rPr>
              <w:t>till</w:t>
            </w:r>
            <w:proofErr w:type="spellEnd"/>
            <w:r w:rsidRPr="00CC72E5">
              <w:rPr>
                <w:color w:val="000000"/>
                <w:sz w:val="18"/>
                <w:szCs w:val="22"/>
                <w:lang w:val="de-DE" w:eastAsia="de-DE"/>
              </w:rPr>
              <w:t xml:space="preserve"> 2019 Q4. </w:t>
            </w:r>
            <w:proofErr w:type="spellStart"/>
            <w:r w:rsidRPr="00CC72E5">
              <w:rPr>
                <w:color w:val="000000"/>
                <w:sz w:val="18"/>
                <w:szCs w:val="22"/>
                <w:lang w:val="de-DE" w:eastAsia="de-DE"/>
              </w:rPr>
              <w:t>Econometric</w:t>
            </w:r>
            <w:proofErr w:type="spellEnd"/>
            <w:r w:rsidRPr="00CC72E5">
              <w:rPr>
                <w:color w:val="000000"/>
                <w:sz w:val="18"/>
                <w:szCs w:val="22"/>
                <w:lang w:val="de-DE" w:eastAsia="de-DE"/>
              </w:rPr>
              <w:t xml:space="preserve"> </w:t>
            </w:r>
            <w:proofErr w:type="spellStart"/>
            <w:r w:rsidRPr="00CC72E5">
              <w:rPr>
                <w:color w:val="000000"/>
                <w:sz w:val="18"/>
                <w:szCs w:val="22"/>
                <w:lang w:val="de-DE" w:eastAsia="de-DE"/>
              </w:rPr>
              <w:t>Modelling</w:t>
            </w:r>
            <w:proofErr w:type="spellEnd"/>
            <w:r w:rsidRPr="00CC72E5">
              <w:rPr>
                <w:color w:val="000000"/>
                <w:sz w:val="18"/>
                <w:szCs w:val="22"/>
                <w:lang w:val="de-DE" w:eastAsia="de-DE"/>
              </w:rPr>
              <w:t>: Bridge Models.</w:t>
            </w:r>
          </w:p>
        </w:tc>
      </w:tr>
    </w:tbl>
    <w:p w14:paraId="32B0D6DD" w14:textId="77777777" w:rsidR="009B6EDE" w:rsidRDefault="00CC72E5" w:rsidP="009B6EDE">
      <w:pPr>
        <w:rPr>
          <w:bCs/>
          <w:szCs w:val="24"/>
          <w:lang w:val="en-US"/>
        </w:rPr>
      </w:pPr>
      <w:r>
        <w:rPr>
          <w:bCs/>
          <w:szCs w:val="24"/>
          <w:lang w:val="en-US"/>
        </w:rPr>
        <w:br/>
      </w:r>
      <w:r w:rsidR="00A94DD1">
        <w:rPr>
          <w:bCs/>
          <w:szCs w:val="24"/>
          <w:lang w:val="en-US"/>
        </w:rPr>
        <w:t xml:space="preserve">Table 1 shows the quality assessment of </w:t>
      </w:r>
      <w:r w:rsidR="007F7E61">
        <w:rPr>
          <w:bCs/>
          <w:szCs w:val="24"/>
          <w:lang w:val="en-US"/>
        </w:rPr>
        <w:t xml:space="preserve">the German t+10 GDP </w:t>
      </w:r>
      <w:proofErr w:type="spellStart"/>
      <w:r w:rsidR="000B56CF">
        <w:rPr>
          <w:bCs/>
          <w:szCs w:val="24"/>
          <w:lang w:val="en-US"/>
        </w:rPr>
        <w:t>n</w:t>
      </w:r>
      <w:r w:rsidR="00A94DD1">
        <w:rPr>
          <w:bCs/>
          <w:szCs w:val="24"/>
          <w:lang w:val="en-US"/>
        </w:rPr>
        <w:t>owcast</w:t>
      </w:r>
      <w:proofErr w:type="spellEnd"/>
      <w:r w:rsidR="00A94DD1">
        <w:rPr>
          <w:bCs/>
          <w:szCs w:val="24"/>
          <w:lang w:val="en-US"/>
        </w:rPr>
        <w:t xml:space="preserve"> using bridge models compared to the </w:t>
      </w:r>
      <w:r w:rsidR="007F7E61">
        <w:rPr>
          <w:bCs/>
          <w:szCs w:val="24"/>
          <w:lang w:val="en-US"/>
        </w:rPr>
        <w:t xml:space="preserve">t+30 </w:t>
      </w:r>
      <w:r w:rsidR="00A94DD1">
        <w:rPr>
          <w:bCs/>
          <w:szCs w:val="24"/>
          <w:lang w:val="en-US"/>
        </w:rPr>
        <w:t xml:space="preserve">GDP flash estimate </w:t>
      </w:r>
      <w:r w:rsidR="0098757A">
        <w:rPr>
          <w:bCs/>
          <w:szCs w:val="24"/>
          <w:lang w:val="en-US"/>
        </w:rPr>
        <w:t>and their revision</w:t>
      </w:r>
      <w:r w:rsidR="007F7E61">
        <w:rPr>
          <w:bCs/>
          <w:szCs w:val="24"/>
          <w:lang w:val="en-US"/>
        </w:rPr>
        <w:t>s</w:t>
      </w:r>
      <w:r w:rsidR="0098757A">
        <w:rPr>
          <w:bCs/>
          <w:szCs w:val="24"/>
          <w:lang w:val="en-US"/>
        </w:rPr>
        <w:t xml:space="preserve"> to the GDP </w:t>
      </w:r>
      <w:r w:rsidR="00913842">
        <w:rPr>
          <w:bCs/>
          <w:szCs w:val="24"/>
          <w:lang w:val="en-US"/>
        </w:rPr>
        <w:t xml:space="preserve">released </w:t>
      </w:r>
      <w:r w:rsidR="0098757A">
        <w:rPr>
          <w:bCs/>
          <w:szCs w:val="24"/>
          <w:lang w:val="en-US"/>
        </w:rPr>
        <w:t>at t+45 days</w:t>
      </w:r>
      <w:r w:rsidR="00913842">
        <w:rPr>
          <w:bCs/>
          <w:szCs w:val="24"/>
          <w:lang w:val="en-US"/>
        </w:rPr>
        <w:t xml:space="preserve"> after the end of the reference quarter</w:t>
      </w:r>
      <w:r w:rsidR="00A94DD1">
        <w:rPr>
          <w:bCs/>
          <w:szCs w:val="24"/>
          <w:lang w:val="en-US"/>
        </w:rPr>
        <w:t>.</w:t>
      </w:r>
      <w:r w:rsidR="001B3B35">
        <w:rPr>
          <w:bCs/>
          <w:szCs w:val="24"/>
          <w:lang w:val="en-US"/>
        </w:rPr>
        <w:t xml:space="preserve"> While the GDP flash estimate fulfills </w:t>
      </w:r>
      <w:r w:rsidR="001B27F7">
        <w:rPr>
          <w:bCs/>
          <w:szCs w:val="24"/>
          <w:lang w:val="en-US"/>
        </w:rPr>
        <w:t xml:space="preserve">the three </w:t>
      </w:r>
      <w:r w:rsidR="00913842">
        <w:rPr>
          <w:bCs/>
          <w:szCs w:val="24"/>
          <w:lang w:val="en-US"/>
        </w:rPr>
        <w:t xml:space="preserve">European accuracy </w:t>
      </w:r>
      <w:r w:rsidR="001B27F7">
        <w:rPr>
          <w:bCs/>
          <w:szCs w:val="24"/>
          <w:lang w:val="en-US"/>
        </w:rPr>
        <w:t xml:space="preserve">criteria, the GDP </w:t>
      </w:r>
      <w:proofErr w:type="spellStart"/>
      <w:r w:rsidR="000B56CF">
        <w:rPr>
          <w:bCs/>
          <w:szCs w:val="24"/>
          <w:lang w:val="en-US"/>
        </w:rPr>
        <w:t>n</w:t>
      </w:r>
      <w:r w:rsidR="001B27F7">
        <w:rPr>
          <w:bCs/>
          <w:szCs w:val="24"/>
          <w:lang w:val="en-US"/>
        </w:rPr>
        <w:t>owcast</w:t>
      </w:r>
      <w:proofErr w:type="spellEnd"/>
      <w:r w:rsidR="001B27F7">
        <w:rPr>
          <w:bCs/>
          <w:szCs w:val="24"/>
          <w:lang w:val="en-US"/>
        </w:rPr>
        <w:t xml:space="preserve"> does not. </w:t>
      </w:r>
      <w:r w:rsidR="00913842">
        <w:rPr>
          <w:bCs/>
          <w:szCs w:val="24"/>
          <w:lang w:val="en-US"/>
        </w:rPr>
        <w:t>It</w:t>
      </w:r>
      <w:r w:rsidR="007B3BE6">
        <w:rPr>
          <w:bCs/>
          <w:szCs w:val="24"/>
          <w:lang w:val="en-US"/>
        </w:rPr>
        <w:t xml:space="preserve"> nearly fulfills </w:t>
      </w:r>
      <w:r w:rsidR="00241B90">
        <w:rPr>
          <w:bCs/>
          <w:szCs w:val="24"/>
          <w:lang w:val="en-US"/>
        </w:rPr>
        <w:t xml:space="preserve">two of </w:t>
      </w:r>
      <w:r w:rsidR="00241B90">
        <w:rPr>
          <w:bCs/>
          <w:szCs w:val="24"/>
          <w:lang w:val="en-US"/>
        </w:rPr>
        <w:lastRenderedPageBreak/>
        <w:t xml:space="preserve">the three </w:t>
      </w:r>
      <w:r w:rsidR="007B3BE6">
        <w:rPr>
          <w:bCs/>
          <w:szCs w:val="24"/>
          <w:lang w:val="en-US"/>
        </w:rPr>
        <w:t>criteri</w:t>
      </w:r>
      <w:r w:rsidR="00241B90">
        <w:rPr>
          <w:bCs/>
          <w:szCs w:val="24"/>
          <w:lang w:val="en-US"/>
        </w:rPr>
        <w:t>a.</w:t>
      </w:r>
      <w:r w:rsidR="001B27F7">
        <w:rPr>
          <w:bCs/>
          <w:szCs w:val="24"/>
          <w:lang w:val="en-US"/>
        </w:rPr>
        <w:t xml:space="preserve"> </w:t>
      </w:r>
      <w:r w:rsidR="00913842">
        <w:rPr>
          <w:bCs/>
          <w:szCs w:val="24"/>
          <w:lang w:val="en-US"/>
        </w:rPr>
        <w:t>The m</w:t>
      </w:r>
      <w:r w:rsidR="003C0A15">
        <w:rPr>
          <w:bCs/>
          <w:szCs w:val="24"/>
          <w:lang w:val="en-US"/>
        </w:rPr>
        <w:t>ean revision and share of r</w:t>
      </w:r>
      <w:r w:rsidR="00241B90">
        <w:rPr>
          <w:bCs/>
          <w:szCs w:val="24"/>
          <w:lang w:val="en-US"/>
        </w:rPr>
        <w:t>evision</w:t>
      </w:r>
      <w:r w:rsidR="00913842">
        <w:rPr>
          <w:bCs/>
          <w:szCs w:val="24"/>
          <w:lang w:val="en-US"/>
        </w:rPr>
        <w:t>s</w:t>
      </w:r>
      <w:r w:rsidR="00241B90">
        <w:rPr>
          <w:bCs/>
          <w:szCs w:val="24"/>
          <w:lang w:val="en-US"/>
        </w:rPr>
        <w:t xml:space="preserve"> in one direction are almost satisfied whereas </w:t>
      </w:r>
      <w:r w:rsidR="00913842">
        <w:rPr>
          <w:bCs/>
          <w:szCs w:val="24"/>
          <w:lang w:val="en-US"/>
        </w:rPr>
        <w:t xml:space="preserve">the </w:t>
      </w:r>
      <w:r w:rsidR="00241B90">
        <w:rPr>
          <w:bCs/>
          <w:szCs w:val="24"/>
          <w:lang w:val="en-US"/>
        </w:rPr>
        <w:t>mean absolute revision deviates by more than 0.05 percentage points</w:t>
      </w:r>
      <w:r w:rsidR="003C0A15">
        <w:rPr>
          <w:bCs/>
          <w:szCs w:val="24"/>
          <w:lang w:val="en-US"/>
        </w:rPr>
        <w:t xml:space="preserve"> from its benchmark</w:t>
      </w:r>
      <w:r w:rsidR="00241B90">
        <w:rPr>
          <w:bCs/>
          <w:szCs w:val="24"/>
          <w:lang w:val="en-US"/>
        </w:rPr>
        <w:t>.</w:t>
      </w:r>
    </w:p>
    <w:p w14:paraId="15FA710D" w14:textId="51D9FC4C" w:rsidR="00BC6AFE" w:rsidRDefault="00BB6269" w:rsidP="009B6EDE">
      <w:pPr>
        <w:pStyle w:val="berschrift1"/>
      </w:pPr>
      <w:r>
        <w:rPr>
          <w:lang w:val="en-US"/>
        </w:rPr>
        <w:t>Conclusions</w:t>
      </w:r>
    </w:p>
    <w:p w14:paraId="43CFAEC7" w14:textId="10765611" w:rsidR="005A3D2A" w:rsidRDefault="005A3D2A" w:rsidP="009622C3">
      <w:r>
        <w:t xml:space="preserve">The paper explains the German approach of how the t+10 GDP </w:t>
      </w:r>
      <w:proofErr w:type="spellStart"/>
      <w:r>
        <w:t>nowcast</w:t>
      </w:r>
      <w:proofErr w:type="spellEnd"/>
      <w:r>
        <w:t xml:space="preserve"> is produced and how this early estimate differs from the traditional t+30 GDP flash estimate. Thereby, the paper shows the performance of the three different types of statistical models (bridge models, dynamic factor models and machine learning). It gives an overview on the data availability at t+10 days after the end of the reference quarter as well as on newly available indicators (business surveys and new digital data sources</w:t>
      </w:r>
      <w:r w:rsidR="00C92ED7">
        <w:t xml:space="preserve"> such as flight transport data, electricity production, weather data or preliminary VAT returns</w:t>
      </w:r>
      <w:r>
        <w:t>) and their feasibility for GDP estimates. Finally, it briefly looks ahead at possible future developments regarding German national accounts estimates.</w:t>
      </w:r>
      <w:r w:rsidR="00C92ED7">
        <w:t xml:space="preserve"> For instance, </w:t>
      </w:r>
      <w:r w:rsidR="00C92ED7" w:rsidRPr="00C92ED7">
        <w:t>the development of new early economic indicators (e.g. a new transportation index enhancing the truck toll mileage index or a project on financial transaction d</w:t>
      </w:r>
      <w:r w:rsidR="005E06EA">
        <w:t>ata) are going to play an import</w:t>
      </w:r>
      <w:r w:rsidR="00C92ED7" w:rsidRPr="00C92ED7">
        <w:t>ant role in enhancing GDP estimates for Germany.</w:t>
      </w:r>
    </w:p>
    <w:p w14:paraId="4ECD7D90" w14:textId="77777777" w:rsidR="00BC6AFE" w:rsidRDefault="00BC6AFE" w:rsidP="009B4EE0">
      <w:pPr>
        <w:pStyle w:val="berschrift1"/>
        <w:numPr>
          <w:ilvl w:val="0"/>
          <w:numId w:val="0"/>
        </w:numPr>
        <w:ind w:left="480" w:hanging="480"/>
      </w:pPr>
      <w:r>
        <w:t>References</w:t>
      </w:r>
    </w:p>
    <w:p w14:paraId="3C56E3BD" w14:textId="77777777" w:rsidR="004730B5" w:rsidRDefault="004730B5" w:rsidP="009B4EE0">
      <w:pPr>
        <w:pStyle w:val="Text1"/>
        <w:numPr>
          <w:ilvl w:val="0"/>
          <w:numId w:val="20"/>
        </w:numPr>
        <w:ind w:left="357" w:hanging="357"/>
      </w:pPr>
      <w:r w:rsidRPr="00C94B00">
        <w:t xml:space="preserve">X. Dickopf, C. Janz and T. Mucha, Moving From GDP Flash Estimates to GDP </w:t>
      </w:r>
      <w:proofErr w:type="spellStart"/>
      <w:r w:rsidRPr="00C94B00">
        <w:t>Nowcasts</w:t>
      </w:r>
      <w:proofErr w:type="spellEnd"/>
      <w:r w:rsidRPr="00C94B00">
        <w:t xml:space="preserve">: First Results of a Feasibility Study </w:t>
      </w:r>
      <w:proofErr w:type="gramStart"/>
      <w:r w:rsidRPr="00C94B00">
        <w:t>to Further Accelerate</w:t>
      </w:r>
      <w:proofErr w:type="gramEnd"/>
      <w:r w:rsidRPr="00C94B00">
        <w:t xml:space="preserve"> Early GDP Estimation, WISTA 6 (2019), 47-58. </w:t>
      </w:r>
    </w:p>
    <w:p w14:paraId="6C6BAF1C" w14:textId="77777777" w:rsidR="003916F2" w:rsidRDefault="003916F2" w:rsidP="009B4EE0">
      <w:pPr>
        <w:pStyle w:val="Text1"/>
        <w:numPr>
          <w:ilvl w:val="0"/>
          <w:numId w:val="20"/>
        </w:numPr>
        <w:ind w:left="357" w:hanging="357"/>
      </w:pPr>
      <w:r>
        <w:t xml:space="preserve">Eurostat, Overview of GDP flash estimation methods, Publications Office of the </w:t>
      </w:r>
      <w:r w:rsidRPr="00F95B83">
        <w:t xml:space="preserve">European Union (2016), 1-43. </w:t>
      </w:r>
    </w:p>
    <w:p w14:paraId="7A29C320" w14:textId="41633308" w:rsidR="00822FFA" w:rsidRPr="00F95B83" w:rsidRDefault="00822FFA" w:rsidP="009B4EE0">
      <w:pPr>
        <w:pStyle w:val="Text1"/>
        <w:numPr>
          <w:ilvl w:val="0"/>
          <w:numId w:val="20"/>
        </w:numPr>
        <w:ind w:left="357" w:hanging="357"/>
      </w:pPr>
      <w:r>
        <w:t xml:space="preserve">J.H. Stock and M. W. Watson, Factor Models and Structural Vector </w:t>
      </w:r>
      <w:proofErr w:type="spellStart"/>
      <w:r>
        <w:t>Autoregressions</w:t>
      </w:r>
      <w:proofErr w:type="spellEnd"/>
      <w:r>
        <w:t>,</w:t>
      </w:r>
      <w:r w:rsidRPr="00822FFA">
        <w:t xml:space="preserve"> </w:t>
      </w:r>
      <w:r>
        <w:t xml:space="preserve">in: J. B. Taylor &amp; Harald </w:t>
      </w:r>
      <w:proofErr w:type="spellStart"/>
      <w:r>
        <w:t>Uhlig</w:t>
      </w:r>
      <w:proofErr w:type="spellEnd"/>
      <w:r>
        <w:t xml:space="preserve"> (ed.),</w:t>
      </w:r>
      <w:r w:rsidR="001F7688">
        <w:t xml:space="preserve"> </w:t>
      </w:r>
      <w:r w:rsidRPr="00D05022">
        <w:t>Handbook of Macroeconomics</w:t>
      </w:r>
      <w:r>
        <w:t>, edition 1, volume 2</w:t>
      </w:r>
      <w:r w:rsidR="001F7688">
        <w:t>, 4</w:t>
      </w:r>
      <w:r>
        <w:t>15-525</w:t>
      </w:r>
      <w:r w:rsidR="001F7688">
        <w:t>.</w:t>
      </w:r>
      <w:r>
        <w:t xml:space="preserve"> </w:t>
      </w:r>
    </w:p>
    <w:p w14:paraId="2F2F8981" w14:textId="77777777" w:rsidR="00127067" w:rsidRDefault="00EE0349" w:rsidP="009B4EE0">
      <w:pPr>
        <w:pStyle w:val="Text1"/>
        <w:numPr>
          <w:ilvl w:val="0"/>
          <w:numId w:val="20"/>
        </w:numPr>
        <w:ind w:left="357" w:hanging="357"/>
      </w:pPr>
      <w:r w:rsidRPr="00F95B83">
        <w:t>German Economic Council of Economic Experts</w:t>
      </w:r>
      <w:r w:rsidR="005B4EA5" w:rsidRPr="00F95B83">
        <w:t xml:space="preserve">, </w:t>
      </w:r>
      <w:r w:rsidR="00EE17CB" w:rsidRPr="00F95B83">
        <w:t xml:space="preserve">Den </w:t>
      </w:r>
      <w:proofErr w:type="spellStart"/>
      <w:r w:rsidR="00EE17CB" w:rsidRPr="00F95B83">
        <w:t>Strukturwandel</w:t>
      </w:r>
      <w:proofErr w:type="spellEnd"/>
      <w:r w:rsidR="00EE17CB" w:rsidRPr="00F95B83">
        <w:t xml:space="preserve"> </w:t>
      </w:r>
      <w:proofErr w:type="spellStart"/>
      <w:r w:rsidR="00EE17CB" w:rsidRPr="00F95B83">
        <w:t>meistern</w:t>
      </w:r>
      <w:proofErr w:type="spellEnd"/>
      <w:r w:rsidR="00EE17CB" w:rsidRPr="00F95B83">
        <w:t xml:space="preserve">, </w:t>
      </w:r>
      <w:proofErr w:type="spellStart"/>
      <w:r w:rsidR="00EE17CB" w:rsidRPr="00F95B83">
        <w:t>Jahresgutachten</w:t>
      </w:r>
      <w:proofErr w:type="spellEnd"/>
      <w:r w:rsidR="00EE17CB" w:rsidRPr="00F95B83">
        <w:t xml:space="preserve"> 19/20</w:t>
      </w:r>
      <w:r w:rsidR="009B4EE0" w:rsidRPr="00F95B83">
        <w:t xml:space="preserve">, </w:t>
      </w:r>
      <w:r w:rsidR="00EE17CB" w:rsidRPr="00F95B83">
        <w:t>54-55</w:t>
      </w:r>
      <w:r w:rsidR="009B4EE0" w:rsidRPr="00F95B83">
        <w:t>.</w:t>
      </w:r>
    </w:p>
    <w:p w14:paraId="14A8FA28" w14:textId="6BA37CF9" w:rsidR="004730B5" w:rsidRPr="00CC552E" w:rsidRDefault="00857036" w:rsidP="00CC552E">
      <w:pPr>
        <w:pStyle w:val="Text1"/>
        <w:numPr>
          <w:ilvl w:val="0"/>
          <w:numId w:val="20"/>
        </w:numPr>
        <w:ind w:left="357" w:hanging="357"/>
      </w:pPr>
      <w:r w:rsidRPr="00F95B83">
        <w:t xml:space="preserve">Eurostat, </w:t>
      </w:r>
      <w:r>
        <w:t>Euro area and European Union GDP flash estimates at 30 days</w:t>
      </w:r>
      <w:r w:rsidRPr="00F95B83">
        <w:t>, Publications Office of the European</w:t>
      </w:r>
      <w:r>
        <w:t xml:space="preserve"> </w:t>
      </w:r>
      <w:r w:rsidRPr="00F95B83">
        <w:t>Union</w:t>
      </w:r>
      <w:r>
        <w:t xml:space="preserve"> (2016), 1-36.</w:t>
      </w:r>
    </w:p>
    <w:sectPr w:rsidR="004730B5" w:rsidRPr="00CC552E" w:rsidSect="00BC6AFE">
      <w:footerReference w:type="default" r:id="rId11"/>
      <w:headerReference w:type="first" r:id="rId12"/>
      <w:footerReference w:type="first" r:id="rId13"/>
      <w:pgSz w:w="11906" w:h="16838" w:code="9"/>
      <w:pgMar w:top="1021" w:right="1701" w:bottom="1021" w:left="1588" w:header="601" w:footer="10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A6C28" w14:textId="77777777" w:rsidR="009622C3" w:rsidRDefault="009622C3" w:rsidP="00BC6AFE">
      <w:pPr>
        <w:spacing w:after="0"/>
      </w:pPr>
      <w:r>
        <w:separator/>
      </w:r>
    </w:p>
  </w:endnote>
  <w:endnote w:type="continuationSeparator" w:id="0">
    <w:p w14:paraId="0C34779A" w14:textId="77777777" w:rsidR="009622C3" w:rsidRDefault="009622C3" w:rsidP="00BC6A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5A52D" w14:textId="69197042" w:rsidR="00D24082" w:rsidRDefault="00D24082">
    <w:pPr>
      <w:pStyle w:val="Fuzeile"/>
      <w:jc w:val="center"/>
    </w:pPr>
    <w:r>
      <w:fldChar w:fldCharType="begin"/>
    </w:r>
    <w:r>
      <w:instrText>PAGE</w:instrText>
    </w:r>
    <w:r>
      <w:fldChar w:fldCharType="separate"/>
    </w:r>
    <w:r w:rsidR="00E0355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26B45" w14:textId="77777777" w:rsidR="00D24082" w:rsidRDefault="00D24082">
    <w:pPr>
      <w:pStyle w:val="Fuzeile"/>
      <w:rPr>
        <w:sz w:val="24"/>
        <w:szCs w:val="24"/>
      </w:rPr>
    </w:pPr>
  </w:p>
  <w:p w14:paraId="061A1EBF" w14:textId="77777777" w:rsidR="00D24082" w:rsidRDefault="00D24082">
    <w:pPr>
      <w:pStyle w:val="Fuzeile"/>
    </w:pPr>
    <w:r w:rsidRPr="00BC6AFE">
      <w:rPr>
        <w:lang w:val="fr-FR"/>
      </w:rPr>
      <w:t xml:space="preserve">Commission européenne, 2920 Luxembourg, LUXEMBOURG - Tel. </w:t>
    </w:r>
    <w:r>
      <w:t>+352 43011</w:t>
    </w:r>
    <w:r>
      <w:rPr>
        <w:noProof/>
      </w:rPr>
      <w:br/>
      <w:t>Office: BECH A2/160 - Tel. direct line +352 4301-+352-4301-35934 - Fax +352 4301-+352-4301-33899</w:t>
    </w:r>
  </w:p>
  <w:p w14:paraId="331A3AD0" w14:textId="77777777" w:rsidR="00D24082" w:rsidRDefault="00D24082">
    <w:pPr>
      <w:pStyle w:val="Fuzeile"/>
    </w:pPr>
  </w:p>
  <w:p w14:paraId="104F0499" w14:textId="77777777" w:rsidR="00D24082" w:rsidRDefault="00D24082">
    <w:pPr>
      <w:pStyle w:val="Fuzeile"/>
    </w:pPr>
    <w:r>
      <w:t>http://epp.eurostat.ec.europa.eu</w:t>
    </w:r>
  </w:p>
  <w:p w14:paraId="42701C8D" w14:textId="77777777" w:rsidR="00D24082" w:rsidRDefault="00D24082">
    <w:pPr>
      <w:pStyle w:val="Fuzeile"/>
    </w:pPr>
    <w:r>
      <w:t>Martin.Karlberg@ec.europa.eu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FCA91" w14:textId="77777777" w:rsidR="009622C3" w:rsidRDefault="009622C3" w:rsidP="00BC6AFE">
      <w:pPr>
        <w:spacing w:after="0"/>
      </w:pPr>
      <w:r>
        <w:separator/>
      </w:r>
    </w:p>
  </w:footnote>
  <w:footnote w:type="continuationSeparator" w:id="0">
    <w:p w14:paraId="243CE1D8" w14:textId="77777777" w:rsidR="009622C3" w:rsidRDefault="009622C3" w:rsidP="00BC6A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B49C6" w14:textId="77777777" w:rsidR="00D24082" w:rsidRDefault="00D24082">
    <w:pPr>
      <w:pStyle w:val="Kopfzeil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ennumm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BDD514D"/>
    <w:multiLevelType w:val="hybridMultilevel"/>
    <w:tmpl w:val="69460624"/>
    <w:lvl w:ilvl="0" w:tplc="74323EDA">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62685D"/>
    <w:multiLevelType w:val="singleLevel"/>
    <w:tmpl w:val="D96C95A2"/>
    <w:lvl w:ilvl="0">
      <w:start w:val="1"/>
      <w:numFmt w:val="bullet"/>
      <w:pStyle w:val="Aufzhlungszeichen4"/>
      <w:lvlText w:val=""/>
      <w:lvlJc w:val="left"/>
      <w:pPr>
        <w:tabs>
          <w:tab w:val="num" w:pos="3163"/>
        </w:tabs>
        <w:ind w:left="3163" w:hanging="283"/>
      </w:pPr>
      <w:rPr>
        <w:rFonts w:ascii="Symbol" w:hAnsi="Symbol"/>
      </w:rPr>
    </w:lvl>
  </w:abstractNum>
  <w:abstractNum w:abstractNumId="5" w15:restartNumberingAfterBreak="0">
    <w:nsid w:val="143D0A16"/>
    <w:multiLevelType w:val="singleLevel"/>
    <w:tmpl w:val="01FA5668"/>
    <w:lvl w:ilvl="0">
      <w:start w:val="1"/>
      <w:numFmt w:val="bullet"/>
      <w:pStyle w:val="Aufzhlungszeichen3"/>
      <w:lvlText w:val=""/>
      <w:lvlJc w:val="left"/>
      <w:pPr>
        <w:tabs>
          <w:tab w:val="num" w:pos="2199"/>
        </w:tabs>
        <w:ind w:left="2199" w:hanging="283"/>
      </w:pPr>
      <w:rPr>
        <w:rFonts w:ascii="Symbol" w:hAnsi="Symbol"/>
      </w:rPr>
    </w:lvl>
  </w:abstractNum>
  <w:abstractNum w:abstractNumId="6"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7" w15:restartNumberingAfterBreak="0">
    <w:nsid w:val="2C8D5AD3"/>
    <w:multiLevelType w:val="singleLevel"/>
    <w:tmpl w:val="82EE6B70"/>
    <w:lvl w:ilvl="0">
      <w:start w:val="1"/>
      <w:numFmt w:val="bullet"/>
      <w:pStyle w:val="Aufzhlungszeichen2"/>
      <w:lvlText w:val=""/>
      <w:lvlJc w:val="left"/>
      <w:pPr>
        <w:tabs>
          <w:tab w:val="num" w:pos="1360"/>
        </w:tabs>
        <w:ind w:left="1360" w:hanging="283"/>
      </w:pPr>
      <w:rPr>
        <w:rFonts w:ascii="Symbol" w:hAnsi="Symbol"/>
      </w:rPr>
    </w:lvl>
  </w:abstractNum>
  <w:abstractNum w:abstractNumId="8" w15:restartNumberingAfterBreak="0">
    <w:nsid w:val="30E9077F"/>
    <w:multiLevelType w:val="hybridMultilevel"/>
    <w:tmpl w:val="94BEA95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0" w15:restartNumberingAfterBreak="0">
    <w:nsid w:val="428415E7"/>
    <w:multiLevelType w:val="multilevel"/>
    <w:tmpl w:val="92100ADA"/>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5481EA4"/>
    <w:multiLevelType w:val="multilevel"/>
    <w:tmpl w:val="28525E6E"/>
    <w:lvl w:ilvl="0">
      <w:start w:val="1"/>
      <w:numFmt w:val="decimal"/>
      <w:pStyle w:val="Listennumm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8860AAB"/>
    <w:multiLevelType w:val="multilevel"/>
    <w:tmpl w:val="E8744BD2"/>
    <w:lvl w:ilvl="0">
      <w:start w:val="1"/>
      <w:numFmt w:val="decimal"/>
      <w:pStyle w:val="Listennumm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432656"/>
    <w:multiLevelType w:val="multilevel"/>
    <w:tmpl w:val="AC885D7A"/>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600"/>
        </w:tabs>
        <w:ind w:left="600" w:hanging="600"/>
      </w:pPr>
    </w:lvl>
    <w:lvl w:ilvl="2">
      <w:start w:val="1"/>
      <w:numFmt w:val="decimal"/>
      <w:pStyle w:val="berschrift3"/>
      <w:lvlText w:val="%1.%2.%3."/>
      <w:lvlJc w:val="left"/>
      <w:pPr>
        <w:tabs>
          <w:tab w:val="num" w:pos="1920"/>
        </w:tabs>
        <w:ind w:left="1920" w:hanging="840"/>
      </w:pPr>
    </w:lvl>
    <w:lvl w:ilvl="3">
      <w:start w:val="1"/>
      <w:numFmt w:val="decimal"/>
      <w:pStyle w:val="berschrift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BD0BEC"/>
    <w:multiLevelType w:val="singleLevel"/>
    <w:tmpl w:val="72D6F376"/>
    <w:lvl w:ilvl="0">
      <w:start w:val="1"/>
      <w:numFmt w:val="bullet"/>
      <w:pStyle w:val="Aufzhlungszeichen"/>
      <w:lvlText w:val=""/>
      <w:lvlJc w:val="left"/>
      <w:pPr>
        <w:tabs>
          <w:tab w:val="num" w:pos="283"/>
        </w:tabs>
        <w:ind w:left="283" w:hanging="283"/>
      </w:pPr>
      <w:rPr>
        <w:rFonts w:ascii="Symbol" w:hAnsi="Symbol"/>
      </w:rPr>
    </w:lvl>
  </w:abstractNum>
  <w:abstractNum w:abstractNumId="1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
  </w:num>
  <w:num w:numId="2">
    <w:abstractNumId w:val="0"/>
  </w:num>
  <w:num w:numId="3">
    <w:abstractNumId w:val="14"/>
  </w:num>
  <w:num w:numId="4">
    <w:abstractNumId w:val="15"/>
  </w:num>
  <w:num w:numId="5">
    <w:abstractNumId w:val="9"/>
  </w:num>
  <w:num w:numId="6">
    <w:abstractNumId w:val="7"/>
  </w:num>
  <w:num w:numId="7">
    <w:abstractNumId w:val="5"/>
  </w:num>
  <w:num w:numId="8">
    <w:abstractNumId w:val="4"/>
  </w:num>
  <w:num w:numId="9">
    <w:abstractNumId w:val="16"/>
  </w:num>
  <w:num w:numId="10">
    <w:abstractNumId w:val="18"/>
  </w:num>
  <w:num w:numId="11">
    <w:abstractNumId w:val="17"/>
  </w:num>
  <w:num w:numId="12">
    <w:abstractNumId w:val="19"/>
  </w:num>
  <w:num w:numId="13">
    <w:abstractNumId w:val="6"/>
  </w:num>
  <w:num w:numId="14">
    <w:abstractNumId w:val="10"/>
  </w:num>
  <w:num w:numId="15">
    <w:abstractNumId w:val="12"/>
  </w:num>
  <w:num w:numId="16">
    <w:abstractNumId w:val="11"/>
  </w:num>
  <w:num w:numId="17">
    <w:abstractNumId w:val="2"/>
  </w:num>
  <w:num w:numId="18">
    <w:abstractNumId w:val="13"/>
  </w:num>
  <w:num w:numId="19">
    <w:abstractNumId w:val="14"/>
  </w:num>
  <w:num w:numId="20">
    <w:abstractNumId w:val="3"/>
  </w:num>
  <w:num w:numId="2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T"/>
  </w:docVars>
  <w:rsids>
    <w:rsidRoot w:val="009622C3"/>
    <w:rsid w:val="000642A1"/>
    <w:rsid w:val="000926E7"/>
    <w:rsid w:val="000942E6"/>
    <w:rsid w:val="000B56CF"/>
    <w:rsid w:val="000C200F"/>
    <w:rsid w:val="000D2FDC"/>
    <w:rsid w:val="000E69DB"/>
    <w:rsid w:val="000F4E8E"/>
    <w:rsid w:val="000F7438"/>
    <w:rsid w:val="00113739"/>
    <w:rsid w:val="00121FCB"/>
    <w:rsid w:val="00127067"/>
    <w:rsid w:val="00162C90"/>
    <w:rsid w:val="0016379F"/>
    <w:rsid w:val="001857CF"/>
    <w:rsid w:val="001B27F7"/>
    <w:rsid w:val="001B3B35"/>
    <w:rsid w:val="001B50CE"/>
    <w:rsid w:val="001B5B5D"/>
    <w:rsid w:val="001F7688"/>
    <w:rsid w:val="002012A8"/>
    <w:rsid w:val="0022243A"/>
    <w:rsid w:val="0022660E"/>
    <w:rsid w:val="00226DF6"/>
    <w:rsid w:val="00241B90"/>
    <w:rsid w:val="00243A2C"/>
    <w:rsid w:val="00244350"/>
    <w:rsid w:val="002514B4"/>
    <w:rsid w:val="002745C3"/>
    <w:rsid w:val="002A6A42"/>
    <w:rsid w:val="002B37BA"/>
    <w:rsid w:val="002B5B70"/>
    <w:rsid w:val="002E0D97"/>
    <w:rsid w:val="00332D6F"/>
    <w:rsid w:val="00343A9D"/>
    <w:rsid w:val="00372FC1"/>
    <w:rsid w:val="003916F2"/>
    <w:rsid w:val="003C0A15"/>
    <w:rsid w:val="003D30B8"/>
    <w:rsid w:val="003D4A41"/>
    <w:rsid w:val="003E7493"/>
    <w:rsid w:val="00411F2C"/>
    <w:rsid w:val="004730B5"/>
    <w:rsid w:val="00490E01"/>
    <w:rsid w:val="004A5B9D"/>
    <w:rsid w:val="004E7379"/>
    <w:rsid w:val="00503210"/>
    <w:rsid w:val="00526BBC"/>
    <w:rsid w:val="00532387"/>
    <w:rsid w:val="00547C59"/>
    <w:rsid w:val="005503DB"/>
    <w:rsid w:val="00560C29"/>
    <w:rsid w:val="00561833"/>
    <w:rsid w:val="00573E28"/>
    <w:rsid w:val="005A2917"/>
    <w:rsid w:val="005A3D2A"/>
    <w:rsid w:val="005B4EA5"/>
    <w:rsid w:val="005B517C"/>
    <w:rsid w:val="005E06EA"/>
    <w:rsid w:val="00603D0F"/>
    <w:rsid w:val="006312AF"/>
    <w:rsid w:val="00674B11"/>
    <w:rsid w:val="00682A97"/>
    <w:rsid w:val="006875D6"/>
    <w:rsid w:val="006C78C3"/>
    <w:rsid w:val="006D61B9"/>
    <w:rsid w:val="006F2478"/>
    <w:rsid w:val="00724FF7"/>
    <w:rsid w:val="00727428"/>
    <w:rsid w:val="00741CF0"/>
    <w:rsid w:val="00754E04"/>
    <w:rsid w:val="007B3BE6"/>
    <w:rsid w:val="007D6A94"/>
    <w:rsid w:val="007E55E7"/>
    <w:rsid w:val="007E61AC"/>
    <w:rsid w:val="007F3DA5"/>
    <w:rsid w:val="007F7E61"/>
    <w:rsid w:val="00816217"/>
    <w:rsid w:val="00820BDC"/>
    <w:rsid w:val="00822FFA"/>
    <w:rsid w:val="00856501"/>
    <w:rsid w:val="00857036"/>
    <w:rsid w:val="00866467"/>
    <w:rsid w:val="008847C3"/>
    <w:rsid w:val="008A49AA"/>
    <w:rsid w:val="008A4B0E"/>
    <w:rsid w:val="008A75D0"/>
    <w:rsid w:val="008B0275"/>
    <w:rsid w:val="008D2C25"/>
    <w:rsid w:val="008E29ED"/>
    <w:rsid w:val="008F0857"/>
    <w:rsid w:val="00913842"/>
    <w:rsid w:val="00923850"/>
    <w:rsid w:val="00934301"/>
    <w:rsid w:val="00946F65"/>
    <w:rsid w:val="00956F8E"/>
    <w:rsid w:val="009622C3"/>
    <w:rsid w:val="0098757A"/>
    <w:rsid w:val="009A41E5"/>
    <w:rsid w:val="009B4924"/>
    <w:rsid w:val="009B4EE0"/>
    <w:rsid w:val="009B6EDE"/>
    <w:rsid w:val="009D4B6D"/>
    <w:rsid w:val="00A128D9"/>
    <w:rsid w:val="00A17E8C"/>
    <w:rsid w:val="00A52C51"/>
    <w:rsid w:val="00A74C01"/>
    <w:rsid w:val="00A74CD3"/>
    <w:rsid w:val="00A94DD1"/>
    <w:rsid w:val="00A95CD5"/>
    <w:rsid w:val="00AB4423"/>
    <w:rsid w:val="00AC1328"/>
    <w:rsid w:val="00AD32B7"/>
    <w:rsid w:val="00AF52DC"/>
    <w:rsid w:val="00B142BB"/>
    <w:rsid w:val="00B3641F"/>
    <w:rsid w:val="00B667F0"/>
    <w:rsid w:val="00B8254E"/>
    <w:rsid w:val="00B9492F"/>
    <w:rsid w:val="00BB6269"/>
    <w:rsid w:val="00BC17F5"/>
    <w:rsid w:val="00BC6AFE"/>
    <w:rsid w:val="00C73349"/>
    <w:rsid w:val="00C92ED7"/>
    <w:rsid w:val="00C94B00"/>
    <w:rsid w:val="00CA195B"/>
    <w:rsid w:val="00CC552E"/>
    <w:rsid w:val="00CC72E5"/>
    <w:rsid w:val="00CD33D8"/>
    <w:rsid w:val="00CD3F59"/>
    <w:rsid w:val="00D031F4"/>
    <w:rsid w:val="00D05022"/>
    <w:rsid w:val="00D24082"/>
    <w:rsid w:val="00D36133"/>
    <w:rsid w:val="00D52EA1"/>
    <w:rsid w:val="00D55F85"/>
    <w:rsid w:val="00D812E5"/>
    <w:rsid w:val="00DB601E"/>
    <w:rsid w:val="00DC6E70"/>
    <w:rsid w:val="00DD5B15"/>
    <w:rsid w:val="00E0355E"/>
    <w:rsid w:val="00E1531F"/>
    <w:rsid w:val="00E416E7"/>
    <w:rsid w:val="00E7101E"/>
    <w:rsid w:val="00ED4680"/>
    <w:rsid w:val="00EE0349"/>
    <w:rsid w:val="00EE17CB"/>
    <w:rsid w:val="00F37D84"/>
    <w:rsid w:val="00F95B83"/>
    <w:rsid w:val="00FB285E"/>
    <w:rsid w:val="00FC58F6"/>
    <w:rsid w:val="00FE3C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E82A9D9"/>
  <w15:docId w15:val="{53E445E4-E30E-45E4-8C05-965861E2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2EA1"/>
    <w:pPr>
      <w:spacing w:after="240"/>
      <w:jc w:val="both"/>
    </w:pPr>
    <w:rPr>
      <w:sz w:val="24"/>
      <w:lang w:val="en-GB" w:eastAsia="en-US"/>
    </w:rPr>
  </w:style>
  <w:style w:type="paragraph" w:styleId="berschrift1">
    <w:name w:val="heading 1"/>
    <w:basedOn w:val="Standard"/>
    <w:next w:val="Text1"/>
    <w:link w:val="berschrift1Zchn"/>
    <w:qFormat/>
    <w:pPr>
      <w:keepNext/>
      <w:numPr>
        <w:numId w:val="3"/>
      </w:numPr>
      <w:spacing w:before="240"/>
      <w:outlineLvl w:val="0"/>
    </w:pPr>
    <w:rPr>
      <w:b/>
      <w:smallCaps/>
    </w:rPr>
  </w:style>
  <w:style w:type="paragraph" w:styleId="berschrift2">
    <w:name w:val="heading 2"/>
    <w:basedOn w:val="Standard"/>
    <w:next w:val="Text2"/>
    <w:link w:val="berschrift2Zchn"/>
    <w:qFormat/>
    <w:pPr>
      <w:keepNext/>
      <w:numPr>
        <w:ilvl w:val="1"/>
        <w:numId w:val="3"/>
      </w:numPr>
      <w:outlineLvl w:val="1"/>
    </w:pPr>
    <w:rPr>
      <w:b/>
    </w:rPr>
  </w:style>
  <w:style w:type="paragraph" w:styleId="berschrift3">
    <w:name w:val="heading 3"/>
    <w:basedOn w:val="Standard"/>
    <w:next w:val="Text3"/>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qFormat/>
    <w:pPr>
      <w:spacing w:before="240" w:after="60"/>
      <w:ind w:left="3332" w:hanging="708"/>
      <w:outlineLvl w:val="4"/>
    </w:pPr>
    <w:rPr>
      <w:rFonts w:ascii="Arial" w:hAnsi="Arial"/>
      <w:sz w:val="22"/>
    </w:rPr>
  </w:style>
  <w:style w:type="paragraph" w:styleId="berschrift6">
    <w:name w:val="heading 6"/>
    <w:basedOn w:val="Standard"/>
    <w:next w:val="Standard"/>
    <w:qFormat/>
    <w:pPr>
      <w:spacing w:before="240" w:after="60"/>
      <w:ind w:left="4040" w:hanging="708"/>
      <w:outlineLvl w:val="5"/>
    </w:pPr>
    <w:rPr>
      <w:rFonts w:ascii="Arial" w:hAnsi="Arial"/>
      <w:i/>
      <w:sz w:val="22"/>
    </w:rPr>
  </w:style>
  <w:style w:type="paragraph" w:styleId="berschrift7">
    <w:name w:val="heading 7"/>
    <w:basedOn w:val="Standard"/>
    <w:next w:val="Standard"/>
    <w:qFormat/>
    <w:pPr>
      <w:spacing w:before="240" w:after="60"/>
      <w:ind w:left="4748" w:hanging="708"/>
      <w:outlineLvl w:val="6"/>
    </w:pPr>
    <w:rPr>
      <w:rFonts w:ascii="Arial" w:hAnsi="Arial"/>
      <w:sz w:val="20"/>
    </w:rPr>
  </w:style>
  <w:style w:type="paragraph" w:styleId="berschrift8">
    <w:name w:val="heading 8"/>
    <w:basedOn w:val="Standard"/>
    <w:next w:val="Standard"/>
    <w:qFormat/>
    <w:pPr>
      <w:spacing w:before="240" w:after="60"/>
      <w:ind w:left="5456" w:hanging="708"/>
      <w:outlineLvl w:val="7"/>
    </w:pPr>
    <w:rPr>
      <w:rFonts w:ascii="Arial" w:hAnsi="Arial"/>
      <w:i/>
      <w:sz w:val="20"/>
    </w:rPr>
  </w:style>
  <w:style w:type="paragraph" w:styleId="berschrift9">
    <w:name w:val="heading 9"/>
    <w:basedOn w:val="Standard"/>
    <w:next w:val="Standard"/>
    <w:qFormat/>
    <w:pPr>
      <w:spacing w:before="240" w:after="60"/>
      <w:ind w:left="6164" w:hanging="708"/>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160"/>
      </w:tabs>
      <w:ind w:left="1077"/>
    </w:pPr>
  </w:style>
  <w:style w:type="paragraph" w:customStyle="1" w:styleId="Text3">
    <w:name w:val="Text 3"/>
    <w:basedOn w:val="Standard"/>
    <w:pPr>
      <w:tabs>
        <w:tab w:val="left" w:pos="2302"/>
      </w:tabs>
      <w:ind w:left="1916"/>
    </w:pPr>
  </w:style>
  <w:style w:type="paragraph" w:customStyle="1" w:styleId="Text4">
    <w:name w:val="Text 4"/>
    <w:basedOn w:val="Standard"/>
    <w:pPr>
      <w:ind w:left="2880"/>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styleId="Gruformel">
    <w:name w:val="Closing"/>
    <w:basedOn w:val="Standard"/>
    <w:next w:val="Unterschrift"/>
    <w:pPr>
      <w:tabs>
        <w:tab w:val="left" w:pos="5103"/>
      </w:tabs>
      <w:spacing w:before="240"/>
      <w:ind w:left="5103"/>
      <w:jc w:val="left"/>
    </w:pPr>
  </w:style>
  <w:style w:type="paragraph" w:styleId="Unterschrift">
    <w:name w:val="Signature"/>
    <w:basedOn w:val="Standard"/>
    <w:next w:val="Contact"/>
    <w:link w:val="UnterschriftZchn"/>
    <w:uiPriority w:val="99"/>
    <w:pPr>
      <w:tabs>
        <w:tab w:val="left" w:pos="5103"/>
      </w:tabs>
      <w:spacing w:before="1200" w:after="0"/>
      <w:ind w:left="5103"/>
      <w:jc w:val="center"/>
    </w:pPr>
  </w:style>
  <w:style w:type="paragraph" w:customStyle="1" w:styleId="Enclosures">
    <w:name w:val="Enclosures"/>
    <w:basedOn w:val="Standard"/>
    <w:next w:val="Participants"/>
    <w:pPr>
      <w:keepNext/>
      <w:keepLines/>
      <w:tabs>
        <w:tab w:val="left" w:pos="5670"/>
      </w:tabs>
      <w:spacing w:before="480" w:after="0"/>
      <w:ind w:left="1985" w:hanging="1985"/>
      <w:jc w:val="left"/>
    </w:pPr>
  </w:style>
  <w:style w:type="paragraph" w:customStyle="1" w:styleId="Participants">
    <w:name w:val="Participants"/>
    <w:basedOn w:val="Standard"/>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Standard"/>
    <w:next w:val="Standard"/>
    <w:pPr>
      <w:tabs>
        <w:tab w:val="left" w:pos="2552"/>
        <w:tab w:val="left" w:pos="2835"/>
        <w:tab w:val="left" w:pos="5670"/>
        <w:tab w:val="left" w:pos="6379"/>
        <w:tab w:val="left" w:pos="6804"/>
      </w:tabs>
      <w:spacing w:before="480" w:after="0"/>
      <w:ind w:left="1985" w:hanging="1985"/>
      <w:jc w:val="left"/>
    </w:pPr>
  </w:style>
  <w:style w:type="paragraph" w:styleId="Kommentartext">
    <w:name w:val="annotation text"/>
    <w:basedOn w:val="Standard"/>
    <w:link w:val="KommentartextZchn"/>
    <w:semiHidden/>
    <w:rPr>
      <w:sz w:val="20"/>
    </w:rPr>
  </w:style>
  <w:style w:type="paragraph" w:styleId="Datum">
    <w:name w:val="Date"/>
    <w:basedOn w:val="Standard"/>
    <w:next w:val="References"/>
    <w:link w:val="DatumZchn"/>
    <w:uiPriority w:val="99"/>
    <w:pPr>
      <w:spacing w:after="0"/>
      <w:ind w:left="5103" w:right="-567"/>
      <w:jc w:val="left"/>
    </w:pPr>
  </w:style>
  <w:style w:type="paragraph" w:customStyle="1" w:styleId="References">
    <w:name w:val="References"/>
    <w:basedOn w:val="Standard"/>
    <w:next w:val="AddressTR"/>
    <w:uiPriority w:val="99"/>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Contact"/>
    <w:pPr>
      <w:tabs>
        <w:tab w:val="left" w:pos="5103"/>
      </w:tabs>
      <w:spacing w:before="1200" w:after="0"/>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rPr>
  </w:style>
  <w:style w:type="paragraph" w:styleId="Funotentext">
    <w:name w:val="footnote text"/>
    <w:basedOn w:val="Standard"/>
    <w:semiHidden/>
    <w:pPr>
      <w:ind w:left="357" w:hanging="357"/>
    </w:pPr>
    <w:rPr>
      <w:sz w:val="20"/>
    </w:rPr>
  </w:style>
  <w:style w:type="paragraph" w:styleId="Kopfzeile">
    <w:name w:val="header"/>
    <w:basedOn w:val="Standard"/>
    <w:link w:val="KopfzeileZchn"/>
    <w:uiPriority w:val="99"/>
    <w:pPr>
      <w:tabs>
        <w:tab w:val="center" w:pos="4153"/>
        <w:tab w:val="right" w:pos="8306"/>
      </w:tabs>
    </w:p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160"/>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160"/>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pPr>
      <w:ind w:left="720"/>
    </w:p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titel">
    <w:name w:val="Subtitle"/>
    <w:basedOn w:val="Standard"/>
    <w:qFormat/>
    <w:pPr>
      <w:spacing w:after="60"/>
      <w:jc w:val="center"/>
      <w:outlineLvl w:val="1"/>
    </w:pPr>
    <w:rPr>
      <w:rFonts w:ascii="Arial" w:hAnsi="Arial"/>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qFormat/>
    <w:pPr>
      <w:spacing w:before="240" w:after="60"/>
      <w:jc w:val="center"/>
      <w:outlineLvl w:val="0"/>
    </w:pPr>
    <w:rPr>
      <w:rFonts w:ascii="Arial" w:hAnsi="Arial"/>
      <w:b/>
      <w:kern w:val="28"/>
      <w:sz w:val="32"/>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Enclosures"/>
    <w:uiPriority w:val="99"/>
    <w:pPr>
      <w:spacing w:before="480" w:after="0"/>
      <w:ind w:left="567" w:hanging="567"/>
      <w:jc w:val="left"/>
    </w:pPr>
  </w:style>
  <w:style w:type="paragraph" w:customStyle="1" w:styleId="DisclaimerNotice">
    <w:name w:val="Disclaimer Notice"/>
    <w:basedOn w:val="Standard"/>
    <w:next w:val="AddressTR"/>
    <w:pPr>
      <w:ind w:left="5103"/>
      <w:jc w:val="left"/>
    </w:pPr>
    <w:rPr>
      <w:i/>
      <w:sz w:val="20"/>
    </w:rPr>
  </w:style>
  <w:style w:type="paragraph" w:customStyle="1" w:styleId="Disclaimer">
    <w:name w:val="Disclaimer"/>
    <w:basedOn w:val="Standard"/>
    <w:pPr>
      <w:keepLines/>
      <w:pBdr>
        <w:top w:val="single" w:sz="4" w:space="1" w:color="auto"/>
      </w:pBdr>
      <w:spacing w:before="480" w:after="0"/>
    </w:pPr>
    <w:rPr>
      <w:i/>
    </w:rPr>
  </w:style>
  <w:style w:type="character" w:styleId="BesuchterLink">
    <w:name w:val="FollowedHyperlink"/>
    <w:rPr>
      <w:color w:val="800080"/>
      <w:u w:val="single"/>
    </w:rPr>
  </w:style>
  <w:style w:type="paragraph" w:customStyle="1" w:styleId="DisclaimerSJ">
    <w:name w:val="Disclaimer_SJ"/>
    <w:basedOn w:val="Standard"/>
    <w:next w:val="Standard"/>
    <w:pPr>
      <w:spacing w:after="0"/>
    </w:pPr>
    <w:rPr>
      <w:rFonts w:ascii="Arial" w:hAnsi="Arial"/>
      <w:b/>
      <w:sz w:val="16"/>
    </w:rPr>
  </w:style>
  <w:style w:type="paragraph" w:customStyle="1" w:styleId="Designator">
    <w:name w:val="Designator"/>
    <w:basedOn w:val="Standard"/>
    <w:pPr>
      <w:spacing w:after="0"/>
      <w:jc w:val="center"/>
    </w:pPr>
    <w:rPr>
      <w:b/>
      <w:caps/>
      <w:sz w:val="32"/>
    </w:rPr>
  </w:style>
  <w:style w:type="paragraph" w:customStyle="1" w:styleId="Releasable">
    <w:name w:val="Releasable"/>
    <w:basedOn w:val="Standard"/>
    <w:qFormat/>
    <w:pPr>
      <w:spacing w:after="0"/>
      <w:jc w:val="center"/>
    </w:pPr>
    <w:rPr>
      <w:b/>
      <w:caps/>
      <w:sz w:val="32"/>
      <w:lang w:val="de-DE"/>
    </w:rPr>
  </w:style>
  <w:style w:type="paragraph" w:customStyle="1" w:styleId="RUE">
    <w:name w:val="RUE"/>
    <w:basedOn w:val="Standard"/>
    <w:pPr>
      <w:spacing w:after="0"/>
      <w:jc w:val="center"/>
    </w:pPr>
    <w:rPr>
      <w:b/>
      <w:caps/>
      <w:sz w:val="32"/>
      <w:bdr w:val="single" w:sz="18" w:space="0" w:color="auto"/>
      <w:lang w:val="de-DE"/>
    </w:rPr>
  </w:style>
  <w:style w:type="paragraph" w:customStyle="1" w:styleId="ConfidentialUE">
    <w:name w:val="Confidential UE"/>
    <w:basedOn w:val="Standard"/>
    <w:pPr>
      <w:spacing w:after="0"/>
      <w:jc w:val="center"/>
    </w:pPr>
    <w:rPr>
      <w:b/>
      <w:caps/>
      <w:sz w:val="32"/>
      <w:bdr w:val="single" w:sz="18" w:space="0" w:color="auto"/>
    </w:rPr>
  </w:style>
  <w:style w:type="paragraph" w:customStyle="1" w:styleId="TrsSecretUE">
    <w:name w:val="Très Secret UE"/>
    <w:basedOn w:val="Standard"/>
    <w:pPr>
      <w:spacing w:after="0"/>
      <w:jc w:val="center"/>
    </w:pPr>
    <w:rPr>
      <w:b/>
      <w:caps/>
      <w:color w:val="FF0000"/>
      <w:sz w:val="32"/>
      <w:bdr w:val="single" w:sz="18" w:space="0" w:color="FF0000"/>
    </w:rPr>
  </w:style>
  <w:style w:type="paragraph" w:customStyle="1" w:styleId="SecretUE">
    <w:name w:val="Secret UE"/>
    <w:basedOn w:val="Standard"/>
    <w:pPr>
      <w:spacing w:after="0"/>
      <w:jc w:val="center"/>
    </w:pPr>
    <w:rPr>
      <w:b/>
      <w:caps/>
      <w:color w:val="FF0000"/>
      <w:sz w:val="32"/>
      <w:bdr w:val="single" w:sz="18" w:space="0" w:color="FF0000"/>
    </w:rPr>
  </w:style>
  <w:style w:type="character" w:customStyle="1" w:styleId="FuzeileZchn">
    <w:name w:val="Fußzeile Zchn"/>
    <w:link w:val="Fuzeile"/>
    <w:uiPriority w:val="99"/>
    <w:rsid w:val="00BC6AFE"/>
    <w:rPr>
      <w:rFonts w:ascii="Arial" w:hAnsi="Arial"/>
      <w:sz w:val="16"/>
      <w:lang w:eastAsia="en-US"/>
    </w:rPr>
  </w:style>
  <w:style w:type="character" w:customStyle="1" w:styleId="DatumZchn">
    <w:name w:val="Datum Zchn"/>
    <w:link w:val="Datum"/>
    <w:uiPriority w:val="99"/>
    <w:rsid w:val="00BC6AFE"/>
    <w:rPr>
      <w:sz w:val="24"/>
      <w:lang w:eastAsia="en-US"/>
    </w:rPr>
  </w:style>
  <w:style w:type="character" w:customStyle="1" w:styleId="UnterschriftZchn">
    <w:name w:val="Unterschrift Zchn"/>
    <w:link w:val="Unterschrift"/>
    <w:uiPriority w:val="99"/>
    <w:rsid w:val="00BC6AFE"/>
    <w:rPr>
      <w:sz w:val="24"/>
      <w:lang w:eastAsia="en-US"/>
    </w:rPr>
  </w:style>
  <w:style w:type="paragraph" w:customStyle="1" w:styleId="ZCom">
    <w:name w:val="Z_Com"/>
    <w:basedOn w:val="Standard"/>
    <w:next w:val="ZDGName"/>
    <w:uiPriority w:val="99"/>
    <w:rsid w:val="00BC6AFE"/>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uiPriority w:val="99"/>
    <w:rsid w:val="00BC6AFE"/>
    <w:pPr>
      <w:widowControl w:val="0"/>
      <w:autoSpaceDE w:val="0"/>
      <w:autoSpaceDN w:val="0"/>
      <w:spacing w:after="0"/>
      <w:ind w:right="85"/>
      <w:jc w:val="left"/>
    </w:pPr>
    <w:rPr>
      <w:rFonts w:ascii="Arial" w:hAnsi="Arial" w:cs="Arial"/>
      <w:sz w:val="16"/>
      <w:szCs w:val="16"/>
      <w:lang w:eastAsia="en-GB"/>
    </w:rPr>
  </w:style>
  <w:style w:type="character" w:customStyle="1" w:styleId="KopfzeileZchn">
    <w:name w:val="Kopfzeile Zchn"/>
    <w:link w:val="Kopfzeile"/>
    <w:uiPriority w:val="99"/>
    <w:rsid w:val="00BC6AFE"/>
    <w:rPr>
      <w:sz w:val="24"/>
      <w:lang w:eastAsia="en-US"/>
    </w:rPr>
  </w:style>
  <w:style w:type="character" w:customStyle="1" w:styleId="berschrift2Zchn">
    <w:name w:val="Überschrift 2 Zchn"/>
    <w:link w:val="berschrift2"/>
    <w:rsid w:val="00BC6AFE"/>
    <w:rPr>
      <w:b/>
      <w:sz w:val="24"/>
      <w:lang w:eastAsia="en-US"/>
    </w:rPr>
  </w:style>
  <w:style w:type="character" w:customStyle="1" w:styleId="berschrift1Zchn">
    <w:name w:val="Überschrift 1 Zchn"/>
    <w:link w:val="berschrift1"/>
    <w:rsid w:val="00BC6AFE"/>
    <w:rPr>
      <w:b/>
      <w:smallCaps/>
      <w:sz w:val="24"/>
      <w:lang w:eastAsia="en-US"/>
    </w:rPr>
  </w:style>
  <w:style w:type="table" w:styleId="Tabellenraster">
    <w:name w:val="Table Grid"/>
    <w:basedOn w:val="NormaleTabelle"/>
    <w:uiPriority w:val="59"/>
    <w:rsid w:val="00884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622C3"/>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22C3"/>
    <w:rPr>
      <w:rFonts w:ascii="Segoe UI" w:hAnsi="Segoe UI" w:cs="Segoe UI"/>
      <w:sz w:val="18"/>
      <w:szCs w:val="18"/>
      <w:lang w:val="en-GB" w:eastAsia="en-US"/>
    </w:rPr>
  </w:style>
  <w:style w:type="paragraph" w:styleId="Listenabsatz">
    <w:name w:val="List Paragraph"/>
    <w:basedOn w:val="Standard"/>
    <w:uiPriority w:val="34"/>
    <w:qFormat/>
    <w:rsid w:val="00724FF7"/>
    <w:pPr>
      <w:spacing w:after="200" w:line="276" w:lineRule="auto"/>
      <w:ind w:left="720"/>
      <w:contextualSpacing/>
      <w:jc w:val="left"/>
    </w:pPr>
    <w:rPr>
      <w:rFonts w:asciiTheme="minorHAnsi" w:eastAsiaTheme="minorHAnsi" w:hAnsiTheme="minorHAnsi" w:cstheme="minorBidi"/>
      <w:sz w:val="22"/>
      <w:szCs w:val="22"/>
      <w:lang w:val="de-DE"/>
    </w:rPr>
  </w:style>
  <w:style w:type="character" w:styleId="Hyperlink">
    <w:name w:val="Hyperlink"/>
    <w:basedOn w:val="Absatz-Standardschriftart"/>
    <w:uiPriority w:val="99"/>
    <w:semiHidden/>
    <w:unhideWhenUsed/>
    <w:rsid w:val="00822FFA"/>
    <w:rPr>
      <w:color w:val="0000FF"/>
      <w:u w:val="single"/>
    </w:rPr>
  </w:style>
  <w:style w:type="character" w:styleId="Kommentarzeichen">
    <w:name w:val="annotation reference"/>
    <w:basedOn w:val="Absatz-Standardschriftart"/>
    <w:uiPriority w:val="99"/>
    <w:semiHidden/>
    <w:unhideWhenUsed/>
    <w:rsid w:val="008F0857"/>
    <w:rPr>
      <w:sz w:val="16"/>
      <w:szCs w:val="16"/>
    </w:rPr>
  </w:style>
  <w:style w:type="paragraph" w:styleId="Kommentarthema">
    <w:name w:val="annotation subject"/>
    <w:basedOn w:val="Kommentartext"/>
    <w:next w:val="Kommentartext"/>
    <w:link w:val="KommentarthemaZchn"/>
    <w:uiPriority w:val="99"/>
    <w:semiHidden/>
    <w:unhideWhenUsed/>
    <w:rsid w:val="008F0857"/>
    <w:rPr>
      <w:b/>
      <w:bCs/>
    </w:rPr>
  </w:style>
  <w:style w:type="character" w:customStyle="1" w:styleId="KommentartextZchn">
    <w:name w:val="Kommentartext Zchn"/>
    <w:basedOn w:val="Absatz-Standardschriftart"/>
    <w:link w:val="Kommentartext"/>
    <w:semiHidden/>
    <w:rsid w:val="008F0857"/>
    <w:rPr>
      <w:lang w:val="en-GB" w:eastAsia="en-US"/>
    </w:rPr>
  </w:style>
  <w:style w:type="character" w:customStyle="1" w:styleId="KommentarthemaZchn">
    <w:name w:val="Kommentarthema Zchn"/>
    <w:basedOn w:val="KommentartextZchn"/>
    <w:link w:val="Kommentarthema"/>
    <w:uiPriority w:val="99"/>
    <w:semiHidden/>
    <w:rsid w:val="008F0857"/>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7142">
      <w:bodyDiv w:val="1"/>
      <w:marLeft w:val="0"/>
      <w:marRight w:val="0"/>
      <w:marTop w:val="0"/>
      <w:marBottom w:val="0"/>
      <w:divBdr>
        <w:top w:val="none" w:sz="0" w:space="0" w:color="auto"/>
        <w:left w:val="none" w:sz="0" w:space="0" w:color="auto"/>
        <w:bottom w:val="none" w:sz="0" w:space="0" w:color="auto"/>
        <w:right w:val="none" w:sz="0" w:space="0" w:color="auto"/>
      </w:divBdr>
    </w:div>
    <w:div w:id="150296845">
      <w:bodyDiv w:val="1"/>
      <w:marLeft w:val="0"/>
      <w:marRight w:val="0"/>
      <w:marTop w:val="0"/>
      <w:marBottom w:val="0"/>
      <w:divBdr>
        <w:top w:val="none" w:sz="0" w:space="0" w:color="auto"/>
        <w:left w:val="none" w:sz="0" w:space="0" w:color="auto"/>
        <w:bottom w:val="none" w:sz="0" w:space="0" w:color="auto"/>
        <w:right w:val="none" w:sz="0" w:space="0" w:color="auto"/>
      </w:divBdr>
    </w:div>
    <w:div w:id="154801809">
      <w:bodyDiv w:val="1"/>
      <w:marLeft w:val="0"/>
      <w:marRight w:val="0"/>
      <w:marTop w:val="0"/>
      <w:marBottom w:val="0"/>
      <w:divBdr>
        <w:top w:val="none" w:sz="0" w:space="0" w:color="auto"/>
        <w:left w:val="none" w:sz="0" w:space="0" w:color="auto"/>
        <w:bottom w:val="none" w:sz="0" w:space="0" w:color="auto"/>
        <w:right w:val="none" w:sz="0" w:space="0" w:color="auto"/>
      </w:divBdr>
    </w:div>
    <w:div w:id="457990577">
      <w:bodyDiv w:val="1"/>
      <w:marLeft w:val="0"/>
      <w:marRight w:val="0"/>
      <w:marTop w:val="0"/>
      <w:marBottom w:val="0"/>
      <w:divBdr>
        <w:top w:val="none" w:sz="0" w:space="0" w:color="auto"/>
        <w:left w:val="none" w:sz="0" w:space="0" w:color="auto"/>
        <w:bottom w:val="none" w:sz="0" w:space="0" w:color="auto"/>
        <w:right w:val="none" w:sz="0" w:space="0" w:color="auto"/>
      </w:divBdr>
    </w:div>
    <w:div w:id="470486772">
      <w:bodyDiv w:val="1"/>
      <w:marLeft w:val="0"/>
      <w:marRight w:val="0"/>
      <w:marTop w:val="0"/>
      <w:marBottom w:val="0"/>
      <w:divBdr>
        <w:top w:val="none" w:sz="0" w:space="0" w:color="auto"/>
        <w:left w:val="none" w:sz="0" w:space="0" w:color="auto"/>
        <w:bottom w:val="none" w:sz="0" w:space="0" w:color="auto"/>
        <w:right w:val="none" w:sz="0" w:space="0" w:color="auto"/>
      </w:divBdr>
    </w:div>
    <w:div w:id="832454566">
      <w:bodyDiv w:val="1"/>
      <w:marLeft w:val="0"/>
      <w:marRight w:val="0"/>
      <w:marTop w:val="0"/>
      <w:marBottom w:val="0"/>
      <w:divBdr>
        <w:top w:val="none" w:sz="0" w:space="0" w:color="auto"/>
        <w:left w:val="none" w:sz="0" w:space="0" w:color="auto"/>
        <w:bottom w:val="none" w:sz="0" w:space="0" w:color="auto"/>
        <w:right w:val="none" w:sz="0" w:space="0" w:color="auto"/>
      </w:divBdr>
    </w:div>
    <w:div w:id="989211780">
      <w:bodyDiv w:val="1"/>
      <w:marLeft w:val="0"/>
      <w:marRight w:val="0"/>
      <w:marTop w:val="0"/>
      <w:marBottom w:val="0"/>
      <w:divBdr>
        <w:top w:val="none" w:sz="0" w:space="0" w:color="auto"/>
        <w:left w:val="none" w:sz="0" w:space="0" w:color="auto"/>
        <w:bottom w:val="none" w:sz="0" w:space="0" w:color="auto"/>
        <w:right w:val="none" w:sz="0" w:space="0" w:color="auto"/>
      </w:divBdr>
    </w:div>
    <w:div w:id="1398893338">
      <w:bodyDiv w:val="1"/>
      <w:marLeft w:val="0"/>
      <w:marRight w:val="0"/>
      <w:marTop w:val="0"/>
      <w:marBottom w:val="0"/>
      <w:divBdr>
        <w:top w:val="none" w:sz="0" w:space="0" w:color="auto"/>
        <w:left w:val="none" w:sz="0" w:space="0" w:color="auto"/>
        <w:bottom w:val="none" w:sz="0" w:space="0" w:color="auto"/>
        <w:right w:val="none" w:sz="0" w:space="0" w:color="auto"/>
      </w:divBdr>
    </w:div>
    <w:div w:id="1559441742">
      <w:bodyDiv w:val="1"/>
      <w:marLeft w:val="0"/>
      <w:marRight w:val="0"/>
      <w:marTop w:val="0"/>
      <w:marBottom w:val="0"/>
      <w:divBdr>
        <w:top w:val="none" w:sz="0" w:space="0" w:color="auto"/>
        <w:left w:val="none" w:sz="0" w:space="0" w:color="auto"/>
        <w:bottom w:val="none" w:sz="0" w:space="0" w:color="auto"/>
        <w:right w:val="none" w:sz="0" w:space="0" w:color="auto"/>
      </w:divBdr>
    </w:div>
    <w:div w:id="191230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GELH~1\AppData\Local\Temp\NTTS2021_Abstract_templat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
  <Created>
    <Version>4.5</Version>
    <Date>2018-05-29T11:59:20</Date>
    <Language>EN</Language>
  </Created>
  <Edited>
    <Version>10.0.40769.0</Version>
    <Date>2020-08-09T16:18:03</Date>
  </Edited>
  <DocumentModel>
    <Id>0b054141-88b1-4efb-8c91-2905cb0bed6c</Id>
    <Name>Note</Name>
  </DocumentModel>
  <DocumentDate/>
  <DocumentVersion/>
  <CompatibilityMode>Eurolook4X</CompatibilityMode>
  <Address/>
</EurolookProperties>
</file>

<file path=customXml/item2.xml><?xml version="1.0" encoding="utf-8"?>
<Author Role="Creator">
  <Id>bd75a428-bbcb-4c74-9efa-281afaab0ab2</Id>
  <Names>
    <Latin>
      <FirstName>Britta</FirstName>
      <LastName>Gauckler</LastName>
    </Latin>
    <Greek>
      <FirstName/>
      <LastName/>
    </Greek>
    <Cyrillic>
      <FirstName/>
      <LastName/>
    </Cyrillic>
    <DocumentScript>
      <FirstName>Britta</FirstName>
      <LastName>Gauckler</LastName>
      <FullName>Britta Gauckler</FullName>
    </DocumentScript>
  </Names>
  <Initials>BG</Initials>
  <Gender>f</Gender>
  <Email>Britta.GAUCKLER@ec.europa.eu</Email>
  <Service>ESTAT.B.1</Service>
  <Function/>
  <WebAddress/>
  <InheritedWebAddress>http://europa.eu</InheritedWebAddress>
  <OrgaEntity1>
    <Id>25d24451-9908-4f0e-9a6d-f256cf91ab7b</Id>
    <LogicalLevel>1</LogicalLevel>
    <Name>ESTAT</Name>
    <HeadLine1>EUROSTAT</HeadLine1>
    <HeadLine2/>
    <PrimaryAddressId>1264fb81-f6bb-475e-9f9d-a937d3be6ee2</PrimaryAddressId>
    <SecondaryAddressId/>
    <WebAddress/>
    <InheritedWebAddress>http://europa.eu</InheritedWebAddress>
    <ShowInHeader>true</ShowInHeader>
  </OrgaEntity1>
  <OrgaEntity2/>
  <OrgaEntity3/>
  <Addresses>
    <Address>
      <Id>1264fb81-f6bb-475e-9f9d-a937d3be6ee2</Id>
      <Name>Luxembourg</Name>
      <PhoneNumberPrefix>+352 4301</PhoneNumberPrefix>
      <Location>Luxembourg,</Location>
      <Footer>Commission européenne, 2920 Luxembourg, LUXEMBOURG — Tel. +352 43011</Footer>
    </Address>
    <Address>
      <Id>f03b5801-04c9-4931-aa17-c6d6c70bc579</Id>
      <Name>Brussels</Name>
      <PhoneNumberPrefix>+32 229 </PhoneNumberPrefix>
      <Location>Brussels,</Location>
      <Footer>Commission européenne/Europese Commissie, 1049 Bruxelles/Brussel, BELGIQUE/BELGIË — Tel. +32 22991111</Footer>
    </Address>
  </Addresses>
  <JobAssignmentId/>
  <MainWorkplace IsMain="true">
    <AddressId>1264fb81-f6bb-475e-9f9d-a937d3be6ee2</AddressId>
    <Fax/>
    <Phone>+352 430136641</Phone>
    <Office>BECH A2/155</Office>
  </MainWorkplace>
  <Workplaces>
    <Workplace IsMain="true">
      <AddressId>1264fb81-f6bb-475e-9f9d-a937d3be6ee2</AddressId>
      <Fax/>
      <Phone>+352 430136641</Phone>
      <Office>BECH A2/155</Office>
    </Workplace>
    <Workplace IsMain="false">
      <AddressId>f03b5801-04c9-4931-aa17-c6d6c70bc579</AddressId>
      <Fax/>
      <Phone/>
      <Office/>
    </Workplace>
  </Workplaces>
</Author>
</file>

<file path=customXml/item3.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58AF3-9929-4DC0-A819-0ADC671B5D1C}">
  <ds:schemaRefs/>
</ds:datastoreItem>
</file>

<file path=customXml/itemProps2.xml><?xml version="1.0" encoding="utf-8"?>
<ds:datastoreItem xmlns:ds="http://schemas.openxmlformats.org/officeDocument/2006/customXml" ds:itemID="{B406C654-FE0D-4FA5-9C33-13E2F461D7CA}">
  <ds:schemaRefs/>
</ds:datastoreItem>
</file>

<file path=customXml/itemProps3.xml><?xml version="1.0" encoding="utf-8"?>
<ds:datastoreItem xmlns:ds="http://schemas.openxmlformats.org/officeDocument/2006/customXml" ds:itemID="{502162AC-773B-4BAB-A035-07FB7E4FB26B}">
  <ds:schemaRefs/>
</ds:datastoreItem>
</file>

<file path=customXml/itemProps4.xml><?xml version="1.0" encoding="utf-8"?>
<ds:datastoreItem xmlns:ds="http://schemas.openxmlformats.org/officeDocument/2006/customXml" ds:itemID="{0A92C2B9-C88A-4D3A-83E9-DDF2BC8B9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NTTS2021_Abstract_template.dot</Template>
  <TotalTime>0</TotalTime>
  <Pages>3</Pages>
  <Words>1286</Words>
  <Characters>6889</Characters>
  <Application>Microsoft Office Word</Application>
  <DocSecurity>0</DocSecurity>
  <PresentationFormat>Microsoft Word 14.0</PresentationFormat>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Engelhart, Alexander (D209)</dc:creator>
  <cp:keywords>EL4</cp:keywords>
  <cp:lastModifiedBy>Engelhart, Alexander (D209)</cp:lastModifiedBy>
  <cp:revision>8</cp:revision>
  <cp:lastPrinted>2020-10-14T12:43:00Z</cp:lastPrinted>
  <dcterms:created xsi:type="dcterms:W3CDTF">2020-10-14T14:25:00Z</dcterms:created>
  <dcterms:modified xsi:type="dcterms:W3CDTF">2020-10-15T09:13:00Z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4.5.0.3</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21000</vt:lpwstr>
  </property>
  <property fmtid="{D5CDD505-2E9C-101B-9397-08002B2CF9AE}" pid="7" name="Formatting">
    <vt:lpwstr>4.1</vt:lpwstr>
  </property>
  <property fmtid="{D5CDD505-2E9C-101B-9397-08002B2CF9AE}" pid="8" name="Last edited using">
    <vt:lpwstr>EL 4.6 Build 21000</vt:lpwstr>
  </property>
  <property fmtid="{D5CDD505-2E9C-101B-9397-08002B2CF9AE}" pid="9" name="EL_Author">
    <vt:lpwstr>Martin KARLBERG</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ies>
</file>