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AFE" w:rsidRDefault="00D906BD" w:rsidP="00BC6AFE">
      <w:pPr>
        <w:pStyle w:val="Otsikko"/>
      </w:pPr>
      <w:r>
        <w:t xml:space="preserve">Adaptive data collection using </w:t>
      </w:r>
      <w:r w:rsidR="00112D05">
        <w:t xml:space="preserve">the </w:t>
      </w:r>
      <w:proofErr w:type="spellStart"/>
      <w:r>
        <w:t>paradata</w:t>
      </w:r>
      <w:proofErr w:type="spellEnd"/>
      <w:r>
        <w:t xml:space="preserve"> </w:t>
      </w:r>
      <w:r w:rsidR="000823E1">
        <w:t>of</w:t>
      </w:r>
      <w:r w:rsidR="00112D05">
        <w:t xml:space="preserve"> the</w:t>
      </w:r>
      <w:r>
        <w:t xml:space="preserve"> previous survey</w:t>
      </w:r>
    </w:p>
    <w:p w:rsidR="00D906BD" w:rsidRDefault="00D906BD" w:rsidP="00243A2C">
      <w:pPr>
        <w:rPr>
          <w:b/>
          <w:u w:val="single"/>
        </w:rPr>
      </w:pPr>
    </w:p>
    <w:p w:rsidR="00243A2C" w:rsidRDefault="00243A2C" w:rsidP="00243A2C">
      <w:r w:rsidRPr="00243A2C">
        <w:rPr>
          <w:b/>
          <w:u w:val="single"/>
        </w:rPr>
        <w:t>Keywords</w:t>
      </w:r>
      <w:r w:rsidRPr="00243A2C">
        <w:rPr>
          <w:b/>
        </w:rPr>
        <w:t>:</w:t>
      </w:r>
      <w:r>
        <w:t xml:space="preserve"> </w:t>
      </w:r>
      <w:r w:rsidR="00D906BD">
        <w:t>mixed-mode survey</w:t>
      </w:r>
      <w:r w:rsidR="00E55CFC">
        <w:t>,</w:t>
      </w:r>
      <w:r w:rsidR="00676AD7">
        <w:t xml:space="preserve"> logistic regression model, response </w:t>
      </w:r>
      <w:r w:rsidR="00C420A3">
        <w:t>profile</w:t>
      </w:r>
    </w:p>
    <w:p w:rsidR="002012A8" w:rsidRDefault="002012A8" w:rsidP="002012A8">
      <w:pPr>
        <w:pStyle w:val="Otsikko1"/>
      </w:pPr>
      <w:r>
        <w:t>Introduction</w:t>
      </w:r>
    </w:p>
    <w:p w:rsidR="00D906BD" w:rsidRPr="00B627FD" w:rsidRDefault="00D906BD" w:rsidP="00D906BD">
      <w:pPr>
        <w:spacing w:after="0"/>
        <w:textAlignment w:val="baseline"/>
        <w:rPr>
          <w:rFonts w:ascii="Segoe UI" w:hAnsi="Segoe UI" w:cs="Segoe UI"/>
          <w:sz w:val="18"/>
          <w:szCs w:val="18"/>
          <w:lang w:val="en-US" w:eastAsia="fi-FI"/>
        </w:rPr>
      </w:pPr>
      <w:r w:rsidRPr="00B627FD">
        <w:rPr>
          <w:szCs w:val="24"/>
          <w:lang w:val="en-US" w:eastAsia="fi-FI"/>
        </w:rPr>
        <w:t>We present a</w:t>
      </w:r>
      <w:r w:rsidR="0018505B">
        <w:rPr>
          <w:szCs w:val="24"/>
          <w:lang w:val="en-US" w:eastAsia="fi-FI"/>
        </w:rPr>
        <w:t xml:space="preserve"> method </w:t>
      </w:r>
      <w:r w:rsidRPr="00B627FD">
        <w:rPr>
          <w:szCs w:val="24"/>
          <w:lang w:val="en-US" w:eastAsia="fi-FI"/>
        </w:rPr>
        <w:t>in which interviewer resources can be used more efficiently in mixed-mode survey. We focus on mixed mode surveys that include computer-assisted telephone interview (CATI) and web modes.  Our idea is to use the dataset of the previous survey and construct propensities to participate in the survey on the</w:t>
      </w:r>
      <w:r w:rsidR="00C420A3">
        <w:rPr>
          <w:szCs w:val="24"/>
          <w:lang w:val="en-US" w:eastAsia="fi-FI"/>
        </w:rPr>
        <w:t xml:space="preserve"> web (quickly or after the interviewer contacts) or on the</w:t>
      </w:r>
      <w:r w:rsidRPr="00B627FD">
        <w:rPr>
          <w:szCs w:val="24"/>
          <w:lang w:val="en-US" w:eastAsia="fi-FI"/>
        </w:rPr>
        <w:t xml:space="preserve"> CATI</w:t>
      </w:r>
      <w:r w:rsidR="00C420A3">
        <w:rPr>
          <w:szCs w:val="24"/>
          <w:lang w:val="en-US" w:eastAsia="fi-FI"/>
        </w:rPr>
        <w:t>.</w:t>
      </w:r>
      <w:r w:rsidRPr="00B627FD">
        <w:rPr>
          <w:szCs w:val="24"/>
          <w:lang w:val="en-US" w:eastAsia="fi-FI"/>
        </w:rPr>
        <w:t xml:space="preserve"> The purpose of the propensities is that </w:t>
      </w:r>
      <w:r w:rsidR="00FE106B">
        <w:rPr>
          <w:szCs w:val="24"/>
          <w:lang w:val="en-US" w:eastAsia="fi-FI"/>
        </w:rPr>
        <w:t>before</w:t>
      </w:r>
      <w:r w:rsidRPr="00B627FD">
        <w:rPr>
          <w:szCs w:val="24"/>
          <w:lang w:val="en-US" w:eastAsia="fi-FI"/>
        </w:rPr>
        <w:t xml:space="preserve"> a new survey begins, the propensities can be imputed to the sample. Using the propensities, </w:t>
      </w:r>
      <w:r w:rsidR="00C420A3">
        <w:rPr>
          <w:szCs w:val="24"/>
          <w:lang w:val="en-US" w:eastAsia="fi-FI"/>
        </w:rPr>
        <w:t>potential web respondents are known,</w:t>
      </w:r>
      <w:r w:rsidRPr="00B627FD">
        <w:rPr>
          <w:szCs w:val="24"/>
          <w:lang w:val="en-US" w:eastAsia="fi-FI"/>
        </w:rPr>
        <w:t> which allows interviewers to focus more effectively on those who are likely to prefer a telephone interview. </w:t>
      </w:r>
    </w:p>
    <w:p w:rsidR="00D906BD" w:rsidRPr="00B627FD" w:rsidRDefault="00D906BD" w:rsidP="00D906BD">
      <w:pPr>
        <w:spacing w:after="0"/>
        <w:textAlignment w:val="baseline"/>
        <w:rPr>
          <w:rFonts w:ascii="Segoe UI" w:hAnsi="Segoe UI" w:cs="Segoe UI"/>
          <w:sz w:val="18"/>
          <w:szCs w:val="18"/>
          <w:lang w:val="en-US" w:eastAsia="fi-FI"/>
        </w:rPr>
      </w:pPr>
      <w:r w:rsidRPr="00B627FD">
        <w:rPr>
          <w:szCs w:val="24"/>
          <w:lang w:val="en-US" w:eastAsia="fi-FI"/>
        </w:rPr>
        <w:t> </w:t>
      </w:r>
    </w:p>
    <w:p w:rsidR="00D906BD" w:rsidRPr="00B627FD" w:rsidRDefault="00D906BD" w:rsidP="00D906BD">
      <w:pPr>
        <w:spacing w:after="0"/>
        <w:textAlignment w:val="baseline"/>
        <w:rPr>
          <w:rFonts w:ascii="Segoe UI" w:hAnsi="Segoe UI" w:cs="Segoe UI"/>
          <w:sz w:val="18"/>
          <w:szCs w:val="18"/>
          <w:lang w:val="en-US" w:eastAsia="fi-FI"/>
        </w:rPr>
      </w:pPr>
      <w:r w:rsidRPr="00B627FD">
        <w:rPr>
          <w:szCs w:val="24"/>
          <w:lang w:val="en-US" w:eastAsia="fi-FI"/>
        </w:rPr>
        <w:t>Many European statistical agencies have started to use mixed mode surveys, including the web option, for cost reasons [1]. Adaptive data collection is another way to reduce costs [2].  Most CATI interviews are conducted with a system that produces </w:t>
      </w:r>
      <w:proofErr w:type="spellStart"/>
      <w:r w:rsidRPr="00B627FD">
        <w:rPr>
          <w:szCs w:val="24"/>
          <w:lang w:val="en-US" w:eastAsia="fi-FI"/>
        </w:rPr>
        <w:t>paradata</w:t>
      </w:r>
      <w:proofErr w:type="spellEnd"/>
      <w:r w:rsidRPr="00B627FD">
        <w:rPr>
          <w:szCs w:val="24"/>
          <w:lang w:val="en-US" w:eastAsia="fi-FI"/>
        </w:rPr>
        <w:t xml:space="preserve"> containing information about calling times and call amounts per sample person. Web mode also produces information such as the questionnaire completion date. </w:t>
      </w:r>
      <w:r w:rsidR="00F129AA">
        <w:rPr>
          <w:szCs w:val="24"/>
          <w:lang w:val="en-US" w:eastAsia="fi-FI"/>
        </w:rPr>
        <w:t xml:space="preserve">Adaptive data collection is possible to implement with these datasets. </w:t>
      </w:r>
      <w:r w:rsidRPr="00B627FD">
        <w:rPr>
          <w:szCs w:val="24"/>
          <w:lang w:val="en-US" w:eastAsia="fi-FI"/>
        </w:rPr>
        <w:t>Combining other linkable administrative data sources and </w:t>
      </w:r>
      <w:proofErr w:type="spellStart"/>
      <w:r w:rsidRPr="00B627FD">
        <w:rPr>
          <w:szCs w:val="24"/>
          <w:lang w:val="en-US" w:eastAsia="fi-FI"/>
        </w:rPr>
        <w:t>paradata</w:t>
      </w:r>
      <w:proofErr w:type="spellEnd"/>
      <w:r w:rsidRPr="00B627FD">
        <w:rPr>
          <w:szCs w:val="24"/>
          <w:lang w:val="en-US" w:eastAsia="fi-FI"/>
        </w:rPr>
        <w:t>, it is possible to model and predict response behavior and categorize respondents into different groups based on their response behavior. </w:t>
      </w:r>
      <w:r w:rsidR="00F129AA">
        <w:rPr>
          <w:szCs w:val="24"/>
          <w:lang w:val="en-US" w:eastAsia="fi-FI"/>
        </w:rPr>
        <w:t>We use</w:t>
      </w:r>
      <w:r w:rsidRPr="00B627FD">
        <w:rPr>
          <w:szCs w:val="24"/>
          <w:lang w:val="en-US" w:eastAsia="fi-FI"/>
        </w:rPr>
        <w:t> five categories for responsive behavior: easy (quick) web respondent, challenging web respondent, CATI preferer, refus</w:t>
      </w:r>
      <w:r w:rsidR="00E55CFC">
        <w:rPr>
          <w:szCs w:val="24"/>
          <w:lang w:val="en-US" w:eastAsia="fi-FI"/>
        </w:rPr>
        <w:t>er</w:t>
      </w:r>
      <w:r w:rsidRPr="00B627FD">
        <w:rPr>
          <w:szCs w:val="24"/>
          <w:lang w:val="en-US" w:eastAsia="fi-FI"/>
        </w:rPr>
        <w:t xml:space="preserve"> and non-contact. </w:t>
      </w:r>
      <w:r w:rsidR="00F129AA">
        <w:rPr>
          <w:szCs w:val="24"/>
          <w:lang w:val="en-US" w:eastAsia="fi-FI"/>
        </w:rPr>
        <w:t>We construct propensities to belong to these groups.</w:t>
      </w:r>
      <w:r w:rsidRPr="00B627FD">
        <w:rPr>
          <w:szCs w:val="24"/>
          <w:lang w:val="en-US" w:eastAsia="fi-FI"/>
        </w:rPr>
        <w:t>  </w:t>
      </w:r>
    </w:p>
    <w:p w:rsidR="00D906BD" w:rsidRPr="00B627FD" w:rsidRDefault="00D906BD" w:rsidP="00D906BD">
      <w:pPr>
        <w:spacing w:after="0"/>
        <w:textAlignment w:val="baseline"/>
        <w:rPr>
          <w:rFonts w:ascii="Segoe UI" w:hAnsi="Segoe UI" w:cs="Segoe UI"/>
          <w:sz w:val="18"/>
          <w:szCs w:val="18"/>
          <w:lang w:val="en-US" w:eastAsia="fi-FI"/>
        </w:rPr>
      </w:pPr>
      <w:r w:rsidRPr="00B627FD">
        <w:rPr>
          <w:szCs w:val="24"/>
          <w:lang w:val="en-US" w:eastAsia="fi-FI"/>
        </w:rPr>
        <w:t> </w:t>
      </w:r>
      <w:r w:rsidRPr="00B627FD">
        <w:rPr>
          <w:szCs w:val="24"/>
          <w:lang w:eastAsia="fi-FI"/>
        </w:rPr>
        <w:t> </w:t>
      </w:r>
    </w:p>
    <w:p w:rsidR="00D906BD" w:rsidRPr="00B627FD" w:rsidRDefault="00D906BD" w:rsidP="00D906BD">
      <w:pPr>
        <w:spacing w:after="0"/>
        <w:textAlignment w:val="baseline"/>
        <w:rPr>
          <w:rFonts w:ascii="Segoe UI" w:hAnsi="Segoe UI" w:cs="Segoe UI"/>
          <w:sz w:val="18"/>
          <w:szCs w:val="18"/>
          <w:lang w:val="en-US" w:eastAsia="fi-FI"/>
        </w:rPr>
      </w:pPr>
      <w:r w:rsidRPr="00B627FD">
        <w:rPr>
          <w:szCs w:val="24"/>
          <w:lang w:val="en-US" w:eastAsia="fi-FI"/>
        </w:rPr>
        <w:t>In this paper, we study various questions on using the </w:t>
      </w:r>
      <w:r w:rsidR="00F129AA">
        <w:rPr>
          <w:szCs w:val="24"/>
          <w:lang w:val="en-US" w:eastAsia="fi-FI"/>
        </w:rPr>
        <w:t>propensities</w:t>
      </w:r>
      <w:r w:rsidRPr="00B627FD">
        <w:rPr>
          <w:szCs w:val="24"/>
          <w:lang w:val="en-US" w:eastAsia="fi-FI"/>
        </w:rPr>
        <w:t xml:space="preserve"> as guidance for data collection. We examine e.g. does the p</w:t>
      </w:r>
      <w:r w:rsidR="00F129AA">
        <w:rPr>
          <w:szCs w:val="24"/>
          <w:lang w:val="en-US" w:eastAsia="fi-FI"/>
        </w:rPr>
        <w:t>ropensities</w:t>
      </w:r>
      <w:r w:rsidRPr="00B627FD">
        <w:rPr>
          <w:szCs w:val="24"/>
          <w:lang w:val="en-US" w:eastAsia="fi-FI"/>
        </w:rPr>
        <w:t> depend on the theme of the data collection</w:t>
      </w:r>
      <w:r w:rsidR="00D71330">
        <w:rPr>
          <w:szCs w:val="24"/>
          <w:lang w:val="en-US" w:eastAsia="fi-FI"/>
        </w:rPr>
        <w:t>,</w:t>
      </w:r>
      <w:r w:rsidR="00C37CE2">
        <w:rPr>
          <w:szCs w:val="24"/>
          <w:lang w:val="en-US" w:eastAsia="fi-FI"/>
        </w:rPr>
        <w:t xml:space="preserve"> </w:t>
      </w:r>
      <w:r w:rsidRPr="00B627FD">
        <w:rPr>
          <w:szCs w:val="24"/>
          <w:lang w:val="en-US" w:eastAsia="fi-FI"/>
        </w:rPr>
        <w:t>what is the relationship between different</w:t>
      </w:r>
      <w:r w:rsidR="00F129AA">
        <w:rPr>
          <w:szCs w:val="24"/>
          <w:lang w:val="en-US" w:eastAsia="fi-FI"/>
        </w:rPr>
        <w:t xml:space="preserve"> response</w:t>
      </w:r>
      <w:r w:rsidRPr="00B627FD">
        <w:rPr>
          <w:szCs w:val="24"/>
          <w:lang w:val="en-US" w:eastAsia="fi-FI"/>
        </w:rPr>
        <w:t xml:space="preserve"> behavior profiles and overall response propensity</w:t>
      </w:r>
      <w:r w:rsidR="00C37CE2">
        <w:rPr>
          <w:szCs w:val="24"/>
          <w:lang w:val="en-US" w:eastAsia="fi-FI"/>
        </w:rPr>
        <w:t>, and how to impute the propensities from one dataset to another</w:t>
      </w:r>
      <w:r w:rsidR="00D71330">
        <w:rPr>
          <w:szCs w:val="24"/>
          <w:lang w:val="en-US" w:eastAsia="fi-FI"/>
        </w:rPr>
        <w:t>.</w:t>
      </w:r>
      <w:r w:rsidR="00D71330" w:rsidRPr="00B627FD">
        <w:rPr>
          <w:szCs w:val="24"/>
          <w:lang w:val="en-US" w:eastAsia="fi-FI"/>
        </w:rPr>
        <w:t xml:space="preserve"> </w:t>
      </w:r>
      <w:r w:rsidRPr="00B627FD">
        <w:rPr>
          <w:szCs w:val="24"/>
          <w:lang w:val="en-US" w:eastAsia="fi-FI"/>
        </w:rPr>
        <w:t>Ultimately, we try to find out whether using </w:t>
      </w:r>
      <w:r w:rsidR="00C37CE2">
        <w:rPr>
          <w:szCs w:val="24"/>
          <w:lang w:val="en-US" w:eastAsia="fi-FI"/>
        </w:rPr>
        <w:t>propensities produce</w:t>
      </w:r>
      <w:r w:rsidRPr="00B627FD">
        <w:rPr>
          <w:szCs w:val="24"/>
          <w:lang w:val="en-US" w:eastAsia="fi-FI"/>
        </w:rPr>
        <w:t> into higher response rates or better representativeness among different groups. We use both mixed-mode pilot and production data from the </w:t>
      </w:r>
      <w:proofErr w:type="spellStart"/>
      <w:r w:rsidRPr="00B627FD">
        <w:rPr>
          <w:szCs w:val="24"/>
          <w:lang w:val="en-US" w:eastAsia="fi-FI"/>
        </w:rPr>
        <w:t>Labour</w:t>
      </w:r>
      <w:proofErr w:type="spellEnd"/>
      <w:r w:rsidRPr="00B627FD">
        <w:rPr>
          <w:szCs w:val="24"/>
          <w:lang w:val="en-US" w:eastAsia="fi-FI"/>
        </w:rPr>
        <w:t> Force Survey (LFS) and mixed-mode pilot data from EU-SILC (shortly SILC) from 2019-2021. </w:t>
      </w:r>
    </w:p>
    <w:p w:rsidR="001B50CE" w:rsidRPr="00D906BD" w:rsidRDefault="001B50CE" w:rsidP="00BC6AFE">
      <w:pPr>
        <w:rPr>
          <w:lang w:val="en-US"/>
        </w:rPr>
      </w:pPr>
    </w:p>
    <w:p w:rsidR="00BC6AFE" w:rsidRPr="00BC6AFE" w:rsidRDefault="00BC6AFE" w:rsidP="00BC6AFE">
      <w:pPr>
        <w:pStyle w:val="Otsikko1"/>
      </w:pPr>
      <w:r>
        <w:t>Methods</w:t>
      </w:r>
    </w:p>
    <w:p w:rsidR="00BC6AFE" w:rsidRPr="00D906BD" w:rsidRDefault="00D906BD" w:rsidP="001B50CE">
      <w:pPr>
        <w:pStyle w:val="Otsikko2"/>
        <w:tabs>
          <w:tab w:val="clear" w:pos="1080"/>
          <w:tab w:val="num" w:pos="482"/>
        </w:tabs>
        <w:ind w:left="482" w:hanging="482"/>
      </w:pPr>
      <w:r w:rsidRPr="00D906BD">
        <w:t xml:space="preserve">Data and </w:t>
      </w:r>
      <w:proofErr w:type="spellStart"/>
      <w:r w:rsidRPr="00D906BD">
        <w:t>paradata</w:t>
      </w:r>
      <w:proofErr w:type="spellEnd"/>
    </w:p>
    <w:p w:rsidR="00D906BD" w:rsidRDefault="00D906BD" w:rsidP="00D906BD">
      <w:pPr>
        <w:spacing w:after="0"/>
        <w:textAlignment w:val="baseline"/>
        <w:rPr>
          <w:szCs w:val="24"/>
          <w:lang w:val="en-US" w:eastAsia="fi-FI"/>
        </w:rPr>
      </w:pPr>
      <w:r w:rsidRPr="00B627FD">
        <w:rPr>
          <w:szCs w:val="24"/>
          <w:lang w:val="en-US" w:eastAsia="fi-FI"/>
        </w:rPr>
        <w:t>The SILC data comes from the mixed-mode pilot study conducted in the spring 2020. The data consists of 10 000 households and 3000 target persons</w:t>
      </w:r>
      <w:r w:rsidR="00C236B1">
        <w:rPr>
          <w:szCs w:val="24"/>
          <w:lang w:val="en-US" w:eastAsia="fi-FI"/>
        </w:rPr>
        <w:t xml:space="preserve"> and</w:t>
      </w:r>
      <w:r w:rsidRPr="00B627FD">
        <w:rPr>
          <w:szCs w:val="24"/>
          <w:lang w:val="en-US" w:eastAsia="fi-FI"/>
        </w:rPr>
        <w:t xml:space="preserve"> contains the first pilot round. The response rate was 37%. We also use administrative records linked to the original sample, which contains information on demographic variables such as age, gender, profession etc. </w:t>
      </w:r>
    </w:p>
    <w:p w:rsidR="00D906BD" w:rsidRDefault="00D906BD" w:rsidP="00D906BD">
      <w:pPr>
        <w:spacing w:after="0"/>
        <w:textAlignment w:val="baseline"/>
        <w:rPr>
          <w:szCs w:val="24"/>
          <w:lang w:val="en-US" w:eastAsia="fi-FI"/>
        </w:rPr>
      </w:pPr>
    </w:p>
    <w:p w:rsidR="00D906BD" w:rsidRDefault="00D906BD" w:rsidP="00D906BD">
      <w:pPr>
        <w:spacing w:after="0"/>
        <w:textAlignment w:val="baseline"/>
        <w:rPr>
          <w:szCs w:val="24"/>
          <w:lang w:val="en-US" w:eastAsia="fi-FI"/>
        </w:rPr>
      </w:pPr>
      <w:r w:rsidRPr="00B627FD">
        <w:rPr>
          <w:szCs w:val="24"/>
          <w:lang w:val="en-US" w:eastAsia="fi-FI"/>
        </w:rPr>
        <w:t xml:space="preserve">The LFS data comes from similar mixed mode pilot study from 2019 and it consists of the second and third rounds of the study. The sample size was 3200 and the response rate </w:t>
      </w:r>
      <w:r w:rsidRPr="00B627FD">
        <w:rPr>
          <w:szCs w:val="24"/>
          <w:lang w:val="en-US" w:eastAsia="fi-FI"/>
        </w:rPr>
        <w:lastRenderedPageBreak/>
        <w:t>was 42%. Both pilot studies had a similar data collection design, where the respondents first received a letter inviting them to participate on the web. In LFS the letter could also be sent by e-mail or text if the respondent was contacted that way on the first round. After a certain period, the interviewers started to contact the non</w:t>
      </w:r>
      <w:r w:rsidR="005370F8">
        <w:rPr>
          <w:szCs w:val="24"/>
          <w:lang w:val="en-US" w:eastAsia="fi-FI"/>
        </w:rPr>
        <w:t>-</w:t>
      </w:r>
      <w:r w:rsidRPr="00B627FD">
        <w:rPr>
          <w:szCs w:val="24"/>
          <w:lang w:val="en-US" w:eastAsia="fi-FI"/>
        </w:rPr>
        <w:t>respondents by calls, texts and e-mails and continued contacting until the end of data collection period. The interviewers contacted the non</w:t>
      </w:r>
      <w:r w:rsidR="005370F8">
        <w:rPr>
          <w:szCs w:val="24"/>
          <w:lang w:val="en-US" w:eastAsia="fi-FI"/>
        </w:rPr>
        <w:t>-</w:t>
      </w:r>
      <w:r w:rsidRPr="00B627FD">
        <w:rPr>
          <w:szCs w:val="24"/>
          <w:lang w:val="en-US" w:eastAsia="fi-FI"/>
        </w:rPr>
        <w:t>respondents randomly</w:t>
      </w:r>
      <w:r w:rsidR="00C236B1">
        <w:rPr>
          <w:szCs w:val="24"/>
          <w:lang w:val="en-US" w:eastAsia="fi-FI"/>
        </w:rPr>
        <w:t xml:space="preserve">, without </w:t>
      </w:r>
      <w:proofErr w:type="spellStart"/>
      <w:r w:rsidR="00C236B1">
        <w:rPr>
          <w:szCs w:val="24"/>
          <w:lang w:val="en-US" w:eastAsia="fi-FI"/>
        </w:rPr>
        <w:t>priorizing</w:t>
      </w:r>
      <w:proofErr w:type="spellEnd"/>
      <w:r w:rsidR="00C236B1">
        <w:rPr>
          <w:szCs w:val="24"/>
          <w:lang w:val="en-US" w:eastAsia="fi-FI"/>
        </w:rPr>
        <w:t xml:space="preserve"> calls.</w:t>
      </w:r>
    </w:p>
    <w:p w:rsidR="00D906BD" w:rsidRPr="00B627FD" w:rsidRDefault="00D906BD" w:rsidP="00D906BD">
      <w:pPr>
        <w:spacing w:after="0"/>
        <w:textAlignment w:val="baseline"/>
        <w:rPr>
          <w:rFonts w:ascii="Segoe UI" w:hAnsi="Segoe UI" w:cs="Segoe UI"/>
          <w:sz w:val="18"/>
          <w:szCs w:val="18"/>
          <w:lang w:val="en-US" w:eastAsia="fi-FI"/>
        </w:rPr>
      </w:pPr>
    </w:p>
    <w:p w:rsidR="00D906BD" w:rsidRPr="00B627FD" w:rsidRDefault="00D906BD" w:rsidP="00D906BD">
      <w:pPr>
        <w:spacing w:after="0"/>
        <w:textAlignment w:val="baseline"/>
        <w:rPr>
          <w:rFonts w:ascii="Segoe UI" w:hAnsi="Segoe UI" w:cs="Segoe UI"/>
          <w:sz w:val="18"/>
          <w:szCs w:val="18"/>
          <w:lang w:val="en-US" w:eastAsia="fi-FI"/>
        </w:rPr>
      </w:pPr>
      <w:r w:rsidRPr="00B627FD">
        <w:rPr>
          <w:szCs w:val="24"/>
          <w:lang w:val="en-US" w:eastAsia="fi-FI"/>
        </w:rPr>
        <w:t>The </w:t>
      </w:r>
      <w:proofErr w:type="spellStart"/>
      <w:r w:rsidRPr="00B627FD">
        <w:rPr>
          <w:szCs w:val="24"/>
          <w:lang w:val="en-US" w:eastAsia="fi-FI"/>
        </w:rPr>
        <w:t>paradata</w:t>
      </w:r>
      <w:proofErr w:type="spellEnd"/>
      <w:r w:rsidRPr="00B627FD">
        <w:rPr>
          <w:szCs w:val="24"/>
          <w:lang w:val="en-US" w:eastAsia="fi-FI"/>
        </w:rPr>
        <w:t> contains information on each contact including contact time and its result. From the </w:t>
      </w:r>
      <w:proofErr w:type="spellStart"/>
      <w:r w:rsidRPr="00B627FD">
        <w:rPr>
          <w:szCs w:val="24"/>
          <w:lang w:val="en-US" w:eastAsia="fi-FI"/>
        </w:rPr>
        <w:t>paradata</w:t>
      </w:r>
      <w:proofErr w:type="spellEnd"/>
      <w:r w:rsidRPr="00B627FD">
        <w:rPr>
          <w:szCs w:val="24"/>
          <w:lang w:val="en-US" w:eastAsia="fi-FI"/>
        </w:rPr>
        <w:t> we can study e.g. number of calls, messages or letters to each person, the result of every contact time and </w:t>
      </w:r>
      <w:proofErr w:type="gramStart"/>
      <w:r w:rsidRPr="00B627FD">
        <w:rPr>
          <w:szCs w:val="24"/>
          <w:lang w:val="en-US" w:eastAsia="fi-FI"/>
        </w:rPr>
        <w:t>the</w:t>
      </w:r>
      <w:r w:rsidR="005370F8">
        <w:rPr>
          <w:szCs w:val="24"/>
          <w:lang w:val="en-US" w:eastAsia="fi-FI"/>
        </w:rPr>
        <w:t xml:space="preserve"> final</w:t>
      </w:r>
      <w:r w:rsidRPr="00B627FD">
        <w:rPr>
          <w:szCs w:val="24"/>
          <w:lang w:val="en-US" w:eastAsia="fi-FI"/>
        </w:rPr>
        <w:t xml:space="preserve"> result</w:t>
      </w:r>
      <w:proofErr w:type="gramEnd"/>
      <w:r w:rsidRPr="00B627FD">
        <w:rPr>
          <w:szCs w:val="24"/>
          <w:lang w:val="en-US" w:eastAsia="fi-FI"/>
        </w:rPr>
        <w:t> (answering on the web, on the phone or reason for non-response).  </w:t>
      </w:r>
    </w:p>
    <w:p w:rsidR="00D906BD" w:rsidRPr="00D906BD" w:rsidRDefault="00D906BD" w:rsidP="00D52EA1">
      <w:pPr>
        <w:rPr>
          <w:highlight w:val="green"/>
          <w:lang w:val="en-US"/>
        </w:rPr>
      </w:pPr>
    </w:p>
    <w:p w:rsidR="001B50CE" w:rsidRPr="00D906BD" w:rsidRDefault="002178E7" w:rsidP="001B50CE">
      <w:pPr>
        <w:pStyle w:val="Otsikko2"/>
        <w:tabs>
          <w:tab w:val="clear" w:pos="1080"/>
          <w:tab w:val="num" w:pos="482"/>
        </w:tabs>
        <w:ind w:left="482" w:hanging="482"/>
      </w:pPr>
      <w:r>
        <w:t>Construction of propensities</w:t>
      </w:r>
    </w:p>
    <w:p w:rsidR="00D52EA1" w:rsidRDefault="00D906BD" w:rsidP="00E00B08">
      <w:pPr>
        <w:spacing w:after="0"/>
        <w:textAlignment w:val="baseline"/>
        <w:rPr>
          <w:rFonts w:ascii="Segoe UI" w:hAnsi="Segoe UI" w:cs="Segoe UI"/>
          <w:sz w:val="18"/>
          <w:szCs w:val="18"/>
          <w:lang w:val="en-US" w:eastAsia="fi-FI"/>
        </w:rPr>
      </w:pPr>
      <w:r w:rsidRPr="00B627FD">
        <w:rPr>
          <w:szCs w:val="24"/>
          <w:lang w:val="en-US" w:eastAsia="fi-FI"/>
        </w:rPr>
        <w:t>Using the </w:t>
      </w:r>
      <w:proofErr w:type="spellStart"/>
      <w:r w:rsidRPr="00B627FD">
        <w:rPr>
          <w:szCs w:val="24"/>
          <w:lang w:val="en-US" w:eastAsia="fi-FI"/>
        </w:rPr>
        <w:t>paradata</w:t>
      </w:r>
      <w:proofErr w:type="spellEnd"/>
      <w:r w:rsidR="00D20C20">
        <w:rPr>
          <w:szCs w:val="24"/>
          <w:lang w:val="en-US" w:eastAsia="fi-FI"/>
        </w:rPr>
        <w:t>,</w:t>
      </w:r>
      <w:r w:rsidRPr="00B627FD">
        <w:rPr>
          <w:szCs w:val="24"/>
          <w:lang w:val="en-US" w:eastAsia="fi-FI"/>
        </w:rPr>
        <w:t> </w:t>
      </w:r>
      <w:r w:rsidR="00A05BA6">
        <w:rPr>
          <w:szCs w:val="24"/>
          <w:lang w:val="en-US" w:eastAsia="fi-FI"/>
        </w:rPr>
        <w:t>we divide</w:t>
      </w:r>
      <w:r w:rsidRPr="00B627FD">
        <w:rPr>
          <w:szCs w:val="24"/>
          <w:lang w:val="en-US" w:eastAsia="fi-FI"/>
        </w:rPr>
        <w:t xml:space="preserve"> the LFS and SILC to following groups. Easy web respondents are persons who have completed the questionnaire on the net quickly, before any calls have been made. Challenging web respondents are persons who have completed the questionnaire on the net after one or more calls have been made. CATI respondents are persons who have participated in the survey on the phone. Refus</w:t>
      </w:r>
      <w:r w:rsidR="00226012">
        <w:rPr>
          <w:szCs w:val="24"/>
          <w:lang w:val="en-US" w:eastAsia="fi-FI"/>
        </w:rPr>
        <w:t>ers</w:t>
      </w:r>
      <w:r w:rsidRPr="00B627FD">
        <w:rPr>
          <w:szCs w:val="24"/>
          <w:lang w:val="en-US" w:eastAsia="fi-FI"/>
        </w:rPr>
        <w:t xml:space="preserve"> are persons who are non-respondents after calls. Non-contacted non-respondents are non-respondents who have not been contacted by the interviewer. The respondents belong to the first three groups, and the non-respondents belong to the fourth or fifth group. Each sample person belongs to only one group.  </w:t>
      </w:r>
    </w:p>
    <w:p w:rsidR="00E00B08" w:rsidRPr="00E00B08" w:rsidRDefault="00E00B08" w:rsidP="00E00B08">
      <w:pPr>
        <w:spacing w:after="0"/>
        <w:textAlignment w:val="baseline"/>
        <w:rPr>
          <w:rFonts w:ascii="Segoe UI" w:hAnsi="Segoe UI" w:cs="Segoe UI"/>
          <w:sz w:val="18"/>
          <w:szCs w:val="18"/>
          <w:lang w:val="en-US" w:eastAsia="fi-FI"/>
        </w:rPr>
      </w:pPr>
    </w:p>
    <w:p w:rsidR="00D906BD" w:rsidRPr="00D906BD" w:rsidRDefault="00D906BD" w:rsidP="00D906BD">
      <w:pPr>
        <w:spacing w:after="0"/>
        <w:textAlignment w:val="baseline"/>
        <w:rPr>
          <w:rFonts w:ascii="Segoe UI" w:hAnsi="Segoe UI" w:cs="Segoe UI"/>
          <w:sz w:val="18"/>
          <w:szCs w:val="18"/>
          <w:lang w:val="en-US" w:eastAsia="fi-FI"/>
        </w:rPr>
      </w:pPr>
      <w:r w:rsidRPr="00B627FD">
        <w:rPr>
          <w:b/>
          <w:bCs/>
          <w:szCs w:val="24"/>
          <w:lang w:val="en-US" w:eastAsia="fi-FI"/>
        </w:rPr>
        <w:t>Table 1. Groups and their proportions in the LFS and SILC.</w:t>
      </w:r>
      <w:r w:rsidRPr="00B627FD">
        <w:rPr>
          <w:szCs w:val="24"/>
          <w:lang w:val="en-US" w:eastAsia="fi-F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3"/>
        <w:gridCol w:w="2801"/>
        <w:gridCol w:w="2827"/>
      </w:tblGrid>
      <w:tr w:rsidR="00D906BD" w:rsidRPr="00D906BD" w:rsidTr="00273665">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bookmarkStart w:id="0" w:name="_Hlk53568893"/>
            <w:r w:rsidRPr="00D906BD">
              <w:rPr>
                <w:szCs w:val="24"/>
                <w:lang w:val="en-US" w:eastAsia="fi-FI"/>
              </w:rPr>
              <w:t>Group</w:t>
            </w:r>
            <w:r w:rsidRPr="00D906BD">
              <w:rPr>
                <w:szCs w:val="24"/>
                <w:lang w:val="fi-FI" w:eastAsia="fi-FI"/>
              </w:rPr>
              <w:t> </w:t>
            </w:r>
          </w:p>
        </w:tc>
        <w:tc>
          <w:tcPr>
            <w:tcW w:w="3195" w:type="dxa"/>
            <w:tcBorders>
              <w:top w:val="single" w:sz="6" w:space="0" w:color="auto"/>
              <w:left w:val="nil"/>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en-US" w:eastAsia="fi-FI"/>
              </w:rPr>
            </w:pPr>
            <w:r w:rsidRPr="00D906BD">
              <w:rPr>
                <w:szCs w:val="24"/>
                <w:lang w:val="en-US" w:eastAsia="fi-FI"/>
              </w:rPr>
              <w:t>LFS: Proportion of the sample (%) </w:t>
            </w:r>
          </w:p>
        </w:tc>
        <w:tc>
          <w:tcPr>
            <w:tcW w:w="3195" w:type="dxa"/>
            <w:tcBorders>
              <w:top w:val="single" w:sz="6" w:space="0" w:color="auto"/>
              <w:left w:val="nil"/>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en-US" w:eastAsia="fi-FI"/>
              </w:rPr>
            </w:pPr>
            <w:r w:rsidRPr="00D906BD">
              <w:rPr>
                <w:szCs w:val="24"/>
                <w:lang w:val="en-US" w:eastAsia="fi-FI"/>
              </w:rPr>
              <w:t>SILC: Proportion of the sample (%) </w:t>
            </w:r>
          </w:p>
        </w:tc>
      </w:tr>
      <w:tr w:rsidR="00D906BD" w:rsidRPr="00D906BD" w:rsidTr="00273665">
        <w:tc>
          <w:tcPr>
            <w:tcW w:w="3540" w:type="dxa"/>
            <w:tcBorders>
              <w:top w:val="nil"/>
              <w:left w:val="single" w:sz="6" w:space="0" w:color="auto"/>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Easy web respondents</w:t>
            </w:r>
            <w:r w:rsidRPr="00D906BD">
              <w:rPr>
                <w:szCs w:val="24"/>
                <w:lang w:val="fi-FI" w:eastAsia="fi-FI"/>
              </w:rPr>
              <w:t> </w:t>
            </w:r>
          </w:p>
        </w:tc>
        <w:tc>
          <w:tcPr>
            <w:tcW w:w="3195" w:type="dxa"/>
            <w:tcBorders>
              <w:top w:val="nil"/>
              <w:left w:val="nil"/>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6.0</w:t>
            </w:r>
            <w:r w:rsidRPr="00D906BD">
              <w:rPr>
                <w:szCs w:val="24"/>
                <w:lang w:val="fi-FI" w:eastAsia="fi-FI"/>
              </w:rPr>
              <w:t> </w:t>
            </w:r>
          </w:p>
        </w:tc>
        <w:tc>
          <w:tcPr>
            <w:tcW w:w="3195" w:type="dxa"/>
            <w:tcBorders>
              <w:top w:val="nil"/>
              <w:left w:val="nil"/>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11.8</w:t>
            </w:r>
            <w:r w:rsidRPr="00D906BD">
              <w:rPr>
                <w:szCs w:val="24"/>
                <w:lang w:val="fi-FI" w:eastAsia="fi-FI"/>
              </w:rPr>
              <w:t> </w:t>
            </w:r>
          </w:p>
        </w:tc>
      </w:tr>
      <w:tr w:rsidR="00D906BD" w:rsidRPr="00D906BD" w:rsidTr="00273665">
        <w:tc>
          <w:tcPr>
            <w:tcW w:w="3540" w:type="dxa"/>
            <w:tcBorders>
              <w:top w:val="nil"/>
              <w:left w:val="single" w:sz="6" w:space="0" w:color="auto"/>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Challenging web respondents</w:t>
            </w:r>
            <w:r w:rsidRPr="00D906BD">
              <w:rPr>
                <w:szCs w:val="24"/>
                <w:lang w:val="fi-FI" w:eastAsia="fi-FI"/>
              </w:rPr>
              <w:t> </w:t>
            </w:r>
          </w:p>
        </w:tc>
        <w:tc>
          <w:tcPr>
            <w:tcW w:w="3195" w:type="dxa"/>
            <w:tcBorders>
              <w:top w:val="nil"/>
              <w:left w:val="nil"/>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16.9</w:t>
            </w:r>
            <w:r w:rsidRPr="00D906BD">
              <w:rPr>
                <w:szCs w:val="24"/>
                <w:lang w:val="fi-FI" w:eastAsia="fi-FI"/>
              </w:rPr>
              <w:t> </w:t>
            </w:r>
          </w:p>
        </w:tc>
        <w:tc>
          <w:tcPr>
            <w:tcW w:w="3195" w:type="dxa"/>
            <w:tcBorders>
              <w:top w:val="nil"/>
              <w:left w:val="nil"/>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13.7</w:t>
            </w:r>
            <w:r w:rsidRPr="00D906BD">
              <w:rPr>
                <w:szCs w:val="24"/>
                <w:lang w:val="fi-FI" w:eastAsia="fi-FI"/>
              </w:rPr>
              <w:t> </w:t>
            </w:r>
          </w:p>
        </w:tc>
      </w:tr>
      <w:tr w:rsidR="00D906BD" w:rsidRPr="00D906BD" w:rsidTr="00273665">
        <w:tc>
          <w:tcPr>
            <w:tcW w:w="3540" w:type="dxa"/>
            <w:tcBorders>
              <w:top w:val="nil"/>
              <w:left w:val="single" w:sz="6" w:space="0" w:color="auto"/>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CATI respondents</w:t>
            </w:r>
            <w:r w:rsidRPr="00D906BD">
              <w:rPr>
                <w:szCs w:val="24"/>
                <w:lang w:val="fi-FI" w:eastAsia="fi-FI"/>
              </w:rPr>
              <w:t> </w:t>
            </w:r>
          </w:p>
        </w:tc>
        <w:tc>
          <w:tcPr>
            <w:tcW w:w="3195" w:type="dxa"/>
            <w:tcBorders>
              <w:top w:val="nil"/>
              <w:left w:val="nil"/>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22.7</w:t>
            </w:r>
            <w:r w:rsidRPr="00D906BD">
              <w:rPr>
                <w:szCs w:val="24"/>
                <w:lang w:val="fi-FI" w:eastAsia="fi-FI"/>
              </w:rPr>
              <w:t> </w:t>
            </w:r>
          </w:p>
        </w:tc>
        <w:tc>
          <w:tcPr>
            <w:tcW w:w="3195" w:type="dxa"/>
            <w:tcBorders>
              <w:top w:val="nil"/>
              <w:left w:val="nil"/>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10.5</w:t>
            </w:r>
            <w:r w:rsidRPr="00D906BD">
              <w:rPr>
                <w:szCs w:val="24"/>
                <w:lang w:val="fi-FI" w:eastAsia="fi-FI"/>
              </w:rPr>
              <w:t> </w:t>
            </w:r>
          </w:p>
        </w:tc>
      </w:tr>
      <w:tr w:rsidR="00D906BD" w:rsidRPr="00D906BD" w:rsidTr="00273665">
        <w:tc>
          <w:tcPr>
            <w:tcW w:w="3540" w:type="dxa"/>
            <w:tcBorders>
              <w:top w:val="nil"/>
              <w:left w:val="single" w:sz="6" w:space="0" w:color="auto"/>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Refus</w:t>
            </w:r>
            <w:r w:rsidR="00226012">
              <w:rPr>
                <w:szCs w:val="24"/>
                <w:lang w:val="en-US" w:eastAsia="fi-FI"/>
              </w:rPr>
              <w:t>ers</w:t>
            </w:r>
          </w:p>
        </w:tc>
        <w:tc>
          <w:tcPr>
            <w:tcW w:w="3195" w:type="dxa"/>
            <w:tcBorders>
              <w:top w:val="nil"/>
              <w:left w:val="nil"/>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36.9</w:t>
            </w:r>
            <w:r w:rsidRPr="00D906BD">
              <w:rPr>
                <w:szCs w:val="24"/>
                <w:lang w:val="fi-FI" w:eastAsia="fi-FI"/>
              </w:rPr>
              <w:t> </w:t>
            </w:r>
          </w:p>
        </w:tc>
        <w:tc>
          <w:tcPr>
            <w:tcW w:w="3195" w:type="dxa"/>
            <w:tcBorders>
              <w:top w:val="nil"/>
              <w:left w:val="nil"/>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24.3</w:t>
            </w:r>
            <w:r w:rsidRPr="00D906BD">
              <w:rPr>
                <w:szCs w:val="24"/>
                <w:lang w:val="fi-FI" w:eastAsia="fi-FI"/>
              </w:rPr>
              <w:t> </w:t>
            </w:r>
          </w:p>
        </w:tc>
      </w:tr>
      <w:tr w:rsidR="00D906BD" w:rsidRPr="00D906BD" w:rsidTr="00273665">
        <w:tc>
          <w:tcPr>
            <w:tcW w:w="3540" w:type="dxa"/>
            <w:tcBorders>
              <w:top w:val="nil"/>
              <w:left w:val="single" w:sz="6" w:space="0" w:color="auto"/>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Non-contacted non-respondents</w:t>
            </w:r>
            <w:r w:rsidRPr="00D906BD">
              <w:rPr>
                <w:szCs w:val="24"/>
                <w:lang w:val="fi-FI" w:eastAsia="fi-FI"/>
              </w:rPr>
              <w:t> </w:t>
            </w:r>
          </w:p>
        </w:tc>
        <w:tc>
          <w:tcPr>
            <w:tcW w:w="3195" w:type="dxa"/>
            <w:tcBorders>
              <w:top w:val="nil"/>
              <w:left w:val="nil"/>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17.5</w:t>
            </w:r>
            <w:r w:rsidRPr="00D906BD">
              <w:rPr>
                <w:szCs w:val="24"/>
                <w:lang w:val="fi-FI" w:eastAsia="fi-FI"/>
              </w:rPr>
              <w:t> </w:t>
            </w:r>
          </w:p>
        </w:tc>
        <w:tc>
          <w:tcPr>
            <w:tcW w:w="3195" w:type="dxa"/>
            <w:tcBorders>
              <w:top w:val="nil"/>
              <w:left w:val="nil"/>
              <w:bottom w:val="single" w:sz="6" w:space="0" w:color="auto"/>
              <w:right w:val="single" w:sz="6" w:space="0" w:color="auto"/>
            </w:tcBorders>
            <w:shd w:val="clear" w:color="auto" w:fill="auto"/>
            <w:hideMark/>
          </w:tcPr>
          <w:p w:rsidR="00D906BD" w:rsidRPr="00D906BD" w:rsidRDefault="00D906BD" w:rsidP="00D906BD">
            <w:pPr>
              <w:spacing w:after="0"/>
              <w:jc w:val="left"/>
              <w:textAlignment w:val="baseline"/>
              <w:rPr>
                <w:szCs w:val="24"/>
                <w:lang w:val="fi-FI" w:eastAsia="fi-FI"/>
              </w:rPr>
            </w:pPr>
            <w:r w:rsidRPr="00D906BD">
              <w:rPr>
                <w:szCs w:val="24"/>
                <w:lang w:val="en-US" w:eastAsia="fi-FI"/>
              </w:rPr>
              <w:t>39.6</w:t>
            </w:r>
            <w:r w:rsidRPr="00D906BD">
              <w:rPr>
                <w:szCs w:val="24"/>
                <w:lang w:val="fi-FI" w:eastAsia="fi-FI"/>
              </w:rPr>
              <w:t> </w:t>
            </w:r>
          </w:p>
        </w:tc>
      </w:tr>
      <w:bookmarkEnd w:id="0"/>
    </w:tbl>
    <w:p w:rsidR="00D906BD" w:rsidRDefault="00D906BD" w:rsidP="00D52EA1">
      <w:pPr>
        <w:rPr>
          <w:highlight w:val="green"/>
        </w:rPr>
      </w:pPr>
    </w:p>
    <w:p w:rsidR="00D906BD" w:rsidRPr="00B627FD" w:rsidRDefault="004660D2" w:rsidP="00D906BD">
      <w:pPr>
        <w:spacing w:after="0"/>
        <w:textAlignment w:val="baseline"/>
        <w:rPr>
          <w:rFonts w:ascii="Segoe UI" w:hAnsi="Segoe UI" w:cs="Segoe UI"/>
          <w:sz w:val="18"/>
          <w:szCs w:val="18"/>
          <w:lang w:val="en-US" w:eastAsia="fi-FI"/>
        </w:rPr>
      </w:pPr>
      <w:r>
        <w:rPr>
          <w:szCs w:val="24"/>
          <w:lang w:val="en-US" w:eastAsia="fi-FI"/>
        </w:rPr>
        <w:t>We analyze b</w:t>
      </w:r>
      <w:r w:rsidR="00D906BD" w:rsidRPr="00B627FD">
        <w:rPr>
          <w:szCs w:val="24"/>
          <w:lang w:val="en-US" w:eastAsia="fi-FI"/>
        </w:rPr>
        <w:t xml:space="preserve">elonging to these groups </w:t>
      </w:r>
      <w:r w:rsidR="00706E88">
        <w:rPr>
          <w:szCs w:val="24"/>
          <w:lang w:val="en-US" w:eastAsia="fi-FI"/>
        </w:rPr>
        <w:t>with</w:t>
      </w:r>
      <w:r w:rsidR="00D906BD" w:rsidRPr="00B627FD">
        <w:rPr>
          <w:szCs w:val="24"/>
          <w:lang w:val="en-US" w:eastAsia="fi-FI"/>
        </w:rPr>
        <w:t xml:space="preserve"> a logistic regression model. </w:t>
      </w:r>
      <w:r w:rsidR="00D20C20" w:rsidRPr="00D20C20">
        <w:rPr>
          <w:szCs w:val="24"/>
          <w:lang w:val="en-US" w:eastAsia="fi-FI"/>
        </w:rPr>
        <w:t xml:space="preserve"> </w:t>
      </w:r>
      <w:r w:rsidR="00D20C20" w:rsidRPr="00B627FD">
        <w:rPr>
          <w:szCs w:val="24"/>
          <w:lang w:val="en-US" w:eastAsia="fi-FI"/>
        </w:rPr>
        <w:t>The idea is same as when response propensities are calculated from a response propensity model. In that model, the dependent variable is a binary response indicator (1 = respondent, 0 = non-respondent). </w:t>
      </w:r>
      <w:r w:rsidR="00D906BD" w:rsidRPr="00B627FD">
        <w:rPr>
          <w:szCs w:val="24"/>
          <w:lang w:val="en-US" w:eastAsia="fi-FI"/>
        </w:rPr>
        <w:t>We determine binary variables based on the five groups. For example, variable </w:t>
      </w:r>
      <w:proofErr w:type="spellStart"/>
      <w:r w:rsidR="00D906BD" w:rsidRPr="00B627FD">
        <w:rPr>
          <w:szCs w:val="24"/>
          <w:lang w:val="en-US" w:eastAsia="fi-FI"/>
        </w:rPr>
        <w:t>easyweb</w:t>
      </w:r>
      <w:proofErr w:type="spellEnd"/>
      <w:r w:rsidR="00D906BD" w:rsidRPr="00B627FD">
        <w:rPr>
          <w:szCs w:val="24"/>
          <w:lang w:val="en-US" w:eastAsia="fi-FI"/>
        </w:rPr>
        <w:t> (1 = easy web respondent, 0 = other) determines whether a person is easy web respondent or not. We determine similar binary indicators for all five groups. Explanatory variables are register variables such as gender, age group and level of education, municipality group, language, the existence of an email address and occupation classification. The logistic regression model</w:t>
      </w:r>
      <w:r w:rsidR="00D20C20">
        <w:rPr>
          <w:szCs w:val="24"/>
          <w:lang w:val="en-US" w:eastAsia="fi-FI"/>
        </w:rPr>
        <w:t>s</w:t>
      </w:r>
      <w:r w:rsidR="00D906BD" w:rsidRPr="00B627FD">
        <w:rPr>
          <w:szCs w:val="24"/>
          <w:lang w:val="en-US" w:eastAsia="fi-FI"/>
        </w:rPr>
        <w:t> construct propensities to belong the easy web respondents, challenging web respondents etc. </w:t>
      </w:r>
    </w:p>
    <w:p w:rsidR="00D906BD" w:rsidRPr="00B627FD" w:rsidRDefault="00D906BD" w:rsidP="00D906BD">
      <w:pPr>
        <w:spacing w:after="0"/>
        <w:textAlignment w:val="baseline"/>
        <w:rPr>
          <w:rFonts w:ascii="Segoe UI" w:hAnsi="Segoe UI" w:cs="Segoe UI"/>
          <w:sz w:val="18"/>
          <w:szCs w:val="18"/>
          <w:lang w:val="en-US" w:eastAsia="fi-FI"/>
        </w:rPr>
      </w:pPr>
      <w:r w:rsidRPr="00B627FD">
        <w:rPr>
          <w:szCs w:val="24"/>
          <w:lang w:val="en-US" w:eastAsia="fi-FI"/>
        </w:rPr>
        <w:t> </w:t>
      </w:r>
    </w:p>
    <w:p w:rsidR="00D906BD" w:rsidRPr="00B627FD" w:rsidRDefault="00D906BD" w:rsidP="00D906BD">
      <w:pPr>
        <w:spacing w:after="0"/>
        <w:textAlignment w:val="baseline"/>
        <w:rPr>
          <w:rFonts w:ascii="Segoe UI" w:hAnsi="Segoe UI" w:cs="Segoe UI"/>
          <w:sz w:val="18"/>
          <w:szCs w:val="18"/>
          <w:lang w:val="en-US" w:eastAsia="fi-FI"/>
        </w:rPr>
      </w:pPr>
      <w:r w:rsidRPr="00B627FD">
        <w:rPr>
          <w:szCs w:val="24"/>
          <w:lang w:val="en-US" w:eastAsia="fi-FI"/>
        </w:rPr>
        <w:t>Table 1 shows that when the </w:t>
      </w:r>
      <w:r w:rsidR="007E24AE">
        <w:rPr>
          <w:szCs w:val="24"/>
          <w:lang w:val="en-US" w:eastAsia="fi-FI"/>
        </w:rPr>
        <w:t>datasets are</w:t>
      </w:r>
      <w:r w:rsidRPr="00B627FD">
        <w:rPr>
          <w:szCs w:val="24"/>
          <w:lang w:val="en-US" w:eastAsia="fi-FI"/>
        </w:rPr>
        <w:t xml:space="preserve"> divided into five groups, the proportions are quite low. For example, the easy web respondents</w:t>
      </w:r>
      <w:r w:rsidR="007E24AE">
        <w:rPr>
          <w:szCs w:val="24"/>
          <w:lang w:val="en-US" w:eastAsia="fi-FI"/>
        </w:rPr>
        <w:t xml:space="preserve"> of the LFS</w:t>
      </w:r>
      <w:r w:rsidRPr="00B627FD">
        <w:rPr>
          <w:szCs w:val="24"/>
          <w:lang w:val="en-US" w:eastAsia="fi-FI"/>
        </w:rPr>
        <w:t xml:space="preserve"> represent only 6.0% of the sample. Then it is more difficult to find explanatory variables to the logistic regression model. </w:t>
      </w:r>
    </w:p>
    <w:p w:rsidR="00D906BD" w:rsidRDefault="00D906BD" w:rsidP="00D52EA1">
      <w:pPr>
        <w:rPr>
          <w:highlight w:val="green"/>
          <w:lang w:val="en-US"/>
        </w:rPr>
      </w:pPr>
    </w:p>
    <w:p w:rsidR="00D906BD" w:rsidRDefault="00D906BD" w:rsidP="00D906BD">
      <w:pPr>
        <w:pStyle w:val="Otsikko2"/>
        <w:tabs>
          <w:tab w:val="clear" w:pos="1080"/>
          <w:tab w:val="num" w:pos="482"/>
        </w:tabs>
        <w:ind w:left="482" w:hanging="482"/>
      </w:pPr>
      <w:r>
        <w:lastRenderedPageBreak/>
        <w:t>Imputation</w:t>
      </w:r>
    </w:p>
    <w:p w:rsidR="00D906BD" w:rsidRPr="00B627FD" w:rsidRDefault="00D906BD" w:rsidP="00D906BD">
      <w:pPr>
        <w:spacing w:after="0"/>
        <w:textAlignment w:val="baseline"/>
        <w:rPr>
          <w:rFonts w:ascii="Segoe UI" w:hAnsi="Segoe UI" w:cs="Segoe UI"/>
          <w:sz w:val="18"/>
          <w:szCs w:val="18"/>
          <w:lang w:val="en-US" w:eastAsia="fi-FI"/>
        </w:rPr>
      </w:pPr>
      <w:r w:rsidRPr="00B627FD">
        <w:rPr>
          <w:szCs w:val="24"/>
          <w:lang w:val="en-US" w:eastAsia="fi-FI"/>
        </w:rPr>
        <w:t>The propensities can be imputed to a new sample using register variables. </w:t>
      </w:r>
      <w:r w:rsidR="007E24AE">
        <w:rPr>
          <w:szCs w:val="24"/>
          <w:lang w:val="en-US" w:eastAsia="fi-FI"/>
        </w:rPr>
        <w:t xml:space="preserve">We </w:t>
      </w:r>
      <w:r w:rsidRPr="00B627FD">
        <w:rPr>
          <w:szCs w:val="24"/>
          <w:lang w:val="en-US" w:eastAsia="fi-FI"/>
        </w:rPr>
        <w:t>us</w:t>
      </w:r>
      <w:r w:rsidR="007E24AE">
        <w:rPr>
          <w:szCs w:val="24"/>
          <w:lang w:val="en-US" w:eastAsia="fi-FI"/>
        </w:rPr>
        <w:t>e</w:t>
      </w:r>
      <w:r w:rsidRPr="00B627FD">
        <w:rPr>
          <w:szCs w:val="24"/>
          <w:lang w:val="en-US" w:eastAsia="fi-FI"/>
        </w:rPr>
        <w:t xml:space="preserve"> a donor-recipient method where donor and recipient are similar according to register variables. For this method, the both datasets must contain same register variables with similar classifications. The same method has also been used earlier when response propensities have been imputed to a new sample [3]. </w:t>
      </w:r>
    </w:p>
    <w:p w:rsidR="00D906BD" w:rsidRPr="00B627FD" w:rsidRDefault="00D906BD" w:rsidP="00D906BD">
      <w:pPr>
        <w:spacing w:after="0"/>
        <w:textAlignment w:val="baseline"/>
        <w:rPr>
          <w:rFonts w:ascii="Segoe UI" w:hAnsi="Segoe UI" w:cs="Segoe UI"/>
          <w:sz w:val="18"/>
          <w:szCs w:val="18"/>
          <w:lang w:val="en-US" w:eastAsia="fi-FI"/>
        </w:rPr>
      </w:pPr>
      <w:r w:rsidRPr="00B627FD">
        <w:rPr>
          <w:szCs w:val="24"/>
          <w:lang w:val="en-US" w:eastAsia="fi-FI"/>
        </w:rPr>
        <w:t> </w:t>
      </w:r>
    </w:p>
    <w:p w:rsidR="00D906BD" w:rsidRDefault="00D906BD" w:rsidP="00D906BD">
      <w:pPr>
        <w:spacing w:after="0"/>
        <w:textAlignment w:val="baseline"/>
        <w:rPr>
          <w:szCs w:val="24"/>
          <w:lang w:val="en-US" w:eastAsia="fi-FI"/>
        </w:rPr>
      </w:pPr>
      <w:r w:rsidRPr="00B627FD">
        <w:rPr>
          <w:szCs w:val="24"/>
          <w:lang w:val="en-US" w:eastAsia="fi-FI"/>
        </w:rPr>
        <w:t xml:space="preserve">The imputation uses the same register variables that have been explanatory variables in logistic regression models. Note that the regression models may have different explanatory variables when it comes to easy web respondents, challenging web respondents etc. Thus, the five propensities are imputed separately. For example, suppose that the logistic regression model for easy web respondents contain three explanatory variables: gender (2 classes), education (3 classes) and language (3 classes). This means that the dataset contains 18 different easy web propensities. For example, easy web propensity for a Finnish speaking woman with a higher education degree is 0.114. People </w:t>
      </w:r>
      <w:r w:rsidR="00E81A32">
        <w:rPr>
          <w:szCs w:val="24"/>
          <w:lang w:val="en-US" w:eastAsia="fi-FI"/>
        </w:rPr>
        <w:t>belonging to this group</w:t>
      </w:r>
      <w:r w:rsidRPr="00B627FD">
        <w:rPr>
          <w:szCs w:val="24"/>
          <w:lang w:val="en-US" w:eastAsia="fi-FI"/>
        </w:rPr>
        <w:t xml:space="preserve"> in the new sample will get imputed easy web propensity 0.114. This imputation method is sensitive to the number of imputation variables. If there are a lot of variables, imputation is difficult to implement. [3]. Therefore,</w:t>
      </w:r>
      <w:r w:rsidR="00060D3E" w:rsidRPr="00B627FD">
        <w:rPr>
          <w:szCs w:val="24"/>
          <w:lang w:val="en-US" w:eastAsia="fi-FI"/>
        </w:rPr>
        <w:t xml:space="preserve"> </w:t>
      </w:r>
      <w:r w:rsidRPr="00B627FD">
        <w:rPr>
          <w:szCs w:val="24"/>
          <w:lang w:val="en-US" w:eastAsia="fi-FI"/>
        </w:rPr>
        <w:t>the logistic regression model should contain about three best explanatory variables. Then the imputation should work well. </w:t>
      </w:r>
    </w:p>
    <w:p w:rsidR="00E81A32" w:rsidRPr="00B627FD" w:rsidRDefault="00E81A32" w:rsidP="00D906BD">
      <w:pPr>
        <w:spacing w:after="0"/>
        <w:textAlignment w:val="baseline"/>
        <w:rPr>
          <w:rFonts w:ascii="Segoe UI" w:hAnsi="Segoe UI" w:cs="Segoe UI"/>
          <w:sz w:val="18"/>
          <w:szCs w:val="18"/>
          <w:lang w:val="en-US" w:eastAsia="fi-FI"/>
        </w:rPr>
      </w:pPr>
    </w:p>
    <w:p w:rsidR="00E81A32" w:rsidRPr="00E81A32" w:rsidRDefault="00E81A32" w:rsidP="00E81A32">
      <w:pPr>
        <w:pStyle w:val="Otsikko2"/>
        <w:tabs>
          <w:tab w:val="clear" w:pos="1080"/>
          <w:tab w:val="num" w:pos="482"/>
        </w:tabs>
        <w:ind w:left="482" w:hanging="482"/>
      </w:pPr>
      <w:r>
        <w:t>Use of propensities in a new data collection</w:t>
      </w:r>
    </w:p>
    <w:p w:rsidR="00D906BD" w:rsidRPr="00E00B08" w:rsidRDefault="00D906BD" w:rsidP="00E00B08">
      <w:pPr>
        <w:spacing w:after="0"/>
        <w:textAlignment w:val="baseline"/>
        <w:rPr>
          <w:rFonts w:ascii="Segoe UI" w:hAnsi="Segoe UI" w:cs="Segoe UI"/>
          <w:sz w:val="18"/>
          <w:szCs w:val="18"/>
          <w:lang w:val="en-US" w:eastAsia="fi-FI"/>
        </w:rPr>
      </w:pPr>
      <w:r w:rsidRPr="00B627FD">
        <w:rPr>
          <w:szCs w:val="24"/>
          <w:lang w:val="en-US" w:eastAsia="fi-FI"/>
        </w:rPr>
        <w:t xml:space="preserve">When the propensities have been imputed to the new sample, the propensities can be utilized in different ways in the data collection. People who have higher easy web propensity need fewer calls from the interviewers, because they are expected to participate in the survey independently on the web. The interviewers can try to recommend web </w:t>
      </w:r>
      <w:r w:rsidR="00E81A32">
        <w:rPr>
          <w:szCs w:val="24"/>
          <w:lang w:val="en-US" w:eastAsia="fi-FI"/>
        </w:rPr>
        <w:t>mode</w:t>
      </w:r>
      <w:r w:rsidRPr="00B627FD">
        <w:rPr>
          <w:szCs w:val="24"/>
          <w:lang w:val="en-US" w:eastAsia="fi-FI"/>
        </w:rPr>
        <w:t xml:space="preserve"> to people who have higher challenging web propensity. If the interviewers succeed in this, they have less CATI interviews and they can better focus on the other persons in the sample. It is also useful to know potential CATI respondents, refus</w:t>
      </w:r>
      <w:r w:rsidR="00772CF9">
        <w:rPr>
          <w:szCs w:val="24"/>
          <w:lang w:val="en-US" w:eastAsia="fi-FI"/>
        </w:rPr>
        <w:t>ers</w:t>
      </w:r>
      <w:r w:rsidRPr="00B627FD">
        <w:rPr>
          <w:szCs w:val="24"/>
          <w:lang w:val="en-US" w:eastAsia="fi-FI"/>
        </w:rPr>
        <w:t> or hard-to-contact people, because then the data collection can be planned in a new way. </w:t>
      </w:r>
    </w:p>
    <w:p w:rsidR="00BC6AFE" w:rsidRDefault="00BC6AFE" w:rsidP="00BC6AFE">
      <w:pPr>
        <w:pStyle w:val="Otsikko1"/>
      </w:pPr>
      <w:r>
        <w:t>Results</w:t>
      </w:r>
    </w:p>
    <w:p w:rsidR="00D906BD" w:rsidRDefault="00D906BD" w:rsidP="00D906BD">
      <w:pPr>
        <w:spacing w:after="0"/>
        <w:textAlignment w:val="baseline"/>
        <w:rPr>
          <w:szCs w:val="24"/>
          <w:lang w:val="en-US" w:eastAsia="fi-FI"/>
        </w:rPr>
      </w:pPr>
      <w:r w:rsidRPr="00B627FD">
        <w:rPr>
          <w:szCs w:val="24"/>
          <w:lang w:eastAsia="fi-FI"/>
        </w:rPr>
        <w:t xml:space="preserve">We calculated propensities for the SILC, for the same groups as in Table 1. We used the same model for all dependent variables. The explanatory variables were gender, age group, education, municipality group and some interactions of these variables. We imputed the propensities to the LFS using the explanatory variables of the model in imputation. We also calculated propensities using the LFS dataset and same </w:t>
      </w:r>
      <w:r w:rsidR="00A02264" w:rsidRPr="00B627FD">
        <w:rPr>
          <w:szCs w:val="24"/>
          <w:lang w:eastAsia="fi-FI"/>
        </w:rPr>
        <w:t>models</w:t>
      </w:r>
      <w:r w:rsidR="00A02264">
        <w:rPr>
          <w:szCs w:val="24"/>
          <w:lang w:eastAsia="fi-FI"/>
        </w:rPr>
        <w:t xml:space="preserve"> and</w:t>
      </w:r>
      <w:r w:rsidRPr="00B627FD">
        <w:rPr>
          <w:szCs w:val="24"/>
          <w:lang w:eastAsia="fi-FI"/>
        </w:rPr>
        <w:t> compared the propensities to imputed propensities by calculating correlation coefficients.</w:t>
      </w:r>
      <w:r w:rsidRPr="00B627FD">
        <w:rPr>
          <w:szCs w:val="24"/>
          <w:lang w:val="en-US" w:eastAsia="fi-FI"/>
        </w:rPr>
        <w:t> </w:t>
      </w:r>
    </w:p>
    <w:p w:rsidR="00E81A32" w:rsidRPr="00B627FD" w:rsidRDefault="00E81A32" w:rsidP="00D906BD">
      <w:pPr>
        <w:spacing w:after="0"/>
        <w:textAlignment w:val="baseline"/>
        <w:rPr>
          <w:rFonts w:ascii="Segoe UI" w:hAnsi="Segoe UI" w:cs="Segoe UI"/>
          <w:sz w:val="18"/>
          <w:szCs w:val="18"/>
          <w:lang w:val="en-US" w:eastAsia="fi-FI"/>
        </w:rPr>
      </w:pPr>
    </w:p>
    <w:p w:rsidR="00A02264" w:rsidRDefault="00D906BD" w:rsidP="00D906BD">
      <w:pPr>
        <w:spacing w:after="0"/>
        <w:textAlignment w:val="baseline"/>
        <w:rPr>
          <w:szCs w:val="24"/>
          <w:lang w:eastAsia="fi-FI"/>
        </w:rPr>
      </w:pPr>
      <w:r w:rsidRPr="00B627FD">
        <w:rPr>
          <w:szCs w:val="24"/>
          <w:lang w:eastAsia="fi-FI"/>
        </w:rPr>
        <w:t>In</w:t>
      </w:r>
      <w:r w:rsidR="00E81A32">
        <w:rPr>
          <w:szCs w:val="24"/>
          <w:lang w:eastAsia="fi-FI"/>
        </w:rPr>
        <w:t xml:space="preserve"> the</w:t>
      </w:r>
      <w:r w:rsidRPr="00B627FD">
        <w:rPr>
          <w:szCs w:val="24"/>
          <w:lang w:eastAsia="fi-FI"/>
        </w:rPr>
        <w:t xml:space="preserve"> LFS and </w:t>
      </w:r>
      <w:r w:rsidR="00E81A32">
        <w:rPr>
          <w:szCs w:val="24"/>
          <w:lang w:eastAsia="fi-FI"/>
        </w:rPr>
        <w:t xml:space="preserve">the </w:t>
      </w:r>
      <w:r w:rsidRPr="00B627FD">
        <w:rPr>
          <w:szCs w:val="24"/>
          <w:lang w:eastAsia="fi-FI"/>
        </w:rPr>
        <w:t>SILC</w:t>
      </w:r>
      <w:r w:rsidR="00E81A32">
        <w:rPr>
          <w:szCs w:val="24"/>
          <w:lang w:eastAsia="fi-FI"/>
        </w:rPr>
        <w:t>,</w:t>
      </w:r>
      <w:r w:rsidRPr="00B627FD">
        <w:rPr>
          <w:szCs w:val="24"/>
          <w:lang w:eastAsia="fi-FI"/>
        </w:rPr>
        <w:t xml:space="preserve"> gender and age distributions for the different respondent profiles were quite similar. This suggests that the response </w:t>
      </w:r>
      <w:proofErr w:type="spellStart"/>
      <w:r w:rsidR="00E55CFC">
        <w:rPr>
          <w:szCs w:val="24"/>
          <w:lang w:eastAsia="fi-FI"/>
        </w:rPr>
        <w:t>behavior</w:t>
      </w:r>
      <w:proofErr w:type="spellEnd"/>
      <w:r w:rsidRPr="00B627FD">
        <w:rPr>
          <w:szCs w:val="24"/>
          <w:lang w:eastAsia="fi-FI"/>
        </w:rPr>
        <w:t xml:space="preserve"> is not linked to the theme of the data collection or to the length of the questionnaire. However, some differences were observed among profession and education classes.</w:t>
      </w:r>
    </w:p>
    <w:p w:rsidR="00D906BD" w:rsidRPr="00B627FD" w:rsidRDefault="00D906BD" w:rsidP="00D906BD">
      <w:pPr>
        <w:spacing w:after="0"/>
        <w:textAlignment w:val="baseline"/>
        <w:rPr>
          <w:rFonts w:ascii="Segoe UI" w:hAnsi="Segoe UI" w:cs="Segoe UI"/>
          <w:sz w:val="18"/>
          <w:szCs w:val="18"/>
          <w:lang w:val="en-US" w:eastAsia="fi-FI"/>
        </w:rPr>
      </w:pPr>
      <w:r w:rsidRPr="00B627FD">
        <w:rPr>
          <w:szCs w:val="24"/>
          <w:lang w:val="en-US" w:eastAsia="fi-FI"/>
        </w:rPr>
        <w:t> </w:t>
      </w:r>
    </w:p>
    <w:p w:rsidR="00D906BD" w:rsidRDefault="00D906BD" w:rsidP="00D906BD">
      <w:pPr>
        <w:spacing w:after="0"/>
        <w:textAlignment w:val="baseline"/>
        <w:rPr>
          <w:szCs w:val="24"/>
          <w:lang w:val="en-US" w:eastAsia="fi-FI"/>
        </w:rPr>
      </w:pPr>
      <w:r w:rsidRPr="00B627FD">
        <w:rPr>
          <w:szCs w:val="24"/>
          <w:lang w:eastAsia="fi-FI"/>
        </w:rPr>
        <w:t>In the both datasets, the explanatory variables had 71 combinations. This means that the models produced 71 different propensities for each response profile. The correlation between imputed propensities and LFS propensities varied. The correlation was 0.54 for easy web respondents, 0.74 for challenging web respondents, 0.92 for CATI respondents, 0.18 for refus</w:t>
      </w:r>
      <w:r w:rsidR="00226012">
        <w:rPr>
          <w:szCs w:val="24"/>
          <w:lang w:eastAsia="fi-FI"/>
        </w:rPr>
        <w:t>er</w:t>
      </w:r>
      <w:r w:rsidRPr="00B627FD">
        <w:rPr>
          <w:szCs w:val="24"/>
          <w:lang w:eastAsia="fi-FI"/>
        </w:rPr>
        <w:t xml:space="preserve">s and 0.79 for non-contacted non-respondents. This means </w:t>
      </w:r>
      <w:r w:rsidRPr="00B627FD">
        <w:rPr>
          <w:szCs w:val="24"/>
          <w:lang w:eastAsia="fi-FI"/>
        </w:rPr>
        <w:lastRenderedPageBreak/>
        <w:t>that the CATI respondents were quite similar according to auxiliary variables in the SILC and LFS, but the refus</w:t>
      </w:r>
      <w:r w:rsidR="00E55CFC">
        <w:rPr>
          <w:szCs w:val="24"/>
          <w:lang w:eastAsia="fi-FI"/>
        </w:rPr>
        <w:t>ers</w:t>
      </w:r>
      <w:r w:rsidRPr="00B627FD">
        <w:rPr>
          <w:szCs w:val="24"/>
          <w:lang w:eastAsia="fi-FI"/>
        </w:rPr>
        <w:t xml:space="preserve"> were different. This suggests that the propensities should be jointly classified to create a trustworthy guiding parameter for the data collection.</w:t>
      </w:r>
      <w:r w:rsidRPr="00B627FD">
        <w:rPr>
          <w:szCs w:val="24"/>
          <w:lang w:val="en-US" w:eastAsia="fi-FI"/>
        </w:rPr>
        <w:t> </w:t>
      </w:r>
    </w:p>
    <w:p w:rsidR="00E81A32" w:rsidRPr="00B627FD" w:rsidRDefault="00E81A32" w:rsidP="00D906BD">
      <w:pPr>
        <w:spacing w:after="0"/>
        <w:textAlignment w:val="baseline"/>
        <w:rPr>
          <w:rFonts w:ascii="Segoe UI" w:hAnsi="Segoe UI" w:cs="Segoe UI"/>
          <w:sz w:val="18"/>
          <w:szCs w:val="18"/>
          <w:lang w:val="en-US" w:eastAsia="fi-FI"/>
        </w:rPr>
      </w:pPr>
    </w:p>
    <w:p w:rsidR="00D906BD" w:rsidRPr="00B627FD" w:rsidRDefault="00D906BD" w:rsidP="00D906BD">
      <w:pPr>
        <w:spacing w:after="0"/>
        <w:textAlignment w:val="baseline"/>
        <w:rPr>
          <w:rFonts w:ascii="Segoe UI" w:hAnsi="Segoe UI" w:cs="Segoe UI"/>
          <w:sz w:val="18"/>
          <w:szCs w:val="18"/>
          <w:lang w:val="en-US" w:eastAsia="fi-FI"/>
        </w:rPr>
      </w:pPr>
      <w:r w:rsidRPr="00B627FD">
        <w:rPr>
          <w:szCs w:val="24"/>
          <w:lang w:eastAsia="fi-FI"/>
        </w:rPr>
        <w:t xml:space="preserve">We also constructed response propensities to the LFS and SILC to study connection between response profiles and response propensities. According to correlation coefficients, connection between response propensity and answering on the </w:t>
      </w:r>
      <w:r w:rsidR="00E81A32">
        <w:rPr>
          <w:szCs w:val="24"/>
          <w:lang w:eastAsia="fi-FI"/>
        </w:rPr>
        <w:t>web</w:t>
      </w:r>
      <w:r w:rsidRPr="00B627FD">
        <w:rPr>
          <w:szCs w:val="24"/>
          <w:lang w:eastAsia="fi-FI"/>
        </w:rPr>
        <w:t xml:space="preserve"> is not clear. For example, a respondent with higher web propensity (easy web propensity or challenging web propensity), may have low response propensity, or vice versa.</w:t>
      </w:r>
    </w:p>
    <w:p w:rsidR="008847C3" w:rsidRPr="00D906BD" w:rsidRDefault="008847C3" w:rsidP="00D906BD">
      <w:pPr>
        <w:pStyle w:val="Text1"/>
        <w:ind w:left="0"/>
        <w:rPr>
          <w:highlight w:val="green"/>
          <w:lang w:val="en-US"/>
        </w:rPr>
      </w:pPr>
    </w:p>
    <w:p w:rsidR="00BC6AFE" w:rsidRDefault="00BC6AFE" w:rsidP="00BC6AFE">
      <w:pPr>
        <w:pStyle w:val="Otsikko1"/>
      </w:pPr>
      <w:r>
        <w:t>Conclusions</w:t>
      </w:r>
    </w:p>
    <w:p w:rsidR="00016C8F" w:rsidRDefault="00016C8F" w:rsidP="00D906BD">
      <w:pPr>
        <w:spacing w:after="0"/>
        <w:textAlignment w:val="baseline"/>
        <w:rPr>
          <w:szCs w:val="24"/>
          <w:lang w:val="en-US" w:eastAsia="fi-FI"/>
        </w:rPr>
      </w:pPr>
      <w:r>
        <w:rPr>
          <w:szCs w:val="24"/>
          <w:lang w:val="en-US" w:eastAsia="fi-FI"/>
        </w:rPr>
        <w:t>We have presented an adaptive data collection method</w:t>
      </w:r>
      <w:r w:rsidR="00253DEE">
        <w:rPr>
          <w:szCs w:val="24"/>
          <w:lang w:val="en-US" w:eastAsia="fi-FI"/>
        </w:rPr>
        <w:t xml:space="preserve"> which </w:t>
      </w:r>
      <w:r w:rsidR="00226012">
        <w:rPr>
          <w:szCs w:val="24"/>
          <w:lang w:val="en-US" w:eastAsia="fi-FI"/>
        </w:rPr>
        <w:t xml:space="preserve">helps to use interviewer resources more effectively in a mixed-mode survey. </w:t>
      </w:r>
      <w:r w:rsidR="00631BFF">
        <w:rPr>
          <w:szCs w:val="24"/>
          <w:lang w:val="en-US" w:eastAsia="fi-FI"/>
        </w:rPr>
        <w:t xml:space="preserve">We have constructed propensities for response </w:t>
      </w:r>
      <w:r w:rsidR="00E55CFC">
        <w:rPr>
          <w:szCs w:val="24"/>
          <w:lang w:val="en-US" w:eastAsia="fi-FI"/>
        </w:rPr>
        <w:t>behavior</w:t>
      </w:r>
      <w:r w:rsidR="00631BFF">
        <w:rPr>
          <w:szCs w:val="24"/>
          <w:lang w:val="en-US" w:eastAsia="fi-FI"/>
        </w:rPr>
        <w:t xml:space="preserve"> and presented how to impute the propensities to a new sample. </w:t>
      </w:r>
      <w:r w:rsidR="00226012">
        <w:rPr>
          <w:szCs w:val="24"/>
          <w:lang w:val="en-US" w:eastAsia="fi-FI"/>
        </w:rPr>
        <w:t>When potential web respondents are known</w:t>
      </w:r>
      <w:r w:rsidR="00631BFF">
        <w:rPr>
          <w:szCs w:val="24"/>
          <w:lang w:val="en-US" w:eastAsia="fi-FI"/>
        </w:rPr>
        <w:t xml:space="preserve"> before a data collection</w:t>
      </w:r>
      <w:r w:rsidR="00226012">
        <w:rPr>
          <w:szCs w:val="24"/>
          <w:lang w:val="en-US" w:eastAsia="fi-FI"/>
        </w:rPr>
        <w:t>, the interviewers can target their calling to potential CATI respondents, refusers and non-contacted non-respondents.</w:t>
      </w:r>
      <w:r w:rsidR="00F32892">
        <w:rPr>
          <w:szCs w:val="24"/>
          <w:lang w:val="en-US" w:eastAsia="fi-FI"/>
        </w:rPr>
        <w:t xml:space="preserve"> </w:t>
      </w:r>
      <w:r w:rsidR="00772CF9">
        <w:rPr>
          <w:szCs w:val="24"/>
          <w:lang w:val="en-US" w:eastAsia="fi-FI"/>
        </w:rPr>
        <w:t xml:space="preserve">Using the propensities also provides opportunities when, for example, more experienced interviewers can take potential challenging respondents. </w:t>
      </w:r>
    </w:p>
    <w:p w:rsidR="00060D3E" w:rsidRDefault="00060D3E" w:rsidP="00D906BD">
      <w:pPr>
        <w:spacing w:after="0"/>
        <w:textAlignment w:val="baseline"/>
        <w:rPr>
          <w:szCs w:val="24"/>
          <w:lang w:val="en-US" w:eastAsia="fi-FI"/>
        </w:rPr>
      </w:pPr>
    </w:p>
    <w:p w:rsidR="00060D3E" w:rsidRPr="00B627FD" w:rsidRDefault="00060D3E" w:rsidP="00060D3E">
      <w:pPr>
        <w:spacing w:after="0"/>
        <w:textAlignment w:val="baseline"/>
        <w:rPr>
          <w:szCs w:val="24"/>
          <w:lang w:val="en-US" w:eastAsia="fi-FI"/>
        </w:rPr>
      </w:pPr>
      <w:r w:rsidRPr="00B627FD">
        <w:rPr>
          <w:szCs w:val="24"/>
          <w:lang w:val="en-US" w:eastAsia="fi-FI"/>
        </w:rPr>
        <w:t>It seems that the theme of the survey or the length of the questionnaire does not affect </w:t>
      </w:r>
      <w:proofErr w:type="spellStart"/>
      <w:r w:rsidRPr="00B627FD">
        <w:rPr>
          <w:szCs w:val="24"/>
          <w:lang w:val="en-US" w:eastAsia="fi-FI"/>
        </w:rPr>
        <w:t>theresponse</w:t>
      </w:r>
      <w:proofErr w:type="spellEnd"/>
      <w:r w:rsidRPr="00B627FD">
        <w:rPr>
          <w:szCs w:val="24"/>
          <w:lang w:val="en-US" w:eastAsia="fi-FI"/>
        </w:rPr>
        <w:t> </w:t>
      </w:r>
      <w:r w:rsidR="00E55CFC">
        <w:rPr>
          <w:szCs w:val="24"/>
          <w:lang w:val="en-US" w:eastAsia="fi-FI"/>
        </w:rPr>
        <w:t>behavior</w:t>
      </w:r>
      <w:r w:rsidRPr="00B627FD">
        <w:rPr>
          <w:szCs w:val="24"/>
          <w:lang w:val="en-US" w:eastAsia="fi-FI"/>
        </w:rPr>
        <w:t>. The SILC</w:t>
      </w:r>
      <w:r>
        <w:rPr>
          <w:szCs w:val="24"/>
          <w:lang w:val="en-US" w:eastAsia="fi-FI"/>
        </w:rPr>
        <w:t xml:space="preserve"> </w:t>
      </w:r>
      <w:r w:rsidRPr="00B627FD">
        <w:rPr>
          <w:szCs w:val="24"/>
          <w:lang w:val="en-US" w:eastAsia="fi-FI"/>
        </w:rPr>
        <w:t>data</w:t>
      </w:r>
      <w:r>
        <w:rPr>
          <w:szCs w:val="24"/>
          <w:lang w:val="en-US" w:eastAsia="fi-FI"/>
        </w:rPr>
        <w:t xml:space="preserve"> </w:t>
      </w:r>
      <w:r w:rsidRPr="00B627FD">
        <w:rPr>
          <w:szCs w:val="24"/>
          <w:lang w:val="en-US" w:eastAsia="fi-FI"/>
        </w:rPr>
        <w:t>is from the first round, and the LFS data is from the second and third round. The response profiles </w:t>
      </w:r>
      <w:r>
        <w:rPr>
          <w:szCs w:val="24"/>
          <w:lang w:val="en-US" w:eastAsia="fi-FI"/>
        </w:rPr>
        <w:t xml:space="preserve">also </w:t>
      </w:r>
      <w:r w:rsidRPr="00B627FD">
        <w:rPr>
          <w:szCs w:val="24"/>
          <w:lang w:val="en-US" w:eastAsia="fi-FI"/>
        </w:rPr>
        <w:t>seem to remain quite similar b</w:t>
      </w:r>
      <w:r>
        <w:rPr>
          <w:szCs w:val="24"/>
          <w:lang w:val="en-US" w:eastAsia="fi-FI"/>
        </w:rPr>
        <w:t>e</w:t>
      </w:r>
      <w:r w:rsidRPr="00B627FD">
        <w:rPr>
          <w:szCs w:val="24"/>
          <w:lang w:val="en-US" w:eastAsia="fi-FI"/>
        </w:rPr>
        <w:t>tween panel rounds. </w:t>
      </w:r>
    </w:p>
    <w:p w:rsidR="00593F7A" w:rsidRDefault="00593F7A" w:rsidP="00D906BD">
      <w:pPr>
        <w:spacing w:after="0"/>
        <w:textAlignment w:val="baseline"/>
        <w:rPr>
          <w:szCs w:val="24"/>
          <w:lang w:val="en-US" w:eastAsia="fi-FI"/>
        </w:rPr>
      </w:pPr>
    </w:p>
    <w:p w:rsidR="00016C8F" w:rsidRPr="00D87260" w:rsidRDefault="002D5212" w:rsidP="00D906BD">
      <w:pPr>
        <w:spacing w:after="0"/>
        <w:textAlignment w:val="baseline"/>
        <w:rPr>
          <w:rFonts w:ascii="Segoe UI" w:hAnsi="Segoe UI" w:cs="Segoe UI"/>
          <w:sz w:val="18"/>
          <w:szCs w:val="18"/>
          <w:lang w:val="en-US" w:eastAsia="fi-FI"/>
        </w:rPr>
      </w:pPr>
      <w:r>
        <w:rPr>
          <w:szCs w:val="24"/>
          <w:lang w:val="en-US" w:eastAsia="fi-FI"/>
        </w:rPr>
        <w:t>In our study, d</w:t>
      </w:r>
      <w:r w:rsidR="00593F7A">
        <w:rPr>
          <w:szCs w:val="24"/>
          <w:lang w:val="en-US" w:eastAsia="fi-FI"/>
        </w:rPr>
        <w:t xml:space="preserve">ifferent response profiles </w:t>
      </w:r>
      <w:r>
        <w:rPr>
          <w:szCs w:val="24"/>
          <w:lang w:val="en-US" w:eastAsia="fi-FI"/>
        </w:rPr>
        <w:t xml:space="preserve">did not correlate strongly with response propensities. For this reason, care is required when using propensities presented in this paper. </w:t>
      </w:r>
      <w:r w:rsidR="00631BFF">
        <w:rPr>
          <w:szCs w:val="24"/>
          <w:lang w:val="en-US" w:eastAsia="fi-FI"/>
        </w:rPr>
        <w:t>R</w:t>
      </w:r>
      <w:r>
        <w:rPr>
          <w:szCs w:val="24"/>
          <w:lang w:val="en-US" w:eastAsia="fi-FI"/>
        </w:rPr>
        <w:t xml:space="preserve">esponse propensities should be </w:t>
      </w:r>
      <w:r w:rsidR="005B62C1">
        <w:rPr>
          <w:szCs w:val="24"/>
          <w:lang w:val="en-US" w:eastAsia="fi-FI"/>
        </w:rPr>
        <w:t>considered</w:t>
      </w:r>
      <w:r w:rsidR="00631BFF">
        <w:rPr>
          <w:szCs w:val="24"/>
          <w:lang w:val="en-US" w:eastAsia="fi-FI"/>
        </w:rPr>
        <w:t xml:space="preserve"> at the same time</w:t>
      </w:r>
      <w:r>
        <w:rPr>
          <w:szCs w:val="24"/>
          <w:lang w:val="en-US" w:eastAsia="fi-FI"/>
        </w:rPr>
        <w:t>.</w:t>
      </w:r>
      <w:r w:rsidR="00D87260">
        <w:rPr>
          <w:szCs w:val="24"/>
          <w:lang w:val="en-US" w:eastAsia="fi-FI"/>
        </w:rPr>
        <w:t xml:space="preserve"> The interviewers need to call all sample persons. </w:t>
      </w:r>
      <w:r w:rsidR="005B62C1">
        <w:rPr>
          <w:szCs w:val="24"/>
          <w:lang w:val="en-US" w:eastAsia="fi-FI"/>
        </w:rPr>
        <w:t>They cannot suppose, for example, that easy web respondents participate in the survey without calls.</w:t>
      </w:r>
      <w:r>
        <w:rPr>
          <w:szCs w:val="24"/>
          <w:lang w:val="en-US" w:eastAsia="fi-FI"/>
        </w:rPr>
        <w:t xml:space="preserve"> </w:t>
      </w:r>
      <w:r w:rsidR="00D87260">
        <w:rPr>
          <w:szCs w:val="24"/>
          <w:lang w:val="en-US" w:eastAsia="fi-FI"/>
        </w:rPr>
        <w:t>An interesting question is if our method produces a better response rate or reduces nonrespon</w:t>
      </w:r>
      <w:bookmarkStart w:id="1" w:name="_GoBack"/>
      <w:bookmarkEnd w:id="1"/>
      <w:r w:rsidR="00D87260">
        <w:rPr>
          <w:szCs w:val="24"/>
          <w:lang w:val="en-US" w:eastAsia="fi-FI"/>
        </w:rPr>
        <w:t xml:space="preserve">se bias. </w:t>
      </w:r>
      <w:r w:rsidR="00775E31">
        <w:rPr>
          <w:szCs w:val="24"/>
          <w:lang w:val="en-US" w:eastAsia="fi-FI"/>
        </w:rPr>
        <w:t xml:space="preserve">When interviewer resources are utilized more efficiently, it should improve the response rate. </w:t>
      </w:r>
      <w:r w:rsidR="005118E5">
        <w:rPr>
          <w:szCs w:val="24"/>
          <w:lang w:val="en-US" w:eastAsia="fi-FI"/>
        </w:rPr>
        <w:t xml:space="preserve">The effect on the nonresponse bias is more difficult to predict. </w:t>
      </w:r>
      <w:r w:rsidR="00D87260">
        <w:rPr>
          <w:szCs w:val="24"/>
          <w:lang w:val="en-US" w:eastAsia="fi-FI"/>
        </w:rPr>
        <w:t xml:space="preserve">This method should be tested in practice. </w:t>
      </w:r>
      <w:r w:rsidR="00D87260" w:rsidRPr="00B627FD">
        <w:rPr>
          <w:szCs w:val="24"/>
          <w:lang w:eastAsia="fi-FI"/>
        </w:rPr>
        <w:t>We aim to use our findings in the</w:t>
      </w:r>
      <w:r w:rsidR="00D87260">
        <w:rPr>
          <w:szCs w:val="24"/>
          <w:lang w:eastAsia="fi-FI"/>
        </w:rPr>
        <w:t xml:space="preserve"> </w:t>
      </w:r>
      <w:r w:rsidR="00D87260" w:rsidRPr="00B627FD">
        <w:rPr>
          <w:szCs w:val="24"/>
          <w:lang w:eastAsia="fi-FI"/>
        </w:rPr>
        <w:t>LFS mixed-mode data collection</w:t>
      </w:r>
      <w:r w:rsidR="00D87260">
        <w:rPr>
          <w:szCs w:val="24"/>
          <w:lang w:eastAsia="fi-FI"/>
        </w:rPr>
        <w:t xml:space="preserve"> in 2021</w:t>
      </w:r>
      <w:r w:rsidR="00D87260" w:rsidRPr="00B627FD">
        <w:rPr>
          <w:szCs w:val="24"/>
          <w:lang w:eastAsia="fi-FI"/>
        </w:rPr>
        <w:t xml:space="preserve"> and present some preliminary results in the</w:t>
      </w:r>
      <w:r w:rsidR="00D87260">
        <w:rPr>
          <w:szCs w:val="24"/>
          <w:lang w:eastAsia="fi-FI"/>
        </w:rPr>
        <w:t xml:space="preserve"> NTTS2021</w:t>
      </w:r>
      <w:r w:rsidR="00D87260" w:rsidRPr="00B627FD">
        <w:rPr>
          <w:szCs w:val="24"/>
          <w:lang w:eastAsia="fi-FI"/>
        </w:rPr>
        <w:t xml:space="preserve"> conference.</w:t>
      </w:r>
      <w:r w:rsidR="00D87260" w:rsidRPr="00B627FD">
        <w:rPr>
          <w:szCs w:val="24"/>
          <w:lang w:val="en-US" w:eastAsia="fi-FI"/>
        </w:rPr>
        <w:t> </w:t>
      </w:r>
    </w:p>
    <w:p w:rsidR="00593F7A" w:rsidRDefault="00593F7A" w:rsidP="00D906BD">
      <w:pPr>
        <w:spacing w:after="0"/>
        <w:textAlignment w:val="baseline"/>
        <w:rPr>
          <w:szCs w:val="24"/>
          <w:lang w:val="en-US" w:eastAsia="fi-FI"/>
        </w:rPr>
      </w:pPr>
    </w:p>
    <w:p w:rsidR="00BC6AFE" w:rsidRPr="00D906BD" w:rsidRDefault="00BC6AFE" w:rsidP="00BC6AFE">
      <w:pPr>
        <w:rPr>
          <w:lang w:val="en-US"/>
        </w:rPr>
      </w:pPr>
    </w:p>
    <w:p w:rsidR="00BC6AFE" w:rsidRDefault="00BC6AFE" w:rsidP="009B4EE0">
      <w:pPr>
        <w:pStyle w:val="Otsikko1"/>
        <w:numPr>
          <w:ilvl w:val="0"/>
          <w:numId w:val="0"/>
        </w:numPr>
        <w:ind w:left="480" w:hanging="480"/>
      </w:pPr>
      <w:r>
        <w:t>References</w:t>
      </w:r>
    </w:p>
    <w:p w:rsidR="00127067" w:rsidRPr="001160D8" w:rsidRDefault="000A5F60" w:rsidP="009B4EE0">
      <w:pPr>
        <w:pStyle w:val="Text1"/>
        <w:numPr>
          <w:ilvl w:val="0"/>
          <w:numId w:val="20"/>
        </w:numPr>
        <w:ind w:left="357" w:hanging="357"/>
      </w:pPr>
      <w:r>
        <w:t xml:space="preserve">E. </w:t>
      </w:r>
      <w:r w:rsidR="00D906BD" w:rsidRPr="00D906BD">
        <w:t>de Leeuw</w:t>
      </w:r>
      <w:r w:rsidR="00D906BD">
        <w:t xml:space="preserve">, </w:t>
      </w:r>
      <w:r>
        <w:t xml:space="preserve">Z. </w:t>
      </w:r>
      <w:proofErr w:type="spellStart"/>
      <w:r w:rsidR="00D906BD" w:rsidRPr="00B627FD">
        <w:rPr>
          <w:szCs w:val="24"/>
          <w:lang w:eastAsia="fi-FI"/>
        </w:rPr>
        <w:t>Suzer-Gurtekin</w:t>
      </w:r>
      <w:proofErr w:type="spellEnd"/>
      <w:r w:rsidR="00D906BD" w:rsidRPr="00B627FD">
        <w:rPr>
          <w:szCs w:val="24"/>
          <w:lang w:eastAsia="fi-FI"/>
        </w:rPr>
        <w:t xml:space="preserve"> and </w:t>
      </w:r>
      <w:r>
        <w:rPr>
          <w:szCs w:val="24"/>
          <w:lang w:eastAsia="fi-FI"/>
        </w:rPr>
        <w:t xml:space="preserve">J. </w:t>
      </w:r>
      <w:proofErr w:type="spellStart"/>
      <w:r w:rsidR="00D906BD" w:rsidRPr="00B627FD">
        <w:rPr>
          <w:szCs w:val="24"/>
          <w:lang w:eastAsia="fi-FI"/>
        </w:rPr>
        <w:t>Hox</w:t>
      </w:r>
      <w:proofErr w:type="spellEnd"/>
      <w:r w:rsidR="00596DA3">
        <w:rPr>
          <w:szCs w:val="24"/>
          <w:lang w:eastAsia="fi-FI"/>
        </w:rPr>
        <w:t>,</w:t>
      </w:r>
      <w:r w:rsidR="00D906BD" w:rsidRPr="00B627FD">
        <w:rPr>
          <w:szCs w:val="24"/>
          <w:lang w:eastAsia="fi-FI"/>
        </w:rPr>
        <w:t xml:space="preserve"> How to Design and Implement Mixed</w:t>
      </w:r>
      <w:r w:rsidR="00D906BD">
        <w:rPr>
          <w:szCs w:val="24"/>
          <w:lang w:eastAsia="fi-FI"/>
        </w:rPr>
        <w:t xml:space="preserve"> </w:t>
      </w:r>
      <w:r w:rsidR="00D906BD" w:rsidRPr="00B627FD">
        <w:rPr>
          <w:szCs w:val="24"/>
          <w:lang w:eastAsia="fi-FI"/>
        </w:rPr>
        <w:t xml:space="preserve">Mode Surveys in Cross National Surveys: Overview and Guideline. Second International Conference on Survey Methods in Multinational, Multiregional and Multicultural Contexts (3MC) </w:t>
      </w:r>
      <w:r>
        <w:rPr>
          <w:szCs w:val="24"/>
          <w:lang w:eastAsia="fi-FI"/>
        </w:rPr>
        <w:t>(</w:t>
      </w:r>
      <w:r w:rsidR="00596DA3">
        <w:rPr>
          <w:szCs w:val="24"/>
          <w:lang w:eastAsia="fi-FI"/>
        </w:rPr>
        <w:t>2016</w:t>
      </w:r>
      <w:r>
        <w:rPr>
          <w:szCs w:val="24"/>
          <w:lang w:eastAsia="fi-FI"/>
        </w:rPr>
        <w:t>)</w:t>
      </w:r>
      <w:r w:rsidR="00596DA3">
        <w:rPr>
          <w:szCs w:val="24"/>
          <w:lang w:eastAsia="fi-FI"/>
        </w:rPr>
        <w:t xml:space="preserve">, </w:t>
      </w:r>
      <w:r w:rsidR="00D906BD" w:rsidRPr="00B627FD">
        <w:rPr>
          <w:szCs w:val="24"/>
          <w:lang w:eastAsia="fi-FI"/>
        </w:rPr>
        <w:t>Chicago.</w:t>
      </w:r>
    </w:p>
    <w:p w:rsidR="001160D8" w:rsidRPr="001160D8" w:rsidRDefault="000A5F60" w:rsidP="009B4EE0">
      <w:pPr>
        <w:pStyle w:val="Text1"/>
        <w:numPr>
          <w:ilvl w:val="0"/>
          <w:numId w:val="20"/>
        </w:numPr>
        <w:ind w:left="357" w:hanging="357"/>
        <w:rPr>
          <w:lang w:val="en-US"/>
        </w:rPr>
      </w:pPr>
      <w:r>
        <w:rPr>
          <w:lang w:val="en-US"/>
        </w:rPr>
        <w:t>K. v</w:t>
      </w:r>
      <w:r w:rsidR="001160D8" w:rsidRPr="00C420A3">
        <w:rPr>
          <w:lang w:val="en-US"/>
        </w:rPr>
        <w:t xml:space="preserve">an </w:t>
      </w:r>
      <w:proofErr w:type="spellStart"/>
      <w:r w:rsidR="001160D8" w:rsidRPr="00C420A3">
        <w:rPr>
          <w:lang w:val="en-US"/>
        </w:rPr>
        <w:t>Berkel</w:t>
      </w:r>
      <w:proofErr w:type="spellEnd"/>
      <w:r w:rsidR="002F0D9E">
        <w:rPr>
          <w:lang w:val="en-US"/>
        </w:rPr>
        <w:t>,</w:t>
      </w:r>
      <w:r w:rsidR="001160D8" w:rsidRPr="00C420A3">
        <w:rPr>
          <w:lang w:val="en-US"/>
        </w:rPr>
        <w:t xml:space="preserve"> </w:t>
      </w:r>
      <w:r w:rsidR="001160D8" w:rsidRPr="001160D8">
        <w:rPr>
          <w:lang w:val="en-US"/>
        </w:rPr>
        <w:t>Adaptive data collection at S</w:t>
      </w:r>
      <w:r w:rsidR="001160D8">
        <w:rPr>
          <w:lang w:val="en-US"/>
        </w:rPr>
        <w:t>tatistics Netherlands with an application to the Health Survey. Conference of European Statisticians</w:t>
      </w:r>
      <w:r>
        <w:rPr>
          <w:lang w:val="en-US"/>
        </w:rPr>
        <w:t xml:space="preserve"> (2018)</w:t>
      </w:r>
      <w:r w:rsidR="001160D8">
        <w:rPr>
          <w:lang w:val="en-US"/>
        </w:rPr>
        <w:t>, Geneva.</w:t>
      </w:r>
    </w:p>
    <w:p w:rsidR="00BC6AFE" w:rsidRPr="001160D8" w:rsidRDefault="00430CFB" w:rsidP="009B4EE0">
      <w:pPr>
        <w:pStyle w:val="Text1"/>
        <w:numPr>
          <w:ilvl w:val="0"/>
          <w:numId w:val="20"/>
        </w:numPr>
        <w:ind w:left="357" w:hanging="357"/>
      </w:pPr>
      <w:r>
        <w:rPr>
          <w:lang w:val="en-US"/>
        </w:rPr>
        <w:t>M. Honkala</w:t>
      </w:r>
      <w:r>
        <w:rPr>
          <w:szCs w:val="24"/>
          <w:lang w:eastAsia="fi-FI"/>
        </w:rPr>
        <w:t>,</w:t>
      </w:r>
      <w:r w:rsidR="001160D8" w:rsidRPr="00B627FD">
        <w:rPr>
          <w:szCs w:val="24"/>
          <w:lang w:eastAsia="fi-FI"/>
        </w:rPr>
        <w:t xml:space="preserve"> Estimation of Response Propensities Using the Previous </w:t>
      </w:r>
      <w:proofErr w:type="gramStart"/>
      <w:r w:rsidR="00C14610" w:rsidRPr="00B627FD">
        <w:rPr>
          <w:szCs w:val="24"/>
          <w:lang w:eastAsia="fi-FI"/>
        </w:rPr>
        <w:t>Survey</w:t>
      </w:r>
      <w:r w:rsidR="00C14610">
        <w:rPr>
          <w:szCs w:val="24"/>
          <w:lang w:eastAsia="fi-FI"/>
        </w:rPr>
        <w:t>,</w:t>
      </w:r>
      <w:r w:rsidR="00C14610" w:rsidRPr="00B627FD">
        <w:rPr>
          <w:szCs w:val="24"/>
          <w:lang w:eastAsia="fi-FI"/>
        </w:rPr>
        <w:t>  </w:t>
      </w:r>
      <w:r w:rsidR="001160D8" w:rsidRPr="00B627FD">
        <w:rPr>
          <w:szCs w:val="24"/>
          <w:lang w:eastAsia="fi-FI"/>
        </w:rPr>
        <w:t> </w:t>
      </w:r>
      <w:proofErr w:type="gramEnd"/>
      <w:r w:rsidR="001160D8" w:rsidRPr="00B627FD">
        <w:rPr>
          <w:szCs w:val="24"/>
          <w:lang w:eastAsia="fi-FI"/>
        </w:rPr>
        <w:t>   International Journal of Statistical Distributions and Applications, 5</w:t>
      </w:r>
      <w:r w:rsidR="000A5F60">
        <w:rPr>
          <w:szCs w:val="24"/>
          <w:lang w:eastAsia="fi-FI"/>
        </w:rPr>
        <w:t xml:space="preserve"> (</w:t>
      </w:r>
      <w:r w:rsidR="00112D05">
        <w:rPr>
          <w:szCs w:val="24"/>
          <w:lang w:eastAsia="fi-FI"/>
        </w:rPr>
        <w:t>2019</w:t>
      </w:r>
      <w:r w:rsidR="000A5F60">
        <w:rPr>
          <w:szCs w:val="24"/>
          <w:lang w:eastAsia="fi-FI"/>
        </w:rPr>
        <w:t>)</w:t>
      </w:r>
      <w:r w:rsidR="00112D05">
        <w:rPr>
          <w:szCs w:val="24"/>
          <w:lang w:eastAsia="fi-FI"/>
        </w:rPr>
        <w:t xml:space="preserve">, </w:t>
      </w:r>
      <w:r w:rsidR="001160D8" w:rsidRPr="00B627FD">
        <w:rPr>
          <w:szCs w:val="24"/>
          <w:lang w:eastAsia="fi-FI"/>
        </w:rPr>
        <w:t>5-9. </w:t>
      </w:r>
    </w:p>
    <w:sectPr w:rsidR="00BC6AFE" w:rsidRPr="001160D8"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D52" w:rsidRDefault="003C6D52" w:rsidP="00BC6AFE">
      <w:pPr>
        <w:spacing w:after="0"/>
      </w:pPr>
      <w:r>
        <w:separator/>
      </w:r>
    </w:p>
  </w:endnote>
  <w:endnote w:type="continuationSeparator" w:id="0">
    <w:p w:rsidR="003C6D52" w:rsidRDefault="003C6D52"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Alatunniste"/>
      <w:jc w:val="center"/>
    </w:pPr>
    <w:r>
      <w:fldChar w:fldCharType="begin"/>
    </w:r>
    <w:r>
      <w:instrText>PAGE</w:instrText>
    </w:r>
    <w:r>
      <w:fldChar w:fldCharType="separate"/>
    </w:r>
    <w:r w:rsidR="00B3641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Alatunniste"/>
      <w:rPr>
        <w:sz w:val="24"/>
        <w:szCs w:val="24"/>
      </w:rPr>
    </w:pPr>
  </w:p>
  <w:p w:rsidR="00D24082" w:rsidRDefault="00D24082">
    <w:pPr>
      <w:pStyle w:val="Alatunniste"/>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Alatunniste"/>
    </w:pPr>
  </w:p>
  <w:p w:rsidR="00D24082" w:rsidRDefault="00D24082">
    <w:pPr>
      <w:pStyle w:val="Alatunniste"/>
    </w:pPr>
    <w:r>
      <w:t>http://epp.eurostat.ec.europa.eu</w:t>
    </w:r>
  </w:p>
  <w:p w:rsidR="00D24082" w:rsidRDefault="00D24082">
    <w:pPr>
      <w:pStyle w:val="Alatunniste"/>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D52" w:rsidRDefault="003C6D52" w:rsidP="00BC6AFE">
      <w:pPr>
        <w:spacing w:after="0"/>
      </w:pPr>
      <w:r>
        <w:separator/>
      </w:r>
    </w:p>
  </w:footnote>
  <w:footnote w:type="continuationSeparator" w:id="0">
    <w:p w:rsidR="003C6D52" w:rsidRDefault="003C6D52"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Yltunnis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eroituluettelo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Merkittyluettelo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eroituluettel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Merkittyluettelo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Merkittyluettelo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Merkittyluettelo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Numeroituluettel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Numeroituluettel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Numeroituluettel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Otsikko1"/>
      <w:lvlText w:val="%1."/>
      <w:lvlJc w:val="left"/>
      <w:pPr>
        <w:tabs>
          <w:tab w:val="num" w:pos="480"/>
        </w:tabs>
        <w:ind w:left="480" w:hanging="480"/>
      </w:pPr>
    </w:lvl>
    <w:lvl w:ilvl="1">
      <w:start w:val="1"/>
      <w:numFmt w:val="decimal"/>
      <w:pStyle w:val="Otsikko2"/>
      <w:lvlText w:val="%1.%2."/>
      <w:lvlJc w:val="left"/>
      <w:pPr>
        <w:tabs>
          <w:tab w:val="num" w:pos="1080"/>
        </w:tabs>
        <w:ind w:left="1080" w:hanging="600"/>
      </w:pPr>
    </w:lvl>
    <w:lvl w:ilvl="2">
      <w:start w:val="1"/>
      <w:numFmt w:val="decimal"/>
      <w:pStyle w:val="Otsikko3"/>
      <w:lvlText w:val="%1.%2.%3."/>
      <w:lvlJc w:val="left"/>
      <w:pPr>
        <w:tabs>
          <w:tab w:val="num" w:pos="1920"/>
        </w:tabs>
        <w:ind w:left="1920" w:hanging="840"/>
      </w:pPr>
    </w:lvl>
    <w:lvl w:ilvl="3">
      <w:start w:val="1"/>
      <w:numFmt w:val="decimal"/>
      <w:pStyle w:val="Otsikk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Merkittyluettelo"/>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8D58FA"/>
    <w:rsid w:val="00016C8F"/>
    <w:rsid w:val="00060D3E"/>
    <w:rsid w:val="000642A1"/>
    <w:rsid w:val="000823E1"/>
    <w:rsid w:val="000A5F60"/>
    <w:rsid w:val="000A63BD"/>
    <w:rsid w:val="000F7438"/>
    <w:rsid w:val="00112D05"/>
    <w:rsid w:val="001160D8"/>
    <w:rsid w:val="00127067"/>
    <w:rsid w:val="0018505B"/>
    <w:rsid w:val="001857CF"/>
    <w:rsid w:val="001B50CE"/>
    <w:rsid w:val="002012A8"/>
    <w:rsid w:val="002178E7"/>
    <w:rsid w:val="00226012"/>
    <w:rsid w:val="00243A2C"/>
    <w:rsid w:val="00253DEE"/>
    <w:rsid w:val="002700E3"/>
    <w:rsid w:val="002D5212"/>
    <w:rsid w:val="002E0D97"/>
    <w:rsid w:val="002F0D9E"/>
    <w:rsid w:val="00332D6F"/>
    <w:rsid w:val="00372FC1"/>
    <w:rsid w:val="003C6D52"/>
    <w:rsid w:val="003D30B8"/>
    <w:rsid w:val="00430CFB"/>
    <w:rsid w:val="00463DBE"/>
    <w:rsid w:val="004660D2"/>
    <w:rsid w:val="004B0DEC"/>
    <w:rsid w:val="004D10BD"/>
    <w:rsid w:val="005118E5"/>
    <w:rsid w:val="005370F8"/>
    <w:rsid w:val="00573E28"/>
    <w:rsid w:val="00593F7A"/>
    <w:rsid w:val="00596DA3"/>
    <w:rsid w:val="005B4EA5"/>
    <w:rsid w:val="005B62C1"/>
    <w:rsid w:val="006312AF"/>
    <w:rsid w:val="00631BFF"/>
    <w:rsid w:val="00676AD7"/>
    <w:rsid w:val="006875D6"/>
    <w:rsid w:val="006C6D37"/>
    <w:rsid w:val="00706E88"/>
    <w:rsid w:val="00741CF0"/>
    <w:rsid w:val="00772CF9"/>
    <w:rsid w:val="00775E31"/>
    <w:rsid w:val="007E24AE"/>
    <w:rsid w:val="00820444"/>
    <w:rsid w:val="00820BDC"/>
    <w:rsid w:val="00877415"/>
    <w:rsid w:val="008847C3"/>
    <w:rsid w:val="008A75D0"/>
    <w:rsid w:val="008D58FA"/>
    <w:rsid w:val="008E29ED"/>
    <w:rsid w:val="009111EE"/>
    <w:rsid w:val="00920B93"/>
    <w:rsid w:val="00923850"/>
    <w:rsid w:val="009A41E5"/>
    <w:rsid w:val="009B4EE0"/>
    <w:rsid w:val="00A02264"/>
    <w:rsid w:val="00A05BA6"/>
    <w:rsid w:val="00A17E8C"/>
    <w:rsid w:val="00AB4423"/>
    <w:rsid w:val="00B3641F"/>
    <w:rsid w:val="00B9492F"/>
    <w:rsid w:val="00BB0DB2"/>
    <w:rsid w:val="00BC17F5"/>
    <w:rsid w:val="00BC6AFE"/>
    <w:rsid w:val="00C14610"/>
    <w:rsid w:val="00C236B1"/>
    <w:rsid w:val="00C37CE2"/>
    <w:rsid w:val="00C420A3"/>
    <w:rsid w:val="00CE5EB4"/>
    <w:rsid w:val="00D20C20"/>
    <w:rsid w:val="00D24082"/>
    <w:rsid w:val="00D52EA1"/>
    <w:rsid w:val="00D71330"/>
    <w:rsid w:val="00D87260"/>
    <w:rsid w:val="00D906BD"/>
    <w:rsid w:val="00DB601E"/>
    <w:rsid w:val="00DC67A3"/>
    <w:rsid w:val="00E00B08"/>
    <w:rsid w:val="00E55CFC"/>
    <w:rsid w:val="00E61665"/>
    <w:rsid w:val="00E81A32"/>
    <w:rsid w:val="00EA364A"/>
    <w:rsid w:val="00F020BC"/>
    <w:rsid w:val="00F129AA"/>
    <w:rsid w:val="00F32892"/>
    <w:rsid w:val="00F42DE6"/>
    <w:rsid w:val="00FE106B"/>
    <w:rsid w:val="00FF43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EE54A4"/>
  <w15:chartTrackingRefBased/>
  <w15:docId w15:val="{40C6DBA6-CB61-4763-BA53-A3001337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52EA1"/>
    <w:pPr>
      <w:spacing w:after="240"/>
      <w:jc w:val="both"/>
    </w:pPr>
    <w:rPr>
      <w:sz w:val="24"/>
      <w:lang w:val="en-GB" w:eastAsia="en-US"/>
    </w:rPr>
  </w:style>
  <w:style w:type="paragraph" w:styleId="Otsikko1">
    <w:name w:val="heading 1"/>
    <w:basedOn w:val="Normaali"/>
    <w:next w:val="Text1"/>
    <w:link w:val="Otsikko1Char"/>
    <w:qFormat/>
    <w:pPr>
      <w:keepNext/>
      <w:numPr>
        <w:numId w:val="3"/>
      </w:numPr>
      <w:spacing w:before="240"/>
      <w:outlineLvl w:val="0"/>
    </w:pPr>
    <w:rPr>
      <w:b/>
      <w:smallCaps/>
    </w:rPr>
  </w:style>
  <w:style w:type="paragraph" w:styleId="Otsikko2">
    <w:name w:val="heading 2"/>
    <w:basedOn w:val="Normaali"/>
    <w:next w:val="Text2"/>
    <w:link w:val="Otsikko2Char"/>
    <w:qFormat/>
    <w:pPr>
      <w:keepNext/>
      <w:numPr>
        <w:ilvl w:val="1"/>
        <w:numId w:val="3"/>
      </w:numPr>
      <w:outlineLvl w:val="1"/>
    </w:pPr>
    <w:rPr>
      <w:b/>
    </w:rPr>
  </w:style>
  <w:style w:type="paragraph" w:styleId="Otsikko3">
    <w:name w:val="heading 3"/>
    <w:basedOn w:val="Normaali"/>
    <w:next w:val="Text3"/>
    <w:qFormat/>
    <w:pPr>
      <w:keepNext/>
      <w:numPr>
        <w:ilvl w:val="2"/>
        <w:numId w:val="3"/>
      </w:numPr>
      <w:outlineLvl w:val="2"/>
    </w:pPr>
    <w:rPr>
      <w:i/>
    </w:rPr>
  </w:style>
  <w:style w:type="paragraph" w:styleId="Otsikko4">
    <w:name w:val="heading 4"/>
    <w:basedOn w:val="Normaali"/>
    <w:next w:val="Text4"/>
    <w:qFormat/>
    <w:pPr>
      <w:keepNext/>
      <w:numPr>
        <w:ilvl w:val="3"/>
        <w:numId w:val="3"/>
      </w:numPr>
      <w:outlineLvl w:val="3"/>
    </w:pPr>
  </w:style>
  <w:style w:type="paragraph" w:styleId="Otsikko5">
    <w:name w:val="heading 5"/>
    <w:basedOn w:val="Normaali"/>
    <w:next w:val="Normaali"/>
    <w:qFormat/>
    <w:pPr>
      <w:spacing w:before="240" w:after="60"/>
      <w:ind w:left="3332" w:hanging="708"/>
      <w:outlineLvl w:val="4"/>
    </w:pPr>
    <w:rPr>
      <w:rFonts w:ascii="Arial" w:hAnsi="Arial"/>
      <w:sz w:val="22"/>
    </w:rPr>
  </w:style>
  <w:style w:type="paragraph" w:styleId="Otsikko6">
    <w:name w:val="heading 6"/>
    <w:basedOn w:val="Normaali"/>
    <w:next w:val="Normaali"/>
    <w:qFormat/>
    <w:pPr>
      <w:spacing w:before="240" w:after="60"/>
      <w:ind w:left="4040" w:hanging="708"/>
      <w:outlineLvl w:val="5"/>
    </w:pPr>
    <w:rPr>
      <w:rFonts w:ascii="Arial" w:hAnsi="Arial"/>
      <w:i/>
      <w:sz w:val="22"/>
    </w:rPr>
  </w:style>
  <w:style w:type="paragraph" w:styleId="Otsikko7">
    <w:name w:val="heading 7"/>
    <w:basedOn w:val="Normaali"/>
    <w:next w:val="Normaali"/>
    <w:qFormat/>
    <w:pPr>
      <w:spacing w:before="240" w:after="60"/>
      <w:ind w:left="4748" w:hanging="708"/>
      <w:outlineLvl w:val="6"/>
    </w:pPr>
    <w:rPr>
      <w:rFonts w:ascii="Arial" w:hAnsi="Arial"/>
      <w:sz w:val="20"/>
    </w:rPr>
  </w:style>
  <w:style w:type="paragraph" w:styleId="Otsikko8">
    <w:name w:val="heading 8"/>
    <w:basedOn w:val="Normaali"/>
    <w:next w:val="Normaali"/>
    <w:qFormat/>
    <w:pPr>
      <w:spacing w:before="240" w:after="60"/>
      <w:ind w:left="5456" w:hanging="708"/>
      <w:outlineLvl w:val="7"/>
    </w:pPr>
    <w:rPr>
      <w:rFonts w:ascii="Arial" w:hAnsi="Arial"/>
      <w:i/>
      <w:sz w:val="20"/>
    </w:rPr>
  </w:style>
  <w:style w:type="paragraph" w:styleId="Otsikko9">
    <w:name w:val="heading 9"/>
    <w:basedOn w:val="Normaali"/>
    <w:next w:val="Normaali"/>
    <w:qFormat/>
    <w:pPr>
      <w:spacing w:before="240" w:after="60"/>
      <w:ind w:left="6164" w:hanging="708"/>
      <w:outlineLvl w:val="8"/>
    </w:pPr>
    <w:rPr>
      <w:rFonts w:ascii="Arial" w:hAnsi="Arial"/>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xt1">
    <w:name w:val="Text 1"/>
    <w:basedOn w:val="Normaali"/>
    <w:pPr>
      <w:ind w:left="482"/>
    </w:pPr>
  </w:style>
  <w:style w:type="paragraph" w:customStyle="1" w:styleId="Text2">
    <w:name w:val="Text 2"/>
    <w:basedOn w:val="Normaali"/>
    <w:pPr>
      <w:tabs>
        <w:tab w:val="left" w:pos="2160"/>
      </w:tabs>
      <w:ind w:left="1077"/>
    </w:pPr>
  </w:style>
  <w:style w:type="paragraph" w:customStyle="1" w:styleId="Text3">
    <w:name w:val="Text 3"/>
    <w:basedOn w:val="Normaali"/>
    <w:pPr>
      <w:tabs>
        <w:tab w:val="left" w:pos="2302"/>
      </w:tabs>
      <w:ind w:left="1916"/>
    </w:pPr>
  </w:style>
  <w:style w:type="paragraph" w:customStyle="1" w:styleId="Text4">
    <w:name w:val="Text 4"/>
    <w:basedOn w:val="Normaali"/>
    <w:pPr>
      <w:ind w:left="2880"/>
    </w:pPr>
  </w:style>
  <w:style w:type="paragraph" w:customStyle="1" w:styleId="Address">
    <w:name w:val="Address"/>
    <w:basedOn w:val="Normaali"/>
    <w:pPr>
      <w:spacing w:after="0"/>
      <w:jc w:val="left"/>
    </w:pPr>
  </w:style>
  <w:style w:type="paragraph" w:customStyle="1" w:styleId="AddressTL">
    <w:name w:val="AddressTL"/>
    <w:basedOn w:val="Normaali"/>
    <w:next w:val="Normaali"/>
    <w:pPr>
      <w:spacing w:after="720"/>
      <w:jc w:val="left"/>
    </w:pPr>
  </w:style>
  <w:style w:type="paragraph" w:customStyle="1" w:styleId="AddressTR">
    <w:name w:val="AddressTR"/>
    <w:basedOn w:val="Normaali"/>
    <w:next w:val="Normaali"/>
    <w:pPr>
      <w:spacing w:after="720"/>
      <w:ind w:left="5103"/>
      <w:jc w:val="left"/>
    </w:pPr>
  </w:style>
  <w:style w:type="paragraph" w:styleId="Lohkoteksti">
    <w:name w:val="Block Text"/>
    <w:basedOn w:val="Normaali"/>
    <w:pPr>
      <w:spacing w:after="120"/>
      <w:ind w:left="1440" w:right="1440"/>
    </w:pPr>
  </w:style>
  <w:style w:type="paragraph" w:styleId="Leipteksti">
    <w:name w:val="Body Text"/>
    <w:basedOn w:val="Normaali"/>
    <w:pPr>
      <w:spacing w:after="120"/>
    </w:pPr>
  </w:style>
  <w:style w:type="paragraph" w:styleId="Leipteksti2">
    <w:name w:val="Body Text 2"/>
    <w:basedOn w:val="Normaali"/>
    <w:pPr>
      <w:spacing w:after="120" w:line="480" w:lineRule="auto"/>
    </w:pPr>
  </w:style>
  <w:style w:type="paragraph" w:styleId="Leipteksti3">
    <w:name w:val="Body Text 3"/>
    <w:basedOn w:val="Normaali"/>
    <w:pPr>
      <w:spacing w:after="120"/>
    </w:pPr>
    <w:rPr>
      <w:sz w:val="16"/>
    </w:rPr>
  </w:style>
  <w:style w:type="paragraph" w:styleId="Leiptekstin1rivinsisennys">
    <w:name w:val="Body Text First Indent"/>
    <w:basedOn w:val="Leipteksti"/>
    <w:pPr>
      <w:ind w:firstLine="210"/>
    </w:pPr>
  </w:style>
  <w:style w:type="paragraph" w:styleId="Sisennettyleipteksti">
    <w:name w:val="Body Text Indent"/>
    <w:basedOn w:val="Normaali"/>
    <w:pPr>
      <w:spacing w:after="120"/>
      <w:ind w:left="283"/>
    </w:pPr>
  </w:style>
  <w:style w:type="paragraph" w:styleId="Leiptekstin1rivinsisennys2">
    <w:name w:val="Body Text First Indent 2"/>
    <w:basedOn w:val="Sisennettyleipteksti"/>
    <w:pPr>
      <w:ind w:firstLine="210"/>
    </w:pPr>
  </w:style>
  <w:style w:type="paragraph" w:styleId="Sisennettyleipteksti2">
    <w:name w:val="Body Text Indent 2"/>
    <w:basedOn w:val="Normaali"/>
    <w:pPr>
      <w:spacing w:after="120" w:line="480" w:lineRule="auto"/>
      <w:ind w:left="283"/>
    </w:pPr>
  </w:style>
  <w:style w:type="paragraph" w:styleId="Sisennettyleipteksti3">
    <w:name w:val="Body Text Indent 3"/>
    <w:basedOn w:val="Normaali"/>
    <w:pPr>
      <w:spacing w:after="120"/>
      <w:ind w:left="283"/>
    </w:pPr>
    <w:rPr>
      <w:sz w:val="16"/>
    </w:rPr>
  </w:style>
  <w:style w:type="paragraph" w:styleId="Kuvaotsikko">
    <w:name w:val="caption"/>
    <w:basedOn w:val="Normaali"/>
    <w:next w:val="Normaali"/>
    <w:qFormat/>
    <w:pPr>
      <w:spacing w:before="120" w:after="120"/>
    </w:pPr>
    <w:rPr>
      <w:b/>
    </w:rPr>
  </w:style>
  <w:style w:type="paragraph" w:styleId="Lopetus">
    <w:name w:val="Closing"/>
    <w:basedOn w:val="Normaali"/>
    <w:next w:val="Allekirjoitus"/>
    <w:pPr>
      <w:tabs>
        <w:tab w:val="left" w:pos="5103"/>
      </w:tabs>
      <w:spacing w:before="240"/>
      <w:ind w:left="5103"/>
      <w:jc w:val="left"/>
    </w:pPr>
  </w:style>
  <w:style w:type="paragraph" w:styleId="Allekirjoitus">
    <w:name w:val="Signature"/>
    <w:basedOn w:val="Normaali"/>
    <w:next w:val="Contact"/>
    <w:link w:val="AllekirjoitusChar"/>
    <w:uiPriority w:val="99"/>
    <w:pPr>
      <w:tabs>
        <w:tab w:val="left" w:pos="5103"/>
      </w:tabs>
      <w:spacing w:before="1200" w:after="0"/>
      <w:ind w:left="5103"/>
      <w:jc w:val="center"/>
    </w:pPr>
  </w:style>
  <w:style w:type="paragraph" w:customStyle="1" w:styleId="Enclosures">
    <w:name w:val="Enclosures"/>
    <w:basedOn w:val="Normaali"/>
    <w:next w:val="Participants"/>
    <w:pPr>
      <w:keepNext/>
      <w:keepLines/>
      <w:tabs>
        <w:tab w:val="left" w:pos="5670"/>
      </w:tabs>
      <w:spacing w:before="480" w:after="0"/>
      <w:ind w:left="1985" w:hanging="1985"/>
      <w:jc w:val="left"/>
    </w:pPr>
  </w:style>
  <w:style w:type="paragraph" w:customStyle="1" w:styleId="Participants">
    <w:name w:val="Participants"/>
    <w:basedOn w:val="Normaali"/>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ali"/>
    <w:next w:val="Normaali"/>
    <w:pPr>
      <w:tabs>
        <w:tab w:val="left" w:pos="2552"/>
        <w:tab w:val="left" w:pos="2835"/>
        <w:tab w:val="left" w:pos="5670"/>
        <w:tab w:val="left" w:pos="6379"/>
        <w:tab w:val="left" w:pos="6804"/>
      </w:tabs>
      <w:spacing w:before="480" w:after="0"/>
      <w:ind w:left="1985" w:hanging="1985"/>
      <w:jc w:val="left"/>
    </w:pPr>
  </w:style>
  <w:style w:type="paragraph" w:styleId="Kommentinteksti">
    <w:name w:val="annotation text"/>
    <w:basedOn w:val="Normaali"/>
    <w:semiHidden/>
    <w:rPr>
      <w:sz w:val="20"/>
    </w:rPr>
  </w:style>
  <w:style w:type="paragraph" w:styleId="Pivmr">
    <w:name w:val="Date"/>
    <w:basedOn w:val="Normaali"/>
    <w:next w:val="References"/>
    <w:link w:val="PivmrChar"/>
    <w:uiPriority w:val="99"/>
    <w:pPr>
      <w:spacing w:after="0"/>
      <w:ind w:left="5103" w:right="-567"/>
      <w:jc w:val="left"/>
    </w:pPr>
  </w:style>
  <w:style w:type="paragraph" w:customStyle="1" w:styleId="References">
    <w:name w:val="References"/>
    <w:basedOn w:val="Normaali"/>
    <w:next w:val="AddressTR"/>
    <w:uiPriority w:val="99"/>
    <w:pPr>
      <w:ind w:left="5103"/>
      <w:jc w:val="left"/>
    </w:pPr>
    <w:rPr>
      <w:sz w:val="20"/>
    </w:rPr>
  </w:style>
  <w:style w:type="paragraph" w:styleId="Asiakirjanrakenneruutu">
    <w:name w:val="Document Map"/>
    <w:basedOn w:val="Normaali"/>
    <w:semiHidden/>
    <w:pPr>
      <w:shd w:val="clear" w:color="auto" w:fill="000080"/>
    </w:pPr>
    <w:rPr>
      <w:rFonts w:ascii="Tahoma" w:hAnsi="Tahoma"/>
    </w:rPr>
  </w:style>
  <w:style w:type="paragraph" w:customStyle="1" w:styleId="DoubSign">
    <w:name w:val="DoubSign"/>
    <w:basedOn w:val="Normaali"/>
    <w:next w:val="Contact"/>
    <w:pPr>
      <w:tabs>
        <w:tab w:val="left" w:pos="5103"/>
      </w:tabs>
      <w:spacing w:before="1200" w:after="0"/>
      <w:jc w:val="left"/>
    </w:pPr>
  </w:style>
  <w:style w:type="paragraph" w:styleId="Loppuviitteenteksti">
    <w:name w:val="endnote text"/>
    <w:basedOn w:val="Normaali"/>
    <w:semiHidden/>
    <w:rPr>
      <w:sz w:val="20"/>
    </w:rPr>
  </w:style>
  <w:style w:type="paragraph" w:styleId="Kirjekuorenosoite">
    <w:name w:val="envelope address"/>
    <w:basedOn w:val="Normaali"/>
    <w:pPr>
      <w:framePr w:w="7920" w:h="1980" w:hRule="exact" w:hSpace="180" w:wrap="auto" w:hAnchor="page" w:xAlign="center" w:yAlign="bottom"/>
      <w:spacing w:after="0"/>
    </w:pPr>
  </w:style>
  <w:style w:type="paragraph" w:styleId="Kirjekuorenpalautusosoite">
    <w:name w:val="envelope return"/>
    <w:basedOn w:val="Normaali"/>
    <w:pPr>
      <w:spacing w:after="0"/>
    </w:pPr>
    <w:rPr>
      <w:sz w:val="20"/>
    </w:rPr>
  </w:style>
  <w:style w:type="paragraph" w:styleId="Alatunniste">
    <w:name w:val="footer"/>
    <w:basedOn w:val="Normaali"/>
    <w:link w:val="AlatunnisteChar"/>
    <w:uiPriority w:val="99"/>
    <w:pPr>
      <w:spacing w:after="0"/>
      <w:ind w:right="-567"/>
      <w:jc w:val="left"/>
    </w:pPr>
    <w:rPr>
      <w:rFonts w:ascii="Arial" w:hAnsi="Arial"/>
      <w:sz w:val="16"/>
    </w:rPr>
  </w:style>
  <w:style w:type="paragraph" w:styleId="Alaviitteenteksti">
    <w:name w:val="footnote text"/>
    <w:basedOn w:val="Normaali"/>
    <w:semiHidden/>
    <w:pPr>
      <w:ind w:left="357" w:hanging="357"/>
    </w:pPr>
    <w:rPr>
      <w:sz w:val="20"/>
    </w:rPr>
  </w:style>
  <w:style w:type="paragraph" w:styleId="Yltunniste">
    <w:name w:val="header"/>
    <w:basedOn w:val="Normaali"/>
    <w:link w:val="YltunnisteChar"/>
    <w:uiPriority w:val="99"/>
    <w:pPr>
      <w:tabs>
        <w:tab w:val="center" w:pos="4153"/>
        <w:tab w:val="right" w:pos="8306"/>
      </w:tabs>
    </w:pPr>
  </w:style>
  <w:style w:type="paragraph" w:styleId="Hakemisto1">
    <w:name w:val="index 1"/>
    <w:basedOn w:val="Normaali"/>
    <w:next w:val="Normaali"/>
    <w:autoRedefine/>
    <w:semiHidden/>
    <w:pPr>
      <w:ind w:left="240" w:hanging="240"/>
    </w:pPr>
  </w:style>
  <w:style w:type="paragraph" w:styleId="Hakemisto2">
    <w:name w:val="index 2"/>
    <w:basedOn w:val="Normaali"/>
    <w:next w:val="Normaali"/>
    <w:autoRedefine/>
    <w:semiHidden/>
    <w:pPr>
      <w:ind w:left="480" w:hanging="240"/>
    </w:pPr>
  </w:style>
  <w:style w:type="paragraph" w:styleId="Hakemisto3">
    <w:name w:val="index 3"/>
    <w:basedOn w:val="Normaali"/>
    <w:next w:val="Normaali"/>
    <w:autoRedefine/>
    <w:semiHidden/>
    <w:pPr>
      <w:ind w:left="720" w:hanging="240"/>
    </w:pPr>
  </w:style>
  <w:style w:type="paragraph" w:styleId="Hakemisto4">
    <w:name w:val="index 4"/>
    <w:basedOn w:val="Normaali"/>
    <w:next w:val="Normaali"/>
    <w:autoRedefine/>
    <w:semiHidden/>
    <w:pPr>
      <w:ind w:left="960" w:hanging="240"/>
    </w:pPr>
  </w:style>
  <w:style w:type="paragraph" w:styleId="Hakemisto5">
    <w:name w:val="index 5"/>
    <w:basedOn w:val="Normaali"/>
    <w:next w:val="Normaali"/>
    <w:autoRedefine/>
    <w:semiHidden/>
    <w:pPr>
      <w:ind w:left="1200" w:hanging="240"/>
    </w:pPr>
  </w:style>
  <w:style w:type="paragraph" w:styleId="Hakemisto6">
    <w:name w:val="index 6"/>
    <w:basedOn w:val="Normaali"/>
    <w:next w:val="Normaali"/>
    <w:autoRedefine/>
    <w:semiHidden/>
    <w:pPr>
      <w:ind w:left="1440" w:hanging="240"/>
    </w:pPr>
  </w:style>
  <w:style w:type="paragraph" w:styleId="Hakemisto7">
    <w:name w:val="index 7"/>
    <w:basedOn w:val="Normaali"/>
    <w:next w:val="Normaali"/>
    <w:autoRedefine/>
    <w:semiHidden/>
    <w:pPr>
      <w:ind w:left="1680" w:hanging="240"/>
    </w:pPr>
  </w:style>
  <w:style w:type="paragraph" w:styleId="Hakemisto8">
    <w:name w:val="index 8"/>
    <w:basedOn w:val="Normaali"/>
    <w:next w:val="Normaali"/>
    <w:autoRedefine/>
    <w:semiHidden/>
    <w:pPr>
      <w:ind w:left="1920" w:hanging="240"/>
    </w:pPr>
  </w:style>
  <w:style w:type="paragraph" w:styleId="Hakemisto9">
    <w:name w:val="index 9"/>
    <w:basedOn w:val="Normaali"/>
    <w:next w:val="Normaali"/>
    <w:autoRedefine/>
    <w:semiHidden/>
    <w:pPr>
      <w:ind w:left="2160" w:hanging="240"/>
    </w:pPr>
  </w:style>
  <w:style w:type="paragraph" w:styleId="Hakemistonotsikko">
    <w:name w:val="index heading"/>
    <w:basedOn w:val="Normaali"/>
    <w:next w:val="Hakemisto1"/>
    <w:semiHidden/>
    <w:rPr>
      <w:rFonts w:ascii="Arial" w:hAnsi="Arial"/>
      <w:b/>
    </w:rPr>
  </w:style>
  <w:style w:type="paragraph" w:styleId="Luettelo">
    <w:name w:val="List"/>
    <w:basedOn w:val="Normaali"/>
    <w:pPr>
      <w:ind w:left="283" w:hanging="283"/>
    </w:pPr>
  </w:style>
  <w:style w:type="paragraph" w:styleId="Luettelo2">
    <w:name w:val="List 2"/>
    <w:basedOn w:val="Normaali"/>
    <w:pPr>
      <w:ind w:left="566" w:hanging="283"/>
    </w:pPr>
  </w:style>
  <w:style w:type="paragraph" w:styleId="Luettelo3">
    <w:name w:val="List 3"/>
    <w:basedOn w:val="Normaali"/>
    <w:pPr>
      <w:ind w:left="849" w:hanging="283"/>
    </w:pPr>
  </w:style>
  <w:style w:type="paragraph" w:styleId="Luettelo4">
    <w:name w:val="List 4"/>
    <w:basedOn w:val="Normaali"/>
    <w:pPr>
      <w:ind w:left="1132" w:hanging="283"/>
    </w:pPr>
  </w:style>
  <w:style w:type="paragraph" w:styleId="Luettelo5">
    <w:name w:val="List 5"/>
    <w:basedOn w:val="Normaali"/>
    <w:pPr>
      <w:ind w:left="1415" w:hanging="283"/>
    </w:pPr>
  </w:style>
  <w:style w:type="paragraph" w:styleId="Merkittyluettelo">
    <w:name w:val="List Bullet"/>
    <w:basedOn w:val="Normaali"/>
    <w:pPr>
      <w:numPr>
        <w:numId w:val="4"/>
      </w:numPr>
    </w:pPr>
  </w:style>
  <w:style w:type="paragraph" w:styleId="Merkittyluettelo2">
    <w:name w:val="List Bullet 2"/>
    <w:basedOn w:val="Text2"/>
    <w:pPr>
      <w:numPr>
        <w:numId w:val="6"/>
      </w:numPr>
      <w:tabs>
        <w:tab w:val="clear" w:pos="2160"/>
      </w:tabs>
    </w:pPr>
  </w:style>
  <w:style w:type="paragraph" w:styleId="Merkittyluettelo3">
    <w:name w:val="List Bullet 3"/>
    <w:basedOn w:val="Text3"/>
    <w:pPr>
      <w:numPr>
        <w:numId w:val="7"/>
      </w:numPr>
      <w:tabs>
        <w:tab w:val="clear" w:pos="2302"/>
      </w:tabs>
    </w:pPr>
  </w:style>
  <w:style w:type="paragraph" w:styleId="Merkittyluettelo4">
    <w:name w:val="List Bullet 4"/>
    <w:basedOn w:val="Text4"/>
    <w:pPr>
      <w:numPr>
        <w:numId w:val="8"/>
      </w:numPr>
    </w:pPr>
  </w:style>
  <w:style w:type="paragraph" w:styleId="Merkittyluettelo5">
    <w:name w:val="List Bullet 5"/>
    <w:basedOn w:val="Normaali"/>
    <w:autoRedefine/>
    <w:pPr>
      <w:numPr>
        <w:numId w:val="1"/>
      </w:numPr>
    </w:pPr>
  </w:style>
  <w:style w:type="paragraph" w:styleId="Jatkoluettelo">
    <w:name w:val="List Continue"/>
    <w:basedOn w:val="Normaali"/>
    <w:pPr>
      <w:spacing w:after="120"/>
      <w:ind w:left="283"/>
    </w:pPr>
  </w:style>
  <w:style w:type="paragraph" w:styleId="Jatkoluettelo2">
    <w:name w:val="List Continue 2"/>
    <w:basedOn w:val="Normaali"/>
    <w:pPr>
      <w:spacing w:after="120"/>
      <w:ind w:left="566"/>
    </w:pPr>
  </w:style>
  <w:style w:type="paragraph" w:styleId="Jatkoluettelo3">
    <w:name w:val="List Continue 3"/>
    <w:basedOn w:val="Normaali"/>
    <w:pPr>
      <w:spacing w:after="120"/>
      <w:ind w:left="849"/>
    </w:pPr>
  </w:style>
  <w:style w:type="paragraph" w:styleId="Jatkoluettelo4">
    <w:name w:val="List Continue 4"/>
    <w:basedOn w:val="Normaali"/>
    <w:pPr>
      <w:spacing w:after="120"/>
      <w:ind w:left="1132"/>
    </w:pPr>
  </w:style>
  <w:style w:type="paragraph" w:styleId="Jatkoluettelo5">
    <w:name w:val="List Continue 5"/>
    <w:basedOn w:val="Normaali"/>
    <w:pPr>
      <w:spacing w:after="120"/>
      <w:ind w:left="1415"/>
    </w:pPr>
  </w:style>
  <w:style w:type="paragraph" w:styleId="Numeroituluettelo">
    <w:name w:val="List Number"/>
    <w:basedOn w:val="Normaali"/>
    <w:pPr>
      <w:numPr>
        <w:numId w:val="14"/>
      </w:numPr>
    </w:pPr>
  </w:style>
  <w:style w:type="paragraph" w:styleId="Numeroituluettelo2">
    <w:name w:val="List Number 2"/>
    <w:basedOn w:val="Text2"/>
    <w:pPr>
      <w:numPr>
        <w:numId w:val="16"/>
      </w:numPr>
      <w:tabs>
        <w:tab w:val="clear" w:pos="2160"/>
      </w:tabs>
    </w:pPr>
  </w:style>
  <w:style w:type="paragraph" w:styleId="Numeroituluettelo3">
    <w:name w:val="List Number 3"/>
    <w:basedOn w:val="Text3"/>
    <w:pPr>
      <w:numPr>
        <w:numId w:val="17"/>
      </w:numPr>
      <w:tabs>
        <w:tab w:val="clear" w:pos="2302"/>
      </w:tabs>
    </w:pPr>
  </w:style>
  <w:style w:type="paragraph" w:styleId="Numeroituluettelo4">
    <w:name w:val="List Number 4"/>
    <w:basedOn w:val="Text4"/>
    <w:pPr>
      <w:numPr>
        <w:numId w:val="18"/>
      </w:numPr>
    </w:pPr>
  </w:style>
  <w:style w:type="paragraph" w:styleId="Numeroituluettelo5">
    <w:name w:val="List Number 5"/>
    <w:basedOn w:val="Normaali"/>
    <w:pPr>
      <w:numPr>
        <w:numId w:val="2"/>
      </w:numPr>
    </w:p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Viestinotsikko">
    <w:name w:val="Message Header"/>
    <w:basedOn w:val="Normaali"/>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Vakiosisennys">
    <w:name w:val="Normal Indent"/>
    <w:basedOn w:val="Normaali"/>
    <w:pPr>
      <w:ind w:left="720"/>
    </w:pPr>
  </w:style>
  <w:style w:type="paragraph" w:styleId="Huomautuksenotsikko">
    <w:name w:val="Note Heading"/>
    <w:basedOn w:val="Normaali"/>
    <w:next w:val="Normaali"/>
  </w:style>
  <w:style w:type="paragraph" w:customStyle="1" w:styleId="NoteHead">
    <w:name w:val="NoteHead"/>
    <w:basedOn w:val="Normaali"/>
    <w:next w:val="Subject"/>
    <w:pPr>
      <w:spacing w:before="720" w:after="720"/>
      <w:jc w:val="center"/>
    </w:pPr>
    <w:rPr>
      <w:b/>
      <w:smallCaps/>
    </w:rPr>
  </w:style>
  <w:style w:type="paragraph" w:customStyle="1" w:styleId="Subject">
    <w:name w:val="Subject"/>
    <w:basedOn w:val="Normaali"/>
    <w:next w:val="Normaali"/>
    <w:pPr>
      <w:spacing w:after="480"/>
      <w:ind w:left="1531" w:hanging="1531"/>
      <w:jc w:val="left"/>
    </w:pPr>
    <w:rPr>
      <w:b/>
    </w:rPr>
  </w:style>
  <w:style w:type="paragraph" w:customStyle="1" w:styleId="NoteList">
    <w:name w:val="NoteList"/>
    <w:basedOn w:val="Normaali"/>
    <w:next w:val="Subject"/>
    <w:pPr>
      <w:tabs>
        <w:tab w:val="left" w:pos="5823"/>
      </w:tabs>
      <w:spacing w:before="720" w:after="720"/>
      <w:ind w:left="5104" w:hanging="3119"/>
      <w:jc w:val="left"/>
    </w:pPr>
    <w:rPr>
      <w:b/>
      <w:smallCaps/>
    </w:rPr>
  </w:style>
  <w:style w:type="paragraph" w:customStyle="1" w:styleId="NumPar1">
    <w:name w:val="NumPar 1"/>
    <w:basedOn w:val="Otsikko1"/>
    <w:next w:val="Text1"/>
    <w:pPr>
      <w:keepNext w:val="0"/>
      <w:spacing w:before="0"/>
      <w:outlineLvl w:val="9"/>
    </w:pPr>
    <w:rPr>
      <w:b w:val="0"/>
      <w:smallCaps w:val="0"/>
    </w:rPr>
  </w:style>
  <w:style w:type="paragraph" w:customStyle="1" w:styleId="NumPar2">
    <w:name w:val="NumPar 2"/>
    <w:basedOn w:val="Otsikko2"/>
    <w:next w:val="Text2"/>
    <w:pPr>
      <w:keepNext w:val="0"/>
      <w:outlineLvl w:val="9"/>
    </w:pPr>
    <w:rPr>
      <w:b w:val="0"/>
    </w:rPr>
  </w:style>
  <w:style w:type="paragraph" w:customStyle="1" w:styleId="NumPar3">
    <w:name w:val="NumPar 3"/>
    <w:basedOn w:val="Otsikko3"/>
    <w:next w:val="Text3"/>
    <w:pPr>
      <w:keepNext w:val="0"/>
      <w:outlineLvl w:val="9"/>
    </w:pPr>
    <w:rPr>
      <w:i w:val="0"/>
    </w:rPr>
  </w:style>
  <w:style w:type="paragraph" w:customStyle="1" w:styleId="NumPar4">
    <w:name w:val="NumPar 4"/>
    <w:basedOn w:val="Otsikko4"/>
    <w:next w:val="Text4"/>
    <w:pPr>
      <w:keepNext w:val="0"/>
      <w:outlineLvl w:val="9"/>
    </w:pPr>
  </w:style>
  <w:style w:type="paragraph" w:styleId="Vaintekstin">
    <w:name w:val="Plain Text"/>
    <w:basedOn w:val="Normaali"/>
    <w:rPr>
      <w:rFonts w:ascii="Courier New" w:hAnsi="Courier New"/>
      <w:sz w:val="20"/>
    </w:rPr>
  </w:style>
  <w:style w:type="paragraph" w:styleId="Tervehdys">
    <w:name w:val="Salutation"/>
    <w:basedOn w:val="Normaali"/>
    <w:next w:val="Normaali"/>
  </w:style>
  <w:style w:type="paragraph" w:styleId="Alaotsikko">
    <w:name w:val="Subtitle"/>
    <w:basedOn w:val="Normaali"/>
    <w:qFormat/>
    <w:pPr>
      <w:spacing w:after="60"/>
      <w:jc w:val="center"/>
      <w:outlineLvl w:val="1"/>
    </w:pPr>
    <w:rPr>
      <w:rFonts w:ascii="Arial" w:hAnsi="Arial"/>
    </w:rPr>
  </w:style>
  <w:style w:type="paragraph" w:styleId="Lhdeviiteluettelo">
    <w:name w:val="table of authorities"/>
    <w:basedOn w:val="Normaali"/>
    <w:next w:val="Normaali"/>
    <w:semiHidden/>
    <w:pPr>
      <w:ind w:left="240" w:hanging="240"/>
    </w:pPr>
  </w:style>
  <w:style w:type="paragraph" w:styleId="Kuvaotsikkoluettelo">
    <w:name w:val="table of figures"/>
    <w:basedOn w:val="Normaali"/>
    <w:next w:val="Normaali"/>
    <w:semiHidden/>
    <w:pPr>
      <w:ind w:left="480" w:hanging="480"/>
    </w:pPr>
  </w:style>
  <w:style w:type="paragraph" w:styleId="Otsikko">
    <w:name w:val="Title"/>
    <w:basedOn w:val="Normaali"/>
    <w:qFormat/>
    <w:pPr>
      <w:spacing w:before="240" w:after="60"/>
      <w:jc w:val="center"/>
      <w:outlineLvl w:val="0"/>
    </w:pPr>
    <w:rPr>
      <w:rFonts w:ascii="Arial" w:hAnsi="Arial"/>
      <w:b/>
      <w:kern w:val="28"/>
      <w:sz w:val="32"/>
    </w:rPr>
  </w:style>
  <w:style w:type="paragraph" w:styleId="Lhdeluettelonotsikko">
    <w:name w:val="toa heading"/>
    <w:basedOn w:val="Normaali"/>
    <w:next w:val="Normaali"/>
    <w:semiHidden/>
    <w:pPr>
      <w:spacing w:before="120"/>
    </w:pPr>
    <w:rPr>
      <w:rFonts w:ascii="Arial" w:hAnsi="Arial"/>
      <w:b/>
    </w:rPr>
  </w:style>
  <w:style w:type="paragraph" w:styleId="Sisluet1">
    <w:name w:val="toc 1"/>
    <w:basedOn w:val="Normaali"/>
    <w:next w:val="Normaali"/>
    <w:semiHidden/>
    <w:pPr>
      <w:tabs>
        <w:tab w:val="right" w:leader="dot" w:pos="8640"/>
      </w:tabs>
      <w:spacing w:before="120" w:after="120"/>
      <w:ind w:left="482" w:right="720" w:hanging="482"/>
    </w:pPr>
    <w:rPr>
      <w:caps/>
    </w:rPr>
  </w:style>
  <w:style w:type="paragraph" w:styleId="Sisluet2">
    <w:name w:val="toc 2"/>
    <w:basedOn w:val="Normaali"/>
    <w:next w:val="Normaali"/>
    <w:semiHidden/>
    <w:pPr>
      <w:tabs>
        <w:tab w:val="right" w:leader="dot" w:pos="8640"/>
      </w:tabs>
      <w:spacing w:before="60" w:after="60"/>
      <w:ind w:left="1077" w:right="720" w:hanging="595"/>
    </w:pPr>
  </w:style>
  <w:style w:type="paragraph" w:styleId="Sisluet3">
    <w:name w:val="toc 3"/>
    <w:basedOn w:val="Normaali"/>
    <w:next w:val="Normaali"/>
    <w:semiHidden/>
    <w:pPr>
      <w:tabs>
        <w:tab w:val="right" w:leader="dot" w:pos="8640"/>
      </w:tabs>
      <w:spacing w:before="60" w:after="60"/>
      <w:ind w:left="1916" w:right="720" w:hanging="839"/>
    </w:pPr>
  </w:style>
  <w:style w:type="paragraph" w:styleId="Sisluet4">
    <w:name w:val="toc 4"/>
    <w:basedOn w:val="Normaali"/>
    <w:next w:val="Normaali"/>
    <w:semiHidden/>
    <w:pPr>
      <w:tabs>
        <w:tab w:val="right" w:leader="dot" w:pos="8641"/>
      </w:tabs>
      <w:spacing w:before="60" w:after="60"/>
      <w:ind w:left="2880" w:right="720" w:hanging="964"/>
    </w:pPr>
  </w:style>
  <w:style w:type="paragraph" w:styleId="Sisluet5">
    <w:name w:val="toc 5"/>
    <w:basedOn w:val="Normaali"/>
    <w:next w:val="Normaali"/>
    <w:semiHidden/>
    <w:pPr>
      <w:tabs>
        <w:tab w:val="right" w:leader="dot" w:pos="8641"/>
      </w:tabs>
      <w:spacing w:before="240" w:after="120"/>
      <w:ind w:right="720"/>
    </w:pPr>
    <w:rPr>
      <w:caps/>
    </w:rPr>
  </w:style>
  <w:style w:type="paragraph" w:styleId="Sisluet6">
    <w:name w:val="toc 6"/>
    <w:basedOn w:val="Normaali"/>
    <w:next w:val="Normaali"/>
    <w:autoRedefine/>
    <w:semiHidden/>
    <w:pPr>
      <w:ind w:left="1200"/>
    </w:pPr>
  </w:style>
  <w:style w:type="paragraph" w:styleId="Sisluet7">
    <w:name w:val="toc 7"/>
    <w:basedOn w:val="Normaali"/>
    <w:next w:val="Normaali"/>
    <w:autoRedefine/>
    <w:semiHidden/>
    <w:pPr>
      <w:ind w:left="1440"/>
    </w:pPr>
  </w:style>
  <w:style w:type="paragraph" w:styleId="Sisluet8">
    <w:name w:val="toc 8"/>
    <w:basedOn w:val="Normaali"/>
    <w:next w:val="Normaali"/>
    <w:autoRedefine/>
    <w:semiHidden/>
    <w:pPr>
      <w:ind w:left="1680"/>
    </w:pPr>
  </w:style>
  <w:style w:type="paragraph" w:styleId="Sisluet9">
    <w:name w:val="toc 9"/>
    <w:basedOn w:val="Normaali"/>
    <w:next w:val="Normaali"/>
    <w:autoRedefine/>
    <w:semiHidden/>
    <w:pPr>
      <w:ind w:left="1920"/>
    </w:pPr>
  </w:style>
  <w:style w:type="paragraph" w:customStyle="1" w:styleId="YReferences">
    <w:name w:val="YReferences"/>
    <w:basedOn w:val="Normaali"/>
    <w:next w:val="Normaali"/>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ali"/>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ali"/>
    <w:pPr>
      <w:numPr>
        <w:ilvl w:val="1"/>
        <w:numId w:val="14"/>
      </w:numPr>
    </w:pPr>
  </w:style>
  <w:style w:type="paragraph" w:customStyle="1" w:styleId="ListNumberLevel3">
    <w:name w:val="List Number (Level 3)"/>
    <w:basedOn w:val="Normaali"/>
    <w:pPr>
      <w:numPr>
        <w:ilvl w:val="2"/>
        <w:numId w:val="14"/>
      </w:numPr>
    </w:pPr>
  </w:style>
  <w:style w:type="paragraph" w:customStyle="1" w:styleId="ListNumberLevel4">
    <w:name w:val="List Number (Level 4)"/>
    <w:basedOn w:val="Normaali"/>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Sisllysluettelonotsikko">
    <w:name w:val="TOC Heading"/>
    <w:basedOn w:val="Normaali"/>
    <w:next w:val="Normaali"/>
    <w:qFormat/>
    <w:pPr>
      <w:keepNext/>
      <w:spacing w:before="240"/>
      <w:jc w:val="center"/>
    </w:pPr>
    <w:rPr>
      <w:b/>
    </w:rPr>
  </w:style>
  <w:style w:type="paragraph" w:customStyle="1" w:styleId="Contact">
    <w:name w:val="Contact"/>
    <w:basedOn w:val="Normaali"/>
    <w:next w:val="Enclosures"/>
    <w:uiPriority w:val="99"/>
    <w:pPr>
      <w:spacing w:before="480" w:after="0"/>
      <w:ind w:left="567" w:hanging="567"/>
      <w:jc w:val="left"/>
    </w:pPr>
  </w:style>
  <w:style w:type="paragraph" w:customStyle="1" w:styleId="DisclaimerNotice">
    <w:name w:val="Disclaimer Notice"/>
    <w:basedOn w:val="Normaali"/>
    <w:next w:val="AddressTR"/>
    <w:pPr>
      <w:ind w:left="5103"/>
      <w:jc w:val="left"/>
    </w:pPr>
    <w:rPr>
      <w:i/>
      <w:sz w:val="20"/>
    </w:rPr>
  </w:style>
  <w:style w:type="paragraph" w:customStyle="1" w:styleId="Disclaimer">
    <w:name w:val="Disclaimer"/>
    <w:basedOn w:val="Normaali"/>
    <w:pPr>
      <w:keepLines/>
      <w:pBdr>
        <w:top w:val="single" w:sz="4" w:space="1" w:color="auto"/>
      </w:pBdr>
      <w:spacing w:before="480" w:after="0"/>
    </w:pPr>
    <w:rPr>
      <w:i/>
    </w:rPr>
  </w:style>
  <w:style w:type="character" w:styleId="AvattuHyperlinkki">
    <w:name w:val="FollowedHyperlink"/>
    <w:rPr>
      <w:color w:val="800080"/>
      <w:u w:val="single"/>
    </w:rPr>
  </w:style>
  <w:style w:type="paragraph" w:customStyle="1" w:styleId="DisclaimerSJ">
    <w:name w:val="Disclaimer_SJ"/>
    <w:basedOn w:val="Normaali"/>
    <w:next w:val="Normaali"/>
    <w:pPr>
      <w:spacing w:after="0"/>
    </w:pPr>
    <w:rPr>
      <w:rFonts w:ascii="Arial" w:hAnsi="Arial"/>
      <w:b/>
      <w:sz w:val="16"/>
    </w:rPr>
  </w:style>
  <w:style w:type="paragraph" w:customStyle="1" w:styleId="Designator">
    <w:name w:val="Designator"/>
    <w:basedOn w:val="Normaali"/>
    <w:pPr>
      <w:spacing w:after="0"/>
      <w:jc w:val="center"/>
    </w:pPr>
    <w:rPr>
      <w:b/>
      <w:caps/>
      <w:sz w:val="32"/>
    </w:rPr>
  </w:style>
  <w:style w:type="paragraph" w:customStyle="1" w:styleId="Releasable">
    <w:name w:val="Releasable"/>
    <w:basedOn w:val="Normaali"/>
    <w:qFormat/>
    <w:pPr>
      <w:spacing w:after="0"/>
      <w:jc w:val="center"/>
    </w:pPr>
    <w:rPr>
      <w:b/>
      <w:caps/>
      <w:sz w:val="32"/>
      <w:lang w:val="de-DE"/>
    </w:rPr>
  </w:style>
  <w:style w:type="paragraph" w:customStyle="1" w:styleId="RUE">
    <w:name w:val="RUE"/>
    <w:basedOn w:val="Normaali"/>
    <w:pPr>
      <w:spacing w:after="0"/>
      <w:jc w:val="center"/>
    </w:pPr>
    <w:rPr>
      <w:b/>
      <w:caps/>
      <w:sz w:val="32"/>
      <w:bdr w:val="single" w:sz="18" w:space="0" w:color="auto"/>
      <w:lang w:val="de-DE"/>
    </w:rPr>
  </w:style>
  <w:style w:type="paragraph" w:customStyle="1" w:styleId="ConfidentialUE">
    <w:name w:val="Confidential UE"/>
    <w:basedOn w:val="Normaali"/>
    <w:pPr>
      <w:spacing w:after="0"/>
      <w:jc w:val="center"/>
    </w:pPr>
    <w:rPr>
      <w:b/>
      <w:caps/>
      <w:sz w:val="32"/>
      <w:bdr w:val="single" w:sz="18" w:space="0" w:color="auto"/>
    </w:rPr>
  </w:style>
  <w:style w:type="paragraph" w:customStyle="1" w:styleId="TrsSecretUE">
    <w:name w:val="Très Secret UE"/>
    <w:basedOn w:val="Normaali"/>
    <w:pPr>
      <w:spacing w:after="0"/>
      <w:jc w:val="center"/>
    </w:pPr>
    <w:rPr>
      <w:b/>
      <w:caps/>
      <w:color w:val="FF0000"/>
      <w:sz w:val="32"/>
      <w:bdr w:val="single" w:sz="18" w:space="0" w:color="FF0000"/>
    </w:rPr>
  </w:style>
  <w:style w:type="paragraph" w:customStyle="1" w:styleId="SecretUE">
    <w:name w:val="Secret UE"/>
    <w:basedOn w:val="Normaali"/>
    <w:pPr>
      <w:spacing w:after="0"/>
      <w:jc w:val="center"/>
    </w:pPr>
    <w:rPr>
      <w:b/>
      <w:caps/>
      <w:color w:val="FF0000"/>
      <w:sz w:val="32"/>
      <w:bdr w:val="single" w:sz="18" w:space="0" w:color="FF0000"/>
    </w:rPr>
  </w:style>
  <w:style w:type="character" w:customStyle="1" w:styleId="AlatunnisteChar">
    <w:name w:val="Alatunniste Char"/>
    <w:link w:val="Alatunniste"/>
    <w:uiPriority w:val="99"/>
    <w:rsid w:val="00BC6AFE"/>
    <w:rPr>
      <w:rFonts w:ascii="Arial" w:hAnsi="Arial"/>
      <w:sz w:val="16"/>
      <w:lang w:eastAsia="en-US"/>
    </w:rPr>
  </w:style>
  <w:style w:type="character" w:customStyle="1" w:styleId="PivmrChar">
    <w:name w:val="Päivämäärä Char"/>
    <w:link w:val="Pivmr"/>
    <w:uiPriority w:val="99"/>
    <w:rsid w:val="00BC6AFE"/>
    <w:rPr>
      <w:sz w:val="24"/>
      <w:lang w:eastAsia="en-US"/>
    </w:rPr>
  </w:style>
  <w:style w:type="character" w:customStyle="1" w:styleId="AllekirjoitusChar">
    <w:name w:val="Allekirjoitus Char"/>
    <w:link w:val="Allekirjoitus"/>
    <w:uiPriority w:val="99"/>
    <w:rsid w:val="00BC6AFE"/>
    <w:rPr>
      <w:sz w:val="24"/>
      <w:lang w:eastAsia="en-US"/>
    </w:rPr>
  </w:style>
  <w:style w:type="paragraph" w:customStyle="1" w:styleId="ZCom">
    <w:name w:val="Z_Com"/>
    <w:basedOn w:val="Normaali"/>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ali"/>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YltunnisteChar">
    <w:name w:val="Ylätunniste Char"/>
    <w:link w:val="Yltunniste"/>
    <w:uiPriority w:val="99"/>
    <w:rsid w:val="00BC6AFE"/>
    <w:rPr>
      <w:sz w:val="24"/>
      <w:lang w:eastAsia="en-US"/>
    </w:rPr>
  </w:style>
  <w:style w:type="character" w:customStyle="1" w:styleId="Otsikko2Char">
    <w:name w:val="Otsikko 2 Char"/>
    <w:link w:val="Otsikko2"/>
    <w:rsid w:val="00BC6AFE"/>
    <w:rPr>
      <w:b/>
      <w:sz w:val="24"/>
      <w:lang w:eastAsia="en-US"/>
    </w:rPr>
  </w:style>
  <w:style w:type="character" w:customStyle="1" w:styleId="Otsikko1Char">
    <w:name w:val="Otsikko 1 Char"/>
    <w:link w:val="Otsikko1"/>
    <w:rsid w:val="00BC6AFE"/>
    <w:rPr>
      <w:b/>
      <w:smallCaps/>
      <w:sz w:val="24"/>
      <w:lang w:eastAsia="en-US"/>
    </w:rPr>
  </w:style>
  <w:style w:type="table" w:styleId="TaulukkoRuudukko">
    <w:name w:val="Table Grid"/>
    <w:basedOn w:val="Normaalitaulukko"/>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kala\Downloads\NTTS2021_Abstract_template%20(2).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98256F24-A102-4507-9F94-5296A18E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 (2).dot</Template>
  <TotalTime>9</TotalTime>
  <Pages>4</Pages>
  <Words>1861</Words>
  <Characters>10518</Characters>
  <Application>Microsoft Office Word</Application>
  <DocSecurity>0</DocSecurity>
  <PresentationFormat>Microsoft Word 14.0</PresentationFormat>
  <Lines>87</Lines>
  <Paragraphs>24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Miika Honkala</dc:creator>
  <cp:keywords>EL4</cp:keywords>
  <cp:lastModifiedBy>Miika Honkala</cp:lastModifiedBy>
  <cp:revision>10</cp:revision>
  <cp:lastPrinted>2018-05-29T09:06:00Z</cp:lastPrinted>
  <dcterms:created xsi:type="dcterms:W3CDTF">2020-10-15T07:10:00Z</dcterms:created>
  <dcterms:modified xsi:type="dcterms:W3CDTF">2020-10-15T07:23:00Z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