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461D5" w14:textId="0514A2E9" w:rsidR="00BC6AFE" w:rsidRDefault="00BC6AFE" w:rsidP="00BC6AFE">
      <w:pPr>
        <w:pStyle w:val="Title"/>
      </w:pPr>
      <w:r w:rsidRPr="00D26398">
        <w:t xml:space="preserve">Title – </w:t>
      </w:r>
      <w:r w:rsidR="00D26398">
        <w:t>Inequality and well-being in Europe: from a transnational to a place-based analysis</w:t>
      </w:r>
    </w:p>
    <w:p w14:paraId="5EB06401" w14:textId="2E92FDAD" w:rsidR="00243A2C" w:rsidRDefault="00243A2C" w:rsidP="00243A2C">
      <w:r w:rsidRPr="00243A2C">
        <w:rPr>
          <w:b/>
          <w:u w:val="single"/>
        </w:rPr>
        <w:t>Keywords</w:t>
      </w:r>
      <w:r w:rsidRPr="00243A2C">
        <w:rPr>
          <w:b/>
        </w:rPr>
        <w:t>:</w:t>
      </w:r>
      <w:r>
        <w:t xml:space="preserve"> </w:t>
      </w:r>
      <w:r w:rsidR="00D26398" w:rsidRPr="00794B24">
        <w:t>Inequality, well-being, Europe, multi-scaling analysis, monitoring indicators</w:t>
      </w:r>
      <w:r w:rsidR="00794B24">
        <w:t>,</w:t>
      </w:r>
      <w:r w:rsidR="000D53D7">
        <w:t xml:space="preserve"> </w:t>
      </w:r>
      <w:r w:rsidR="00794B24">
        <w:t>Horizon Europe</w:t>
      </w:r>
      <w:r w:rsidR="000D53D7">
        <w:t>, public policies</w:t>
      </w:r>
      <w:r w:rsidR="001B50CE" w:rsidRPr="00794B24">
        <w:t>.</w:t>
      </w:r>
    </w:p>
    <w:p w14:paraId="359BF084" w14:textId="77777777" w:rsidR="002012A8" w:rsidRDefault="002012A8" w:rsidP="0036237A">
      <w:pPr>
        <w:pStyle w:val="Heading1"/>
        <w:ind w:left="482" w:hanging="482"/>
      </w:pPr>
      <w:r>
        <w:t>Introduction</w:t>
      </w:r>
    </w:p>
    <w:p w14:paraId="494D5646" w14:textId="32537F1D" w:rsidR="00EF5068" w:rsidRPr="00344AE1" w:rsidRDefault="00EF5068" w:rsidP="00EF5068">
      <w:pPr>
        <w:pStyle w:val="Default"/>
        <w:spacing w:line="360" w:lineRule="auto"/>
        <w:jc w:val="both"/>
        <w:rPr>
          <w:color w:val="auto"/>
          <w:sz w:val="22"/>
          <w:szCs w:val="22"/>
          <w:lang w:val="en-US"/>
        </w:rPr>
      </w:pPr>
      <w:r w:rsidRPr="00344AE1">
        <w:rPr>
          <w:sz w:val="22"/>
          <w:szCs w:val="22"/>
          <w:lang w:val="en-US"/>
        </w:rPr>
        <w:t xml:space="preserve">Inequality and well-being are central concerns in today’s world. Inequalities are growing and their consequences are visible in the economic, social, cultural and political structures of contemporary </w:t>
      </w:r>
      <w:r w:rsidRPr="00344AE1">
        <w:rPr>
          <w:color w:val="auto"/>
          <w:sz w:val="22"/>
          <w:szCs w:val="22"/>
          <w:lang w:val="en-US"/>
        </w:rPr>
        <w:t xml:space="preserve">societies. </w:t>
      </w:r>
      <w:r w:rsidRPr="00344AE1">
        <w:rPr>
          <w:sz w:val="22"/>
          <w:szCs w:val="22"/>
          <w:lang w:val="en-US"/>
        </w:rPr>
        <w:t xml:space="preserve">The most advanced theories of inequality emphasize that social inequalities are multidimensional, very often intersect with each other and are systemic and cumulative </w:t>
      </w:r>
      <w:r w:rsidR="00701C30" w:rsidRPr="00344AE1">
        <w:rPr>
          <w:sz w:val="22"/>
          <w:szCs w:val="22"/>
          <w:lang w:val="en-US"/>
        </w:rPr>
        <w:t>[1, 2, 3 and 4]</w:t>
      </w:r>
      <w:r w:rsidRPr="00344AE1">
        <w:rPr>
          <w:sz w:val="22"/>
          <w:szCs w:val="22"/>
          <w:lang w:val="en-US"/>
        </w:rPr>
        <w:t xml:space="preserve">. </w:t>
      </w:r>
      <w:r w:rsidRPr="00344AE1">
        <w:rPr>
          <w:color w:val="auto"/>
          <w:sz w:val="22"/>
          <w:szCs w:val="22"/>
          <w:lang w:val="en-US"/>
        </w:rPr>
        <w:t xml:space="preserve">Recent studies emphasize that inequality constrains well-being </w:t>
      </w:r>
      <w:r w:rsidR="00701C30" w:rsidRPr="00344AE1">
        <w:rPr>
          <w:color w:val="auto"/>
          <w:sz w:val="22"/>
          <w:szCs w:val="22"/>
          <w:lang w:val="en-US"/>
        </w:rPr>
        <w:t>[5</w:t>
      </w:r>
      <w:r w:rsidR="00E05E2A" w:rsidRPr="00344AE1">
        <w:rPr>
          <w:color w:val="auto"/>
          <w:sz w:val="22"/>
          <w:szCs w:val="22"/>
          <w:lang w:val="en-US"/>
        </w:rPr>
        <w:t xml:space="preserve"> and</w:t>
      </w:r>
      <w:r w:rsidR="00701C30" w:rsidRPr="00344AE1">
        <w:rPr>
          <w:color w:val="auto"/>
          <w:sz w:val="22"/>
          <w:szCs w:val="22"/>
          <w:lang w:val="en-US"/>
        </w:rPr>
        <w:t xml:space="preserve"> 6]</w:t>
      </w:r>
      <w:r w:rsidRPr="00344AE1">
        <w:rPr>
          <w:color w:val="auto"/>
          <w:sz w:val="22"/>
          <w:szCs w:val="22"/>
          <w:lang w:val="en-US"/>
        </w:rPr>
        <w:t>, but the findings are mostly supported by analysis between countries, that do not take into consideration inequalities within countries and their specific transnational scope. The adoption of a multi-scaling perspective</w:t>
      </w:r>
      <w:r w:rsidR="003F216E" w:rsidRPr="00344AE1">
        <w:rPr>
          <w:color w:val="auto"/>
          <w:sz w:val="22"/>
          <w:szCs w:val="22"/>
          <w:lang w:val="en-US"/>
        </w:rPr>
        <w:t xml:space="preserve"> – transnationally, nationally and place</w:t>
      </w:r>
      <w:r w:rsidR="00915385">
        <w:rPr>
          <w:color w:val="auto"/>
          <w:sz w:val="22"/>
          <w:szCs w:val="22"/>
          <w:lang w:val="en-US"/>
        </w:rPr>
        <w:t>-</w:t>
      </w:r>
      <w:r w:rsidR="003F216E" w:rsidRPr="00344AE1">
        <w:rPr>
          <w:color w:val="auto"/>
          <w:sz w:val="22"/>
          <w:szCs w:val="22"/>
          <w:lang w:val="en-US"/>
        </w:rPr>
        <w:t>based –</w:t>
      </w:r>
      <w:r w:rsidRPr="00344AE1">
        <w:rPr>
          <w:color w:val="auto"/>
          <w:sz w:val="22"/>
          <w:szCs w:val="22"/>
          <w:lang w:val="en-US"/>
        </w:rPr>
        <w:t xml:space="preserve"> </w:t>
      </w:r>
      <w:r w:rsidR="003F216E" w:rsidRPr="00344AE1">
        <w:rPr>
          <w:color w:val="auto"/>
          <w:sz w:val="22"/>
          <w:szCs w:val="22"/>
          <w:lang w:val="en-US"/>
        </w:rPr>
        <w:t>that would</w:t>
      </w:r>
      <w:r w:rsidRPr="00344AE1">
        <w:rPr>
          <w:color w:val="auto"/>
          <w:sz w:val="22"/>
          <w:szCs w:val="22"/>
          <w:lang w:val="en-US"/>
        </w:rPr>
        <w:t xml:space="preserve"> reveal how social inequalities have consequences on well-being of citizens, allows overcoming strict visions of European integration, convergence and social cohesion.</w:t>
      </w:r>
      <w:r w:rsidR="00EB2A62" w:rsidRPr="00344AE1">
        <w:rPr>
          <w:color w:val="auto"/>
          <w:sz w:val="22"/>
          <w:szCs w:val="22"/>
          <w:lang w:val="en-US"/>
        </w:rPr>
        <w:t xml:space="preserve"> Having Portugal as</w:t>
      </w:r>
      <w:r w:rsidR="00637F12" w:rsidRPr="00344AE1">
        <w:rPr>
          <w:color w:val="auto"/>
          <w:sz w:val="22"/>
          <w:szCs w:val="22"/>
          <w:lang w:val="en-US"/>
        </w:rPr>
        <w:t xml:space="preserve"> </w:t>
      </w:r>
      <w:r w:rsidR="007F7299" w:rsidRPr="00344AE1">
        <w:rPr>
          <w:color w:val="auto"/>
          <w:sz w:val="22"/>
          <w:szCs w:val="22"/>
          <w:lang w:val="en-US"/>
        </w:rPr>
        <w:t>a</w:t>
      </w:r>
      <w:r w:rsidR="00EB2A62" w:rsidRPr="00344AE1">
        <w:rPr>
          <w:color w:val="auto"/>
          <w:sz w:val="22"/>
          <w:szCs w:val="22"/>
          <w:lang w:val="en-US"/>
        </w:rPr>
        <w:t xml:space="preserve"> national case study, this presentation is part of an ongoing project</w:t>
      </w:r>
      <w:r w:rsidR="00637F12" w:rsidRPr="00344AE1">
        <w:rPr>
          <w:color w:val="auto"/>
          <w:sz w:val="22"/>
          <w:szCs w:val="22"/>
          <w:lang w:val="en-US"/>
        </w:rPr>
        <w:t xml:space="preserve"> (TIWELL – Territories of Inequality and Well-Being)</w:t>
      </w:r>
      <w:r w:rsidR="00EB2A62" w:rsidRPr="00344AE1">
        <w:rPr>
          <w:color w:val="auto"/>
          <w:sz w:val="22"/>
          <w:szCs w:val="22"/>
          <w:lang w:val="en-US"/>
        </w:rPr>
        <w:t xml:space="preserve"> that intends to replicate</w:t>
      </w:r>
      <w:r w:rsidR="00C14805" w:rsidRPr="00344AE1">
        <w:rPr>
          <w:color w:val="auto"/>
          <w:sz w:val="22"/>
          <w:szCs w:val="22"/>
          <w:lang w:val="en-US"/>
        </w:rPr>
        <w:t xml:space="preserve"> the research strategy</w:t>
      </w:r>
      <w:r w:rsidR="00EB2A62" w:rsidRPr="00344AE1">
        <w:rPr>
          <w:color w:val="auto"/>
          <w:sz w:val="22"/>
          <w:szCs w:val="22"/>
          <w:lang w:val="en-US"/>
        </w:rPr>
        <w:t xml:space="preserve"> to others European countries</w:t>
      </w:r>
      <w:r w:rsidR="00C14805" w:rsidRPr="00344AE1">
        <w:rPr>
          <w:color w:val="auto"/>
          <w:sz w:val="22"/>
          <w:szCs w:val="22"/>
          <w:lang w:val="en-US"/>
        </w:rPr>
        <w:t>, namely</w:t>
      </w:r>
      <w:r w:rsidR="003F216E" w:rsidRPr="00344AE1">
        <w:rPr>
          <w:color w:val="auto"/>
          <w:sz w:val="22"/>
          <w:szCs w:val="22"/>
          <w:lang w:val="en-US"/>
        </w:rPr>
        <w:t xml:space="preserve"> </w:t>
      </w:r>
      <w:r w:rsidR="007F7299" w:rsidRPr="00344AE1">
        <w:rPr>
          <w:color w:val="auto"/>
          <w:sz w:val="22"/>
          <w:szCs w:val="22"/>
          <w:lang w:val="en-US"/>
        </w:rPr>
        <w:t>by applying to</w:t>
      </w:r>
      <w:r w:rsidR="00C14805" w:rsidRPr="00344AE1">
        <w:rPr>
          <w:color w:val="auto"/>
          <w:sz w:val="22"/>
          <w:szCs w:val="22"/>
          <w:lang w:val="en-US"/>
        </w:rPr>
        <w:t xml:space="preserve"> the next framework of the Horizon Europe (2021-2027). </w:t>
      </w:r>
      <w:r w:rsidR="00586088" w:rsidRPr="00344AE1">
        <w:rPr>
          <w:sz w:val="22"/>
          <w:szCs w:val="22"/>
          <w:lang w:val="en-GB"/>
        </w:rPr>
        <w:t xml:space="preserve">We propose to operationalise a set of inequality and well-being </w:t>
      </w:r>
      <w:r w:rsidR="0096390A">
        <w:rPr>
          <w:sz w:val="22"/>
          <w:szCs w:val="22"/>
          <w:lang w:val="en-GB"/>
        </w:rPr>
        <w:t xml:space="preserve">monitoring </w:t>
      </w:r>
      <w:r w:rsidR="00586088" w:rsidRPr="00344AE1">
        <w:rPr>
          <w:sz w:val="22"/>
          <w:szCs w:val="22"/>
          <w:lang w:val="en-GB"/>
        </w:rPr>
        <w:t>indicators which make it possible to enhance public policies, supported on a European well-being agenda</w:t>
      </w:r>
      <w:r w:rsidR="00915385">
        <w:rPr>
          <w:sz w:val="22"/>
          <w:szCs w:val="22"/>
          <w:lang w:val="en-GB"/>
        </w:rPr>
        <w:t xml:space="preserve">, that could impact </w:t>
      </w:r>
      <w:r w:rsidR="00CD4620">
        <w:rPr>
          <w:sz w:val="22"/>
          <w:szCs w:val="22"/>
          <w:lang w:val="en-GB"/>
        </w:rPr>
        <w:t>in</w:t>
      </w:r>
      <w:r w:rsidR="00915385">
        <w:rPr>
          <w:sz w:val="22"/>
          <w:szCs w:val="22"/>
          <w:lang w:val="en-GB"/>
        </w:rPr>
        <w:t xml:space="preserve"> localities, regions, citi</w:t>
      </w:r>
      <w:r w:rsidR="0096390A">
        <w:rPr>
          <w:sz w:val="22"/>
          <w:szCs w:val="22"/>
          <w:lang w:val="en-GB"/>
        </w:rPr>
        <w:t>es</w:t>
      </w:r>
      <w:r w:rsidR="00915385">
        <w:rPr>
          <w:sz w:val="22"/>
          <w:szCs w:val="22"/>
          <w:lang w:val="en-GB"/>
        </w:rPr>
        <w:t xml:space="preserve"> and countries of Europe</w:t>
      </w:r>
      <w:r w:rsidR="00586088" w:rsidRPr="00344AE1">
        <w:rPr>
          <w:sz w:val="22"/>
          <w:szCs w:val="22"/>
          <w:lang w:val="en-GB"/>
        </w:rPr>
        <w:t>.</w:t>
      </w:r>
    </w:p>
    <w:p w14:paraId="19565D98" w14:textId="767269E7" w:rsidR="00BC6AFE" w:rsidRDefault="00BC6AFE" w:rsidP="0036237A">
      <w:pPr>
        <w:pStyle w:val="Heading1"/>
        <w:ind w:left="482" w:hanging="482"/>
      </w:pPr>
      <w:r>
        <w:t>Methods</w:t>
      </w:r>
    </w:p>
    <w:p w14:paraId="597661AA" w14:textId="3DEE3F99" w:rsidR="006B370D" w:rsidRPr="00344AE1" w:rsidRDefault="00EB2A62" w:rsidP="006B370D">
      <w:pPr>
        <w:pStyle w:val="Default"/>
        <w:spacing w:line="360" w:lineRule="auto"/>
        <w:jc w:val="both"/>
        <w:rPr>
          <w:color w:val="auto"/>
          <w:sz w:val="22"/>
          <w:szCs w:val="22"/>
          <w:lang w:val="en-US"/>
        </w:rPr>
      </w:pPr>
      <w:r w:rsidRPr="00344AE1">
        <w:rPr>
          <w:sz w:val="22"/>
          <w:szCs w:val="22"/>
          <w:lang w:val="en-US"/>
        </w:rPr>
        <w:t>The presentation will discuss some data results about</w:t>
      </w:r>
      <w:r w:rsidR="004C5901" w:rsidRPr="00344AE1">
        <w:rPr>
          <w:sz w:val="22"/>
          <w:szCs w:val="22"/>
          <w:lang w:val="en-US"/>
        </w:rPr>
        <w:t xml:space="preserve"> </w:t>
      </w:r>
      <w:r w:rsidRPr="00344AE1">
        <w:rPr>
          <w:sz w:val="22"/>
          <w:szCs w:val="22"/>
          <w:lang w:val="en-US"/>
        </w:rPr>
        <w:t>social inequality and well-being</w:t>
      </w:r>
      <w:r w:rsidR="00C14805" w:rsidRPr="00344AE1">
        <w:rPr>
          <w:sz w:val="22"/>
          <w:szCs w:val="22"/>
          <w:lang w:val="en-US"/>
        </w:rPr>
        <w:t xml:space="preserve"> in</w:t>
      </w:r>
      <w:r w:rsidRPr="00344AE1">
        <w:rPr>
          <w:sz w:val="22"/>
          <w:szCs w:val="22"/>
          <w:lang w:val="en-US"/>
        </w:rPr>
        <w:t xml:space="preserve"> Europe, transnationally, inside and between countries. </w:t>
      </w:r>
      <w:r w:rsidR="00C14805" w:rsidRPr="00344AE1">
        <w:rPr>
          <w:sz w:val="22"/>
          <w:szCs w:val="22"/>
          <w:lang w:val="en-US"/>
        </w:rPr>
        <w:t>W</w:t>
      </w:r>
      <w:r w:rsidRPr="00344AE1">
        <w:rPr>
          <w:sz w:val="22"/>
          <w:szCs w:val="22"/>
          <w:lang w:val="en-US"/>
        </w:rPr>
        <w:t xml:space="preserve">e have developed </w:t>
      </w:r>
      <w:r w:rsidRPr="00344AE1">
        <w:rPr>
          <w:color w:val="auto"/>
          <w:sz w:val="22"/>
          <w:szCs w:val="22"/>
          <w:lang w:val="en-US"/>
        </w:rPr>
        <w:t>multivariate analysis and articulate several statistical methods</w:t>
      </w:r>
      <w:r w:rsidR="00637F12" w:rsidRPr="00344AE1">
        <w:rPr>
          <w:color w:val="auto"/>
          <w:sz w:val="22"/>
          <w:szCs w:val="22"/>
          <w:lang w:val="en-US"/>
        </w:rPr>
        <w:t xml:space="preserve">, namely </w:t>
      </w:r>
      <w:r w:rsidR="00622D9B" w:rsidRPr="00344AE1">
        <w:rPr>
          <w:color w:val="auto"/>
          <w:sz w:val="22"/>
          <w:szCs w:val="22"/>
          <w:lang w:val="en-US"/>
        </w:rPr>
        <w:t>m</w:t>
      </w:r>
      <w:r w:rsidR="00C14805" w:rsidRPr="00344AE1">
        <w:rPr>
          <w:color w:val="auto"/>
          <w:sz w:val="22"/>
          <w:szCs w:val="22"/>
          <w:lang w:val="en-US"/>
        </w:rPr>
        <w:t xml:space="preserve">ultiple </w:t>
      </w:r>
      <w:r w:rsidR="00622D9B" w:rsidRPr="00344AE1">
        <w:rPr>
          <w:color w:val="auto"/>
          <w:sz w:val="22"/>
          <w:szCs w:val="22"/>
          <w:lang w:val="en-US"/>
        </w:rPr>
        <w:t>c</w:t>
      </w:r>
      <w:r w:rsidR="00C14805" w:rsidRPr="00344AE1">
        <w:rPr>
          <w:color w:val="auto"/>
          <w:sz w:val="22"/>
          <w:szCs w:val="22"/>
          <w:lang w:val="en-US"/>
        </w:rPr>
        <w:t xml:space="preserve">orrespondence </w:t>
      </w:r>
      <w:r w:rsidR="00622D9B" w:rsidRPr="00344AE1">
        <w:rPr>
          <w:color w:val="auto"/>
          <w:sz w:val="22"/>
          <w:szCs w:val="22"/>
          <w:lang w:val="en-US"/>
        </w:rPr>
        <w:t>a</w:t>
      </w:r>
      <w:r w:rsidR="00C14805" w:rsidRPr="00344AE1">
        <w:rPr>
          <w:color w:val="auto"/>
          <w:sz w:val="22"/>
          <w:szCs w:val="22"/>
          <w:lang w:val="en-US"/>
        </w:rPr>
        <w:t>nalysis</w:t>
      </w:r>
      <w:r w:rsidR="00F376DC">
        <w:rPr>
          <w:color w:val="auto"/>
          <w:sz w:val="22"/>
          <w:szCs w:val="22"/>
          <w:lang w:val="en-US"/>
        </w:rPr>
        <w:t xml:space="preserve"> (MCA)</w:t>
      </w:r>
      <w:r w:rsidR="00C14805" w:rsidRPr="00344AE1">
        <w:rPr>
          <w:color w:val="auto"/>
          <w:sz w:val="22"/>
          <w:szCs w:val="22"/>
          <w:lang w:val="en-US"/>
        </w:rPr>
        <w:t xml:space="preserve">, </w:t>
      </w:r>
      <w:r w:rsidR="004443F8">
        <w:rPr>
          <w:color w:val="auto"/>
          <w:sz w:val="22"/>
          <w:szCs w:val="22"/>
          <w:lang w:val="en-US"/>
        </w:rPr>
        <w:t>categorical principal components analysis</w:t>
      </w:r>
      <w:r w:rsidR="00F376DC">
        <w:rPr>
          <w:color w:val="auto"/>
          <w:sz w:val="22"/>
          <w:szCs w:val="22"/>
          <w:lang w:val="en-US"/>
        </w:rPr>
        <w:t xml:space="preserve"> (</w:t>
      </w:r>
      <w:proofErr w:type="spellStart"/>
      <w:r w:rsidR="00F376DC">
        <w:rPr>
          <w:color w:val="auto"/>
          <w:sz w:val="22"/>
          <w:szCs w:val="22"/>
          <w:lang w:val="en-US"/>
        </w:rPr>
        <w:t>CatPCA</w:t>
      </w:r>
      <w:proofErr w:type="spellEnd"/>
      <w:r w:rsidR="00F376DC">
        <w:rPr>
          <w:color w:val="auto"/>
          <w:sz w:val="22"/>
          <w:szCs w:val="22"/>
          <w:lang w:val="en-US"/>
        </w:rPr>
        <w:t>)</w:t>
      </w:r>
      <w:r w:rsidR="00637F12" w:rsidRPr="00344AE1">
        <w:rPr>
          <w:color w:val="auto"/>
          <w:sz w:val="22"/>
          <w:szCs w:val="22"/>
          <w:lang w:val="en-US"/>
        </w:rPr>
        <w:t>,</w:t>
      </w:r>
      <w:r w:rsidR="00C14805" w:rsidRPr="00344AE1">
        <w:rPr>
          <w:color w:val="auto"/>
          <w:sz w:val="22"/>
          <w:szCs w:val="22"/>
          <w:lang w:val="en-US"/>
        </w:rPr>
        <w:t xml:space="preserve"> </w:t>
      </w:r>
      <w:r w:rsidR="00637F12" w:rsidRPr="00344AE1">
        <w:rPr>
          <w:color w:val="auto"/>
          <w:sz w:val="22"/>
          <w:szCs w:val="22"/>
          <w:lang w:val="en-US"/>
        </w:rPr>
        <w:t xml:space="preserve">and </w:t>
      </w:r>
      <w:r w:rsidR="00622D9B" w:rsidRPr="00344AE1">
        <w:rPr>
          <w:color w:val="auto"/>
          <w:sz w:val="22"/>
          <w:szCs w:val="22"/>
          <w:lang w:val="en-US"/>
        </w:rPr>
        <w:t>c</w:t>
      </w:r>
      <w:r w:rsidR="00C14805" w:rsidRPr="00344AE1">
        <w:rPr>
          <w:color w:val="auto"/>
          <w:sz w:val="22"/>
          <w:szCs w:val="22"/>
          <w:lang w:val="en-US"/>
        </w:rPr>
        <w:t xml:space="preserve">lusters </w:t>
      </w:r>
      <w:r w:rsidR="00622D9B" w:rsidRPr="00344AE1">
        <w:rPr>
          <w:color w:val="auto"/>
          <w:sz w:val="22"/>
          <w:szCs w:val="22"/>
          <w:lang w:val="en-US"/>
        </w:rPr>
        <w:t>a</w:t>
      </w:r>
      <w:r w:rsidR="00C14805" w:rsidRPr="00344AE1">
        <w:rPr>
          <w:color w:val="auto"/>
          <w:sz w:val="22"/>
          <w:szCs w:val="22"/>
          <w:lang w:val="en-US"/>
        </w:rPr>
        <w:t>nalysis</w:t>
      </w:r>
      <w:r w:rsidRPr="00344AE1">
        <w:rPr>
          <w:color w:val="auto"/>
          <w:sz w:val="22"/>
          <w:szCs w:val="22"/>
          <w:lang w:val="en-US"/>
        </w:rPr>
        <w:t>, based on updated micro-data from the European Social Survey</w:t>
      </w:r>
      <w:r w:rsidR="00F376DC">
        <w:rPr>
          <w:color w:val="auto"/>
          <w:sz w:val="22"/>
          <w:szCs w:val="22"/>
          <w:lang w:val="en-US"/>
        </w:rPr>
        <w:t xml:space="preserve"> (ESS)</w:t>
      </w:r>
      <w:r w:rsidRPr="00344AE1">
        <w:rPr>
          <w:color w:val="auto"/>
          <w:sz w:val="22"/>
          <w:szCs w:val="22"/>
          <w:lang w:val="en-US"/>
        </w:rPr>
        <w:t xml:space="preserve"> (year 2016) and aggregate local indicators for the case of Portugal.</w:t>
      </w:r>
      <w:r w:rsidR="00637F12" w:rsidRPr="00344AE1">
        <w:rPr>
          <w:color w:val="auto"/>
          <w:sz w:val="22"/>
          <w:szCs w:val="22"/>
          <w:lang w:val="en-US"/>
        </w:rPr>
        <w:t xml:space="preserve"> The overall TIWELL project is also using data from EU-SILC</w:t>
      </w:r>
      <w:r w:rsidR="00622D9B" w:rsidRPr="00344AE1">
        <w:rPr>
          <w:color w:val="auto"/>
          <w:sz w:val="22"/>
          <w:szCs w:val="22"/>
          <w:lang w:val="en-US"/>
        </w:rPr>
        <w:t>,</w:t>
      </w:r>
      <w:r w:rsidR="00637F12" w:rsidRPr="00344AE1">
        <w:rPr>
          <w:color w:val="auto"/>
          <w:sz w:val="22"/>
          <w:szCs w:val="22"/>
          <w:lang w:val="en-US"/>
        </w:rPr>
        <w:t xml:space="preserve"> and other statistical methods such as </w:t>
      </w:r>
      <w:r w:rsidR="007F7299" w:rsidRPr="00344AE1">
        <w:rPr>
          <w:color w:val="auto"/>
          <w:sz w:val="22"/>
          <w:szCs w:val="22"/>
          <w:lang w:val="en-US"/>
        </w:rPr>
        <w:t>p</w:t>
      </w:r>
      <w:r w:rsidR="00637F12" w:rsidRPr="00344AE1">
        <w:rPr>
          <w:color w:val="auto"/>
          <w:sz w:val="22"/>
          <w:szCs w:val="22"/>
          <w:lang w:val="en-US"/>
        </w:rPr>
        <w:t xml:space="preserve">rincipal </w:t>
      </w:r>
      <w:r w:rsidR="007F7299" w:rsidRPr="00344AE1">
        <w:rPr>
          <w:color w:val="auto"/>
          <w:sz w:val="22"/>
          <w:szCs w:val="22"/>
          <w:lang w:val="en-US"/>
        </w:rPr>
        <w:t>c</w:t>
      </w:r>
      <w:r w:rsidR="00637F12" w:rsidRPr="00344AE1">
        <w:rPr>
          <w:color w:val="auto"/>
          <w:sz w:val="22"/>
          <w:szCs w:val="22"/>
          <w:lang w:val="en-US"/>
        </w:rPr>
        <w:t xml:space="preserve">omponent </w:t>
      </w:r>
      <w:r w:rsidR="007F7299" w:rsidRPr="00344AE1">
        <w:rPr>
          <w:color w:val="auto"/>
          <w:sz w:val="22"/>
          <w:szCs w:val="22"/>
          <w:lang w:val="en-US"/>
        </w:rPr>
        <w:t>a</w:t>
      </w:r>
      <w:r w:rsidR="00637F12" w:rsidRPr="00344AE1">
        <w:rPr>
          <w:color w:val="auto"/>
          <w:sz w:val="22"/>
          <w:szCs w:val="22"/>
          <w:lang w:val="en-US"/>
        </w:rPr>
        <w:t>nalysis</w:t>
      </w:r>
      <w:r w:rsidR="00622D9B" w:rsidRPr="00344AE1">
        <w:rPr>
          <w:color w:val="auto"/>
          <w:sz w:val="22"/>
          <w:szCs w:val="22"/>
          <w:lang w:val="en-US"/>
        </w:rPr>
        <w:t xml:space="preserve"> and </w:t>
      </w:r>
      <w:r w:rsidR="007F7299" w:rsidRPr="00344AE1">
        <w:rPr>
          <w:color w:val="auto"/>
          <w:sz w:val="22"/>
          <w:szCs w:val="22"/>
          <w:lang w:val="en-US"/>
        </w:rPr>
        <w:t>r</w:t>
      </w:r>
      <w:r w:rsidR="00622D9B" w:rsidRPr="00344AE1">
        <w:rPr>
          <w:color w:val="auto"/>
          <w:sz w:val="22"/>
          <w:szCs w:val="22"/>
          <w:lang w:val="en-US"/>
        </w:rPr>
        <w:t xml:space="preserve">egressions, namely multilevel regressions. </w:t>
      </w:r>
      <w:r w:rsidR="00622D9B" w:rsidRPr="00344AE1">
        <w:rPr>
          <w:sz w:val="22"/>
          <w:szCs w:val="22"/>
          <w:lang w:val="en-GB"/>
        </w:rPr>
        <w:t>Inequality indicators are based on European Social Survey and local aggregate indicators</w:t>
      </w:r>
      <w:r w:rsidR="00586088" w:rsidRPr="00344AE1">
        <w:rPr>
          <w:sz w:val="22"/>
          <w:szCs w:val="22"/>
          <w:lang w:val="en-GB"/>
        </w:rPr>
        <w:t xml:space="preserve"> from Portugal</w:t>
      </w:r>
      <w:r w:rsidR="00622D9B" w:rsidRPr="00344AE1">
        <w:rPr>
          <w:sz w:val="22"/>
          <w:szCs w:val="22"/>
          <w:lang w:val="en-GB"/>
        </w:rPr>
        <w:t xml:space="preserve">. </w:t>
      </w:r>
      <w:r w:rsidR="00FF67B1" w:rsidRPr="00344AE1">
        <w:rPr>
          <w:sz w:val="22"/>
          <w:szCs w:val="22"/>
          <w:lang w:val="en-GB"/>
        </w:rPr>
        <w:t>Well-being indicators are based on the OECD Better Life Index</w:t>
      </w:r>
      <w:r w:rsidR="00F912F7">
        <w:rPr>
          <w:sz w:val="22"/>
          <w:szCs w:val="22"/>
          <w:lang w:val="en-GB"/>
        </w:rPr>
        <w:t xml:space="preserve"> [7]</w:t>
      </w:r>
      <w:r w:rsidR="00FF67B1" w:rsidRPr="00344AE1">
        <w:rPr>
          <w:sz w:val="22"/>
          <w:szCs w:val="22"/>
          <w:lang w:val="en-GB"/>
        </w:rPr>
        <w:t xml:space="preserve"> applied to </w:t>
      </w:r>
      <w:r w:rsidR="003F216E" w:rsidRPr="00344AE1">
        <w:rPr>
          <w:sz w:val="22"/>
          <w:szCs w:val="22"/>
          <w:lang w:val="en-GB"/>
        </w:rPr>
        <w:t xml:space="preserve">the </w:t>
      </w:r>
      <w:r w:rsidR="00FF67B1" w:rsidRPr="00344AE1">
        <w:rPr>
          <w:sz w:val="22"/>
          <w:szCs w:val="22"/>
          <w:lang w:val="en-GB"/>
        </w:rPr>
        <w:t>European Social Survey</w:t>
      </w:r>
      <w:r w:rsidR="00CD4620">
        <w:rPr>
          <w:sz w:val="22"/>
          <w:szCs w:val="22"/>
          <w:lang w:val="en-GB"/>
        </w:rPr>
        <w:t>, and also local aggregate indicators, a first case experimentation</w:t>
      </w:r>
      <w:r w:rsidR="00FF67B1" w:rsidRPr="00344AE1">
        <w:rPr>
          <w:sz w:val="22"/>
          <w:szCs w:val="22"/>
          <w:lang w:val="en-GB"/>
        </w:rPr>
        <w:t>.</w:t>
      </w:r>
      <w:r w:rsidR="007F7299" w:rsidRPr="00344AE1">
        <w:rPr>
          <w:sz w:val="22"/>
          <w:szCs w:val="22"/>
          <w:lang w:val="en-GB"/>
        </w:rPr>
        <w:t xml:space="preserve"> </w:t>
      </w:r>
    </w:p>
    <w:p w14:paraId="317F109D" w14:textId="3DDB6B8E" w:rsidR="00BC6AFE" w:rsidRDefault="00BC6AFE" w:rsidP="0036237A">
      <w:pPr>
        <w:pStyle w:val="Heading1"/>
        <w:ind w:left="482" w:hanging="482"/>
      </w:pPr>
      <w:r>
        <w:t>Results</w:t>
      </w:r>
    </w:p>
    <w:p w14:paraId="5455E3FC" w14:textId="1B9E6717" w:rsidR="000D72B0" w:rsidRPr="00344AE1" w:rsidRDefault="000D72B0" w:rsidP="000D72B0">
      <w:pPr>
        <w:pStyle w:val="Default"/>
        <w:spacing w:line="360" w:lineRule="auto"/>
        <w:jc w:val="both"/>
        <w:rPr>
          <w:color w:val="auto"/>
          <w:sz w:val="22"/>
          <w:szCs w:val="22"/>
          <w:lang w:val="en-US"/>
        </w:rPr>
      </w:pPr>
      <w:r w:rsidRPr="00344AE1">
        <w:rPr>
          <w:sz w:val="22"/>
          <w:szCs w:val="22"/>
          <w:lang w:val="en-GB"/>
        </w:rPr>
        <w:t>These partial results have the purpose of showing some of the statistical possibilities in the development of a multi-scal</w:t>
      </w:r>
      <w:r w:rsidR="0096390A">
        <w:rPr>
          <w:sz w:val="22"/>
          <w:szCs w:val="22"/>
          <w:lang w:val="en-GB"/>
        </w:rPr>
        <w:t>ing</w:t>
      </w:r>
      <w:r w:rsidRPr="00344AE1">
        <w:rPr>
          <w:sz w:val="22"/>
          <w:szCs w:val="22"/>
          <w:lang w:val="en-GB"/>
        </w:rPr>
        <w:t xml:space="preserve"> analysis of inequality and well-being in Europe, specifically by pointing to the multidimensionality and intersections on social inequalities</w:t>
      </w:r>
      <w:r w:rsidR="0022594A" w:rsidRPr="00344AE1">
        <w:rPr>
          <w:sz w:val="22"/>
          <w:szCs w:val="22"/>
          <w:lang w:val="en-GB"/>
        </w:rPr>
        <w:t xml:space="preserve"> and well-being</w:t>
      </w:r>
      <w:r w:rsidRPr="00344AE1">
        <w:rPr>
          <w:sz w:val="22"/>
          <w:szCs w:val="22"/>
          <w:lang w:val="en-GB"/>
        </w:rPr>
        <w:t xml:space="preserve"> at the </w:t>
      </w:r>
      <w:r w:rsidRPr="00344AE1">
        <w:rPr>
          <w:sz w:val="22"/>
          <w:szCs w:val="22"/>
          <w:lang w:val="en-GB"/>
        </w:rPr>
        <w:lastRenderedPageBreak/>
        <w:t>transnational and national scales of Europe</w:t>
      </w:r>
      <w:r w:rsidR="00915385">
        <w:rPr>
          <w:sz w:val="22"/>
          <w:szCs w:val="22"/>
          <w:lang w:val="en-GB"/>
        </w:rPr>
        <w:t xml:space="preserve">, but the place-based scale will also be object of </w:t>
      </w:r>
      <w:r w:rsidR="0096390A">
        <w:rPr>
          <w:sz w:val="22"/>
          <w:szCs w:val="22"/>
          <w:lang w:val="en-GB"/>
        </w:rPr>
        <w:t xml:space="preserve">data </w:t>
      </w:r>
      <w:r w:rsidR="00915385">
        <w:rPr>
          <w:sz w:val="22"/>
          <w:szCs w:val="22"/>
          <w:lang w:val="en-GB"/>
        </w:rPr>
        <w:t>analysis in our presentation.</w:t>
      </w:r>
    </w:p>
    <w:p w14:paraId="72AD246F" w14:textId="21D2B9EF" w:rsidR="008847C3" w:rsidRPr="008847C3" w:rsidRDefault="00025034" w:rsidP="008847C3">
      <w:pPr>
        <w:pStyle w:val="Text1"/>
        <w:rPr>
          <w:highlight w:val="green"/>
        </w:rPr>
      </w:pPr>
      <w:r w:rsidRPr="004C5C72">
        <w:rPr>
          <w:noProof/>
          <w:sz w:val="20"/>
          <w:lang w:eastAsia="pt-PT"/>
        </w:rPr>
        <w:drawing>
          <wp:inline distT="0" distB="0" distL="0" distR="0" wp14:anchorId="2C33B76E" wp14:editId="051FEB92">
            <wp:extent cx="3577670" cy="245284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4052" cy="2470934"/>
                    </a:xfrm>
                    <a:prstGeom prst="rect">
                      <a:avLst/>
                    </a:prstGeom>
                    <a:noFill/>
                  </pic:spPr>
                </pic:pic>
              </a:graphicData>
            </a:graphic>
          </wp:inline>
        </w:drawing>
      </w:r>
    </w:p>
    <w:p w14:paraId="775BA883" w14:textId="64295C62" w:rsidR="008847C3" w:rsidRPr="00344AE1" w:rsidRDefault="008847C3" w:rsidP="008847C3">
      <w:pPr>
        <w:pStyle w:val="Caption"/>
        <w:rPr>
          <w:b w:val="0"/>
          <w:bCs/>
          <w:sz w:val="22"/>
          <w:szCs w:val="22"/>
        </w:rPr>
      </w:pPr>
      <w:r w:rsidRPr="00344AE1">
        <w:rPr>
          <w:b w:val="0"/>
          <w:bCs/>
          <w:sz w:val="22"/>
          <w:szCs w:val="22"/>
        </w:rPr>
        <w:t xml:space="preserve">Figure </w:t>
      </w:r>
      <w:r w:rsidRPr="00344AE1">
        <w:rPr>
          <w:b w:val="0"/>
          <w:bCs/>
          <w:sz w:val="22"/>
          <w:szCs w:val="22"/>
        </w:rPr>
        <w:fldChar w:fldCharType="begin"/>
      </w:r>
      <w:r w:rsidRPr="00344AE1">
        <w:rPr>
          <w:b w:val="0"/>
          <w:bCs/>
          <w:sz w:val="22"/>
          <w:szCs w:val="22"/>
        </w:rPr>
        <w:instrText xml:space="preserve"> SEQ Figure \* ARABIC </w:instrText>
      </w:r>
      <w:r w:rsidRPr="00344AE1">
        <w:rPr>
          <w:b w:val="0"/>
          <w:bCs/>
          <w:sz w:val="22"/>
          <w:szCs w:val="22"/>
        </w:rPr>
        <w:fldChar w:fldCharType="separate"/>
      </w:r>
      <w:r w:rsidR="00CD4620">
        <w:rPr>
          <w:b w:val="0"/>
          <w:bCs/>
          <w:noProof/>
          <w:sz w:val="22"/>
          <w:szCs w:val="22"/>
        </w:rPr>
        <w:t>1</w:t>
      </w:r>
      <w:r w:rsidRPr="00344AE1">
        <w:rPr>
          <w:b w:val="0"/>
          <w:bCs/>
          <w:sz w:val="22"/>
          <w:szCs w:val="22"/>
        </w:rPr>
        <w:fldChar w:fldCharType="end"/>
      </w:r>
      <w:r w:rsidRPr="00344AE1">
        <w:rPr>
          <w:b w:val="0"/>
          <w:bCs/>
          <w:sz w:val="22"/>
          <w:szCs w:val="22"/>
        </w:rPr>
        <w:t xml:space="preserve">. </w:t>
      </w:r>
      <w:r w:rsidR="0047628C" w:rsidRPr="00344AE1">
        <w:rPr>
          <w:b w:val="0"/>
          <w:bCs/>
          <w:sz w:val="22"/>
          <w:szCs w:val="22"/>
        </w:rPr>
        <w:t>The transnational social space of Europe</w:t>
      </w:r>
    </w:p>
    <w:p w14:paraId="3903A5A9" w14:textId="77777777" w:rsidR="00344AE1" w:rsidRDefault="00344AE1" w:rsidP="001F0C21">
      <w:pPr>
        <w:spacing w:after="0" w:line="360" w:lineRule="auto"/>
      </w:pPr>
    </w:p>
    <w:p w14:paraId="74C9A181" w14:textId="062AD761" w:rsidR="0047628C" w:rsidRDefault="00F376DC" w:rsidP="001F0C21">
      <w:pPr>
        <w:spacing w:after="0" w:line="360" w:lineRule="auto"/>
        <w:rPr>
          <w:sz w:val="22"/>
          <w:szCs w:val="22"/>
        </w:rPr>
      </w:pPr>
      <w:r w:rsidRPr="00F376DC">
        <w:rPr>
          <w:sz w:val="22"/>
          <w:szCs w:val="22"/>
        </w:rPr>
        <w:t>Based on (ESS) micro-data,</w:t>
      </w:r>
      <w:r w:rsidRPr="00F376DC">
        <w:rPr>
          <w:color w:val="00B0F0"/>
          <w:sz w:val="22"/>
          <w:szCs w:val="22"/>
        </w:rPr>
        <w:t xml:space="preserve"> </w:t>
      </w:r>
      <w:r>
        <w:rPr>
          <w:sz w:val="22"/>
          <w:szCs w:val="22"/>
        </w:rPr>
        <w:t>t</w:t>
      </w:r>
      <w:r w:rsidR="001F0C21" w:rsidRPr="00344AE1">
        <w:rPr>
          <w:sz w:val="22"/>
          <w:szCs w:val="22"/>
        </w:rPr>
        <w:t xml:space="preserve">ransnationally is it possible to observe a European social space of inequalities, built on </w:t>
      </w:r>
      <w:r w:rsidR="0079168A">
        <w:rPr>
          <w:sz w:val="22"/>
          <w:szCs w:val="22"/>
        </w:rPr>
        <w:t xml:space="preserve">significative </w:t>
      </w:r>
      <w:r w:rsidR="002D0347">
        <w:rPr>
          <w:sz w:val="22"/>
          <w:szCs w:val="22"/>
        </w:rPr>
        <w:t>diff</w:t>
      </w:r>
      <w:r w:rsidR="0079168A">
        <w:rPr>
          <w:sz w:val="22"/>
          <w:szCs w:val="22"/>
        </w:rPr>
        <w:t>e</w:t>
      </w:r>
      <w:r w:rsidR="002D0347">
        <w:rPr>
          <w:sz w:val="22"/>
          <w:szCs w:val="22"/>
        </w:rPr>
        <w:t xml:space="preserve">rences of </w:t>
      </w:r>
      <w:r w:rsidR="001F0C21" w:rsidRPr="00344AE1">
        <w:rPr>
          <w:sz w:val="22"/>
          <w:szCs w:val="22"/>
        </w:rPr>
        <w:t xml:space="preserve">class, gender, education, income and supervision and autonomy at work. These transnational social space of Europe reveals </w:t>
      </w:r>
      <w:r w:rsidR="00B80F39" w:rsidRPr="00344AE1">
        <w:rPr>
          <w:sz w:val="22"/>
          <w:szCs w:val="22"/>
        </w:rPr>
        <w:t>how social inequalities are</w:t>
      </w:r>
      <w:r w:rsidR="001F0C21" w:rsidRPr="00344AE1">
        <w:rPr>
          <w:sz w:val="22"/>
          <w:szCs w:val="22"/>
        </w:rPr>
        <w:t xml:space="preserve"> multidimensional</w:t>
      </w:r>
      <w:r w:rsidR="00B80F39" w:rsidRPr="00344AE1">
        <w:rPr>
          <w:sz w:val="22"/>
          <w:szCs w:val="22"/>
        </w:rPr>
        <w:t>, intersect with each other and bring advantages/accumulation and dispossession/deprivation to European citizens</w:t>
      </w:r>
      <w:r w:rsidR="00CD4620">
        <w:rPr>
          <w:sz w:val="22"/>
          <w:szCs w:val="22"/>
        </w:rPr>
        <w:t xml:space="preserve"> (Figure 1)</w:t>
      </w:r>
      <w:r w:rsidR="00B80F39" w:rsidRPr="00344AE1">
        <w:rPr>
          <w:sz w:val="22"/>
          <w:szCs w:val="22"/>
        </w:rPr>
        <w:t>.</w:t>
      </w:r>
    </w:p>
    <w:p w14:paraId="62EE4A20" w14:textId="77777777" w:rsidR="00344AE1" w:rsidRPr="00344AE1" w:rsidRDefault="00344AE1" w:rsidP="001F0C21">
      <w:pPr>
        <w:spacing w:after="0" w:line="360" w:lineRule="auto"/>
        <w:rPr>
          <w:sz w:val="22"/>
          <w:szCs w:val="22"/>
        </w:rPr>
      </w:pPr>
    </w:p>
    <w:p w14:paraId="1F6171E3" w14:textId="779A8987" w:rsidR="002513CD" w:rsidRDefault="00025034" w:rsidP="008847C3">
      <w:pPr>
        <w:rPr>
          <w:highlight w:val="yellow"/>
        </w:rPr>
      </w:pPr>
      <w:r w:rsidRPr="004C5C72">
        <w:rPr>
          <w:noProof/>
          <w:lang w:eastAsia="pt-PT"/>
        </w:rPr>
        <w:drawing>
          <wp:inline distT="0" distB="0" distL="0" distR="0" wp14:anchorId="7E9AF11B" wp14:editId="7CCD26C1">
            <wp:extent cx="3075307" cy="288621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2684" cy="2902519"/>
                    </a:xfrm>
                    <a:prstGeom prst="rect">
                      <a:avLst/>
                    </a:prstGeom>
                    <a:noFill/>
                  </pic:spPr>
                </pic:pic>
              </a:graphicData>
            </a:graphic>
          </wp:inline>
        </w:drawing>
      </w:r>
    </w:p>
    <w:p w14:paraId="7B6738A6" w14:textId="250E403F" w:rsidR="0047628C" w:rsidRPr="00344AE1" w:rsidRDefault="0047628C" w:rsidP="0047628C">
      <w:pPr>
        <w:pStyle w:val="Caption"/>
        <w:rPr>
          <w:b w:val="0"/>
          <w:bCs/>
          <w:sz w:val="22"/>
          <w:szCs w:val="22"/>
        </w:rPr>
      </w:pPr>
      <w:r w:rsidRPr="00344AE1">
        <w:rPr>
          <w:b w:val="0"/>
          <w:bCs/>
          <w:sz w:val="22"/>
          <w:szCs w:val="22"/>
        </w:rPr>
        <w:t>Figure 2. Inequality configurations in Europe</w:t>
      </w:r>
    </w:p>
    <w:p w14:paraId="055D056C" w14:textId="77777777" w:rsidR="00DE03C0" w:rsidRDefault="00DE03C0" w:rsidP="000D5B3D">
      <w:pPr>
        <w:spacing w:after="0" w:line="360" w:lineRule="auto"/>
        <w:rPr>
          <w:sz w:val="22"/>
          <w:szCs w:val="22"/>
        </w:rPr>
      </w:pPr>
    </w:p>
    <w:p w14:paraId="11D514BC" w14:textId="28B364A0" w:rsidR="000D5B3D" w:rsidRDefault="000D5B3D" w:rsidP="000D5B3D">
      <w:pPr>
        <w:spacing w:after="0" w:line="360" w:lineRule="auto"/>
        <w:rPr>
          <w:sz w:val="22"/>
          <w:szCs w:val="22"/>
        </w:rPr>
      </w:pPr>
      <w:r w:rsidRPr="00344AE1">
        <w:rPr>
          <w:sz w:val="22"/>
          <w:szCs w:val="22"/>
        </w:rPr>
        <w:t xml:space="preserve">The national configurations observed </w:t>
      </w:r>
      <w:r w:rsidR="0022594A" w:rsidRPr="00344AE1">
        <w:rPr>
          <w:sz w:val="22"/>
          <w:szCs w:val="22"/>
        </w:rPr>
        <w:t>in Figure 2</w:t>
      </w:r>
      <w:r w:rsidRPr="00344AE1">
        <w:rPr>
          <w:sz w:val="22"/>
          <w:szCs w:val="22"/>
        </w:rPr>
        <w:t xml:space="preserve"> accentuate the importance of countries for a fuller understanding of social inequalities in Europe. The contexts of the countries allow inequalities to </w:t>
      </w:r>
      <w:r w:rsidRPr="00344AE1">
        <w:rPr>
          <w:sz w:val="22"/>
          <w:szCs w:val="22"/>
        </w:rPr>
        <w:lastRenderedPageBreak/>
        <w:t xml:space="preserve">be better located and </w:t>
      </w:r>
      <w:r w:rsidR="00CD4620">
        <w:rPr>
          <w:sz w:val="22"/>
          <w:szCs w:val="22"/>
        </w:rPr>
        <w:t>expose</w:t>
      </w:r>
      <w:r w:rsidRPr="00344AE1">
        <w:rPr>
          <w:sz w:val="22"/>
          <w:szCs w:val="22"/>
        </w:rPr>
        <w:t xml:space="preserve"> a Europe far from the convergence and social cohesion sought by the institutions of the European Union.</w:t>
      </w:r>
    </w:p>
    <w:p w14:paraId="143F6677" w14:textId="77777777" w:rsidR="00344AE1" w:rsidRPr="00344AE1" w:rsidRDefault="00344AE1" w:rsidP="000D5B3D">
      <w:pPr>
        <w:spacing w:after="0" w:line="360" w:lineRule="auto"/>
        <w:rPr>
          <w:sz w:val="22"/>
          <w:szCs w:val="22"/>
        </w:rPr>
      </w:pPr>
    </w:p>
    <w:tbl>
      <w:tblPr>
        <w:tblW w:w="0" w:type="auto"/>
        <w:jc w:val="center"/>
        <w:tblLook w:val="04A0" w:firstRow="1" w:lastRow="0" w:firstColumn="1" w:lastColumn="0" w:noHBand="0" w:noVBand="1"/>
      </w:tblPr>
      <w:tblGrid>
        <w:gridCol w:w="4141"/>
        <w:gridCol w:w="4476"/>
      </w:tblGrid>
      <w:tr w:rsidR="0022594A" w:rsidRPr="003F73C2" w14:paraId="40B4F14D" w14:textId="77777777" w:rsidTr="00F72888">
        <w:trPr>
          <w:jc w:val="center"/>
        </w:trPr>
        <w:tc>
          <w:tcPr>
            <w:tcW w:w="8617" w:type="dxa"/>
            <w:gridSpan w:val="2"/>
            <w:tcBorders>
              <w:top w:val="single" w:sz="4" w:space="0" w:color="auto"/>
            </w:tcBorders>
          </w:tcPr>
          <w:p w14:paraId="3A307292" w14:textId="164376C4" w:rsidR="0022594A" w:rsidRDefault="0022594A" w:rsidP="00F72888">
            <w:pPr>
              <w:spacing w:after="0"/>
              <w:jc w:val="center"/>
              <w:rPr>
                <w:rFonts w:ascii="Arial" w:hAnsi="Arial" w:cs="Arial"/>
                <w:sz w:val="16"/>
                <w:szCs w:val="16"/>
              </w:rPr>
            </w:pPr>
            <w:r w:rsidRPr="003F73C2">
              <w:rPr>
                <w:rFonts w:ascii="Arial" w:hAnsi="Arial" w:cs="Arial"/>
                <w:sz w:val="16"/>
                <w:szCs w:val="16"/>
              </w:rPr>
              <w:t>Nordic high-rank wellbeing profile</w:t>
            </w:r>
          </w:p>
          <w:p w14:paraId="352FF57A" w14:textId="6EE0AD06" w:rsidR="00EE0B53" w:rsidRDefault="00EE0B53" w:rsidP="00F72888">
            <w:pPr>
              <w:spacing w:after="0"/>
              <w:jc w:val="center"/>
              <w:rPr>
                <w:rFonts w:ascii="Arial" w:hAnsi="Arial" w:cs="Arial"/>
                <w:sz w:val="16"/>
                <w:szCs w:val="16"/>
              </w:rPr>
            </w:pPr>
            <w:r w:rsidRPr="003F73C2">
              <w:rPr>
                <w:rFonts w:ascii="Arial" w:hAnsi="Arial" w:cs="Arial"/>
                <w:sz w:val="16"/>
                <w:szCs w:val="16"/>
              </w:rPr>
              <w:t>(WBGV=6.</w:t>
            </w:r>
            <w:r>
              <w:rPr>
                <w:rFonts w:ascii="Arial" w:hAnsi="Arial" w:cs="Arial"/>
                <w:sz w:val="16"/>
                <w:szCs w:val="16"/>
              </w:rPr>
              <w:t>9</w:t>
            </w:r>
            <w:r w:rsidRPr="003F73C2">
              <w:rPr>
                <w:rFonts w:ascii="Arial" w:hAnsi="Arial" w:cs="Arial"/>
                <w:sz w:val="16"/>
                <w:szCs w:val="16"/>
              </w:rPr>
              <w:t>)</w:t>
            </w:r>
          </w:p>
          <w:p w14:paraId="3C5ABD22" w14:textId="78C33F3A" w:rsidR="00EE0B53" w:rsidRDefault="00EE0B53" w:rsidP="00F72888">
            <w:pPr>
              <w:spacing w:after="0"/>
              <w:jc w:val="center"/>
              <w:rPr>
                <w:rFonts w:ascii="Arial" w:hAnsi="Arial" w:cs="Arial"/>
                <w:sz w:val="16"/>
                <w:szCs w:val="16"/>
              </w:rPr>
            </w:pPr>
            <w:r>
              <w:rPr>
                <w:rFonts w:ascii="Arial" w:hAnsi="Arial" w:cs="Arial"/>
                <w:sz w:val="16"/>
                <w:szCs w:val="16"/>
              </w:rPr>
              <w:t xml:space="preserve">IS, </w:t>
            </w:r>
            <w:proofErr w:type="gramStart"/>
            <w:r w:rsidR="005E5A76">
              <w:rPr>
                <w:rFonts w:ascii="Arial" w:hAnsi="Arial" w:cs="Arial"/>
                <w:sz w:val="16"/>
                <w:szCs w:val="16"/>
              </w:rPr>
              <w:t>NO,SE</w:t>
            </w:r>
            <w:proofErr w:type="gramEnd"/>
          </w:p>
          <w:p w14:paraId="1D402415" w14:textId="77777777" w:rsidR="0022594A" w:rsidRPr="003F73C2" w:rsidRDefault="0022594A" w:rsidP="006F71F1">
            <w:pPr>
              <w:spacing w:after="0"/>
              <w:rPr>
                <w:rFonts w:ascii="Arial" w:hAnsi="Arial" w:cs="Arial"/>
                <w:sz w:val="16"/>
                <w:szCs w:val="16"/>
              </w:rPr>
            </w:pPr>
          </w:p>
        </w:tc>
      </w:tr>
      <w:tr w:rsidR="0022594A" w:rsidRPr="003F73C2" w14:paraId="447BCFF3" w14:textId="77777777" w:rsidTr="006F71F1">
        <w:trPr>
          <w:trHeight w:val="2356"/>
          <w:jc w:val="center"/>
        </w:trPr>
        <w:tc>
          <w:tcPr>
            <w:tcW w:w="8617" w:type="dxa"/>
            <w:gridSpan w:val="2"/>
            <w:tcBorders>
              <w:bottom w:val="single" w:sz="4" w:space="0" w:color="auto"/>
            </w:tcBorders>
          </w:tcPr>
          <w:p w14:paraId="7899EF3C" w14:textId="77777777" w:rsidR="0022594A" w:rsidRPr="003F73C2" w:rsidRDefault="0022594A" w:rsidP="00F72888">
            <w:pPr>
              <w:spacing w:after="0"/>
              <w:jc w:val="center"/>
              <w:rPr>
                <w:rFonts w:ascii="Arial" w:hAnsi="Arial" w:cs="Arial"/>
                <w:sz w:val="16"/>
                <w:szCs w:val="16"/>
              </w:rPr>
            </w:pPr>
            <w:r w:rsidRPr="003F73C2">
              <w:rPr>
                <w:rFonts w:ascii="Arial" w:hAnsi="Arial" w:cs="Arial"/>
                <w:noProof/>
                <w:sz w:val="16"/>
                <w:szCs w:val="16"/>
                <w:lang w:eastAsia="pt-PT"/>
              </w:rPr>
              <w:drawing>
                <wp:inline distT="0" distB="0" distL="0" distR="0" wp14:anchorId="1E12807B" wp14:editId="0C43EE32">
                  <wp:extent cx="1685790" cy="1330533"/>
                  <wp:effectExtent l="0" t="0" r="0" b="3175"/>
                  <wp:docPr id="24"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333" t="5379" r="9861" b="16476"/>
                          <a:stretch/>
                        </pic:blipFill>
                        <pic:spPr bwMode="auto">
                          <a:xfrm>
                            <a:off x="0" y="0"/>
                            <a:ext cx="1729438" cy="136498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2594A" w:rsidRPr="003F73C2" w14:paraId="7F6357BA" w14:textId="77777777" w:rsidTr="00344AE1">
        <w:trPr>
          <w:jc w:val="center"/>
        </w:trPr>
        <w:tc>
          <w:tcPr>
            <w:tcW w:w="4141" w:type="dxa"/>
            <w:tcBorders>
              <w:top w:val="single" w:sz="4" w:space="0" w:color="auto"/>
              <w:right w:val="single" w:sz="4" w:space="0" w:color="auto"/>
            </w:tcBorders>
          </w:tcPr>
          <w:p w14:paraId="5CE5808E" w14:textId="77777777" w:rsidR="0022594A" w:rsidRPr="003F73C2" w:rsidRDefault="0022594A" w:rsidP="00F72888">
            <w:pPr>
              <w:spacing w:after="0"/>
              <w:rPr>
                <w:rFonts w:ascii="Arial" w:hAnsi="Arial" w:cs="Arial"/>
                <w:sz w:val="16"/>
                <w:szCs w:val="16"/>
              </w:rPr>
            </w:pPr>
            <w:r w:rsidRPr="003F73C2">
              <w:rPr>
                <w:rFonts w:ascii="Arial" w:hAnsi="Arial" w:cs="Arial"/>
                <w:sz w:val="16"/>
                <w:szCs w:val="16"/>
              </w:rPr>
              <w:t>Central Europe medium-rank well-being profile (WBGV=6.4)</w:t>
            </w:r>
          </w:p>
          <w:p w14:paraId="6B81BB46" w14:textId="77777777" w:rsidR="0022594A" w:rsidRPr="003F73C2" w:rsidRDefault="0022594A" w:rsidP="00F72888">
            <w:pPr>
              <w:spacing w:after="0"/>
              <w:rPr>
                <w:rFonts w:ascii="Arial" w:hAnsi="Arial" w:cs="Arial"/>
                <w:sz w:val="16"/>
                <w:szCs w:val="16"/>
              </w:rPr>
            </w:pPr>
            <w:r w:rsidRPr="003F73C2">
              <w:rPr>
                <w:rFonts w:ascii="Arial" w:hAnsi="Arial" w:cs="Arial"/>
                <w:sz w:val="16"/>
                <w:szCs w:val="16"/>
              </w:rPr>
              <w:t>AT, BE, CH, DE, FI, GB, NL</w:t>
            </w:r>
          </w:p>
          <w:p w14:paraId="6AFA57A6" w14:textId="77777777" w:rsidR="0022594A" w:rsidRPr="003F73C2" w:rsidRDefault="0022594A" w:rsidP="00F72888">
            <w:pPr>
              <w:spacing w:after="0"/>
              <w:rPr>
                <w:rFonts w:ascii="Arial" w:hAnsi="Arial" w:cs="Arial"/>
                <w:sz w:val="16"/>
                <w:szCs w:val="16"/>
              </w:rPr>
            </w:pPr>
            <w:r w:rsidRPr="003F73C2">
              <w:rPr>
                <w:rFonts w:ascii="Arial" w:hAnsi="Arial" w:cs="Arial"/>
                <w:noProof/>
                <w:sz w:val="16"/>
                <w:szCs w:val="16"/>
                <w:lang w:eastAsia="pt-PT"/>
              </w:rPr>
              <w:drawing>
                <wp:inline distT="0" distB="0" distL="0" distR="0" wp14:anchorId="5B6BD9EF" wp14:editId="6C6199F8">
                  <wp:extent cx="1971810" cy="1553510"/>
                  <wp:effectExtent l="0" t="0" r="0" b="8890"/>
                  <wp:docPr id="26"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549" t="5513" r="9653" b="16489"/>
                          <a:stretch/>
                        </pic:blipFill>
                        <pic:spPr bwMode="auto">
                          <a:xfrm>
                            <a:off x="0" y="0"/>
                            <a:ext cx="2000790" cy="15763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76" w:type="dxa"/>
            <w:tcBorders>
              <w:top w:val="single" w:sz="4" w:space="0" w:color="auto"/>
              <w:left w:val="single" w:sz="4" w:space="0" w:color="auto"/>
            </w:tcBorders>
          </w:tcPr>
          <w:p w14:paraId="210178D0" w14:textId="77777777" w:rsidR="0022594A" w:rsidRPr="003F73C2" w:rsidRDefault="0022594A" w:rsidP="00F72888">
            <w:pPr>
              <w:spacing w:after="0"/>
              <w:rPr>
                <w:rFonts w:ascii="Arial" w:hAnsi="Arial" w:cs="Arial"/>
                <w:sz w:val="16"/>
                <w:szCs w:val="16"/>
              </w:rPr>
            </w:pPr>
            <w:r w:rsidRPr="003F73C2">
              <w:rPr>
                <w:rFonts w:ascii="Arial" w:hAnsi="Arial" w:cs="Arial"/>
                <w:sz w:val="16"/>
                <w:szCs w:val="16"/>
              </w:rPr>
              <w:t>Southern Europe medium-rank well-being profile (WBGV=6.2)</w:t>
            </w:r>
          </w:p>
          <w:p w14:paraId="508480A1" w14:textId="1186ED57" w:rsidR="0022594A" w:rsidRDefault="0022594A" w:rsidP="00F72888">
            <w:pPr>
              <w:spacing w:after="0"/>
              <w:rPr>
                <w:rFonts w:ascii="Arial" w:hAnsi="Arial" w:cs="Arial"/>
                <w:sz w:val="16"/>
                <w:szCs w:val="16"/>
              </w:rPr>
            </w:pPr>
            <w:r w:rsidRPr="003F73C2">
              <w:rPr>
                <w:rFonts w:ascii="Arial" w:hAnsi="Arial" w:cs="Arial"/>
                <w:sz w:val="16"/>
                <w:szCs w:val="16"/>
              </w:rPr>
              <w:t xml:space="preserve">FR, PT, </w:t>
            </w:r>
            <w:r w:rsidR="00516A57">
              <w:rPr>
                <w:rFonts w:ascii="Arial" w:hAnsi="Arial" w:cs="Arial"/>
                <w:sz w:val="16"/>
                <w:szCs w:val="16"/>
              </w:rPr>
              <w:t>ES</w:t>
            </w:r>
          </w:p>
          <w:p w14:paraId="06477BC1" w14:textId="77777777" w:rsidR="0022594A" w:rsidRPr="003F73C2" w:rsidRDefault="0022594A" w:rsidP="00F72888">
            <w:pPr>
              <w:spacing w:after="0"/>
              <w:rPr>
                <w:rFonts w:ascii="Arial" w:hAnsi="Arial" w:cs="Arial"/>
                <w:sz w:val="16"/>
                <w:szCs w:val="16"/>
              </w:rPr>
            </w:pPr>
            <w:r w:rsidRPr="003F73C2">
              <w:rPr>
                <w:rFonts w:ascii="Arial" w:hAnsi="Arial" w:cs="Arial"/>
                <w:noProof/>
                <w:sz w:val="16"/>
                <w:szCs w:val="16"/>
                <w:lang w:eastAsia="pt-PT"/>
              </w:rPr>
              <w:drawing>
                <wp:inline distT="0" distB="0" distL="0" distR="0" wp14:anchorId="040941E4" wp14:editId="7B30B541">
                  <wp:extent cx="1967477" cy="1555157"/>
                  <wp:effectExtent l="0" t="0" r="0" b="6985"/>
                  <wp:docPr id="25"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661" t="5513" r="9672" b="16360"/>
                          <a:stretch/>
                        </pic:blipFill>
                        <pic:spPr bwMode="auto">
                          <a:xfrm>
                            <a:off x="0" y="0"/>
                            <a:ext cx="1997787" cy="15791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2594A" w:rsidRPr="003F73C2" w14:paraId="040CDBFF" w14:textId="77777777" w:rsidTr="00344AE1">
        <w:trPr>
          <w:trHeight w:val="191"/>
          <w:jc w:val="center"/>
        </w:trPr>
        <w:tc>
          <w:tcPr>
            <w:tcW w:w="4141" w:type="dxa"/>
            <w:tcBorders>
              <w:bottom w:val="single" w:sz="4" w:space="0" w:color="auto"/>
              <w:right w:val="single" w:sz="4" w:space="0" w:color="auto"/>
            </w:tcBorders>
          </w:tcPr>
          <w:p w14:paraId="212978C0" w14:textId="77777777" w:rsidR="0022594A" w:rsidRPr="003F73C2" w:rsidRDefault="0022594A" w:rsidP="00F72888">
            <w:pPr>
              <w:spacing w:after="0"/>
              <w:rPr>
                <w:rFonts w:ascii="Arial" w:hAnsi="Arial" w:cs="Arial"/>
                <w:sz w:val="16"/>
                <w:szCs w:val="16"/>
              </w:rPr>
            </w:pPr>
          </w:p>
          <w:p w14:paraId="4F0A3318" w14:textId="77777777" w:rsidR="0022594A" w:rsidRPr="003F73C2" w:rsidRDefault="0022594A" w:rsidP="00F72888">
            <w:pPr>
              <w:spacing w:after="0"/>
              <w:rPr>
                <w:rFonts w:ascii="Arial" w:hAnsi="Arial" w:cs="Arial"/>
                <w:sz w:val="16"/>
                <w:szCs w:val="16"/>
              </w:rPr>
            </w:pPr>
          </w:p>
        </w:tc>
        <w:tc>
          <w:tcPr>
            <w:tcW w:w="4476" w:type="dxa"/>
            <w:tcBorders>
              <w:left w:val="single" w:sz="4" w:space="0" w:color="auto"/>
              <w:bottom w:val="single" w:sz="4" w:space="0" w:color="auto"/>
            </w:tcBorders>
          </w:tcPr>
          <w:p w14:paraId="5556F549" w14:textId="77777777" w:rsidR="0022594A" w:rsidRPr="003F73C2" w:rsidRDefault="0022594A" w:rsidP="00F72888">
            <w:pPr>
              <w:spacing w:after="0"/>
              <w:rPr>
                <w:rFonts w:ascii="Arial" w:hAnsi="Arial" w:cs="Arial"/>
                <w:sz w:val="16"/>
                <w:szCs w:val="16"/>
              </w:rPr>
            </w:pPr>
          </w:p>
        </w:tc>
      </w:tr>
      <w:tr w:rsidR="0022594A" w:rsidRPr="003F73C2" w14:paraId="12C0524C" w14:textId="77777777" w:rsidTr="00344AE1">
        <w:trPr>
          <w:jc w:val="center"/>
        </w:trPr>
        <w:tc>
          <w:tcPr>
            <w:tcW w:w="4141" w:type="dxa"/>
            <w:tcBorders>
              <w:top w:val="single" w:sz="4" w:space="0" w:color="auto"/>
              <w:right w:val="single" w:sz="4" w:space="0" w:color="auto"/>
            </w:tcBorders>
          </w:tcPr>
          <w:p w14:paraId="7C607D61" w14:textId="77777777" w:rsidR="0022594A" w:rsidRPr="003F73C2" w:rsidRDefault="0022594A" w:rsidP="00F72888">
            <w:pPr>
              <w:spacing w:after="0"/>
              <w:rPr>
                <w:rFonts w:ascii="Arial" w:hAnsi="Arial" w:cs="Arial"/>
                <w:sz w:val="16"/>
                <w:szCs w:val="16"/>
              </w:rPr>
            </w:pPr>
            <w:r w:rsidRPr="003F73C2">
              <w:rPr>
                <w:rFonts w:ascii="Arial" w:hAnsi="Arial" w:cs="Arial"/>
                <w:sz w:val="16"/>
                <w:szCs w:val="16"/>
              </w:rPr>
              <w:t>Eastern Europe low-rank well-being profile</w:t>
            </w:r>
            <w:r>
              <w:rPr>
                <w:rFonts w:ascii="Arial" w:hAnsi="Arial" w:cs="Arial"/>
                <w:sz w:val="16"/>
                <w:szCs w:val="16"/>
              </w:rPr>
              <w:t xml:space="preserve"> </w:t>
            </w:r>
            <w:r w:rsidRPr="003F73C2">
              <w:rPr>
                <w:rFonts w:ascii="Arial" w:hAnsi="Arial" w:cs="Arial"/>
                <w:sz w:val="16"/>
                <w:szCs w:val="16"/>
              </w:rPr>
              <w:t>(WBGV=5.8)</w:t>
            </w:r>
          </w:p>
          <w:p w14:paraId="1CB6F7D7" w14:textId="77777777" w:rsidR="0022594A" w:rsidRPr="003F73C2" w:rsidRDefault="0022594A" w:rsidP="00F72888">
            <w:pPr>
              <w:spacing w:after="0"/>
              <w:rPr>
                <w:rFonts w:ascii="Arial" w:hAnsi="Arial" w:cs="Arial"/>
                <w:sz w:val="16"/>
                <w:szCs w:val="16"/>
              </w:rPr>
            </w:pPr>
            <w:r w:rsidRPr="003F73C2">
              <w:rPr>
                <w:rFonts w:ascii="Arial" w:hAnsi="Arial" w:cs="Arial"/>
                <w:sz w:val="16"/>
                <w:szCs w:val="16"/>
              </w:rPr>
              <w:t xml:space="preserve">EE, HU, IE, PL, SI </w:t>
            </w:r>
          </w:p>
          <w:p w14:paraId="324EA17D" w14:textId="77777777" w:rsidR="0022594A" w:rsidRPr="003F73C2" w:rsidRDefault="0022594A" w:rsidP="00F72888">
            <w:pPr>
              <w:jc w:val="center"/>
              <w:rPr>
                <w:rFonts w:ascii="Arial" w:hAnsi="Arial" w:cs="Arial"/>
                <w:sz w:val="16"/>
                <w:szCs w:val="16"/>
              </w:rPr>
            </w:pPr>
            <w:r w:rsidRPr="003F73C2">
              <w:rPr>
                <w:rFonts w:ascii="Arial" w:hAnsi="Arial" w:cs="Arial"/>
                <w:noProof/>
                <w:sz w:val="16"/>
                <w:szCs w:val="16"/>
                <w:lang w:eastAsia="pt-PT"/>
              </w:rPr>
              <w:drawing>
                <wp:inline distT="0" distB="0" distL="0" distR="0" wp14:anchorId="6CD8ED96" wp14:editId="3CE425CA">
                  <wp:extent cx="2114821" cy="1668828"/>
                  <wp:effectExtent l="0" t="0" r="0" b="7620"/>
                  <wp:docPr id="32"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444" t="5514" r="9860" b="16462"/>
                          <a:stretch/>
                        </pic:blipFill>
                        <pic:spPr bwMode="auto">
                          <a:xfrm>
                            <a:off x="0" y="0"/>
                            <a:ext cx="2146140" cy="16935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76" w:type="dxa"/>
            <w:tcBorders>
              <w:top w:val="single" w:sz="4" w:space="0" w:color="auto"/>
              <w:left w:val="single" w:sz="4" w:space="0" w:color="auto"/>
            </w:tcBorders>
          </w:tcPr>
          <w:p w14:paraId="0D95FC99" w14:textId="77777777" w:rsidR="0022594A" w:rsidRDefault="0022594A" w:rsidP="00F72888">
            <w:pPr>
              <w:spacing w:after="0"/>
              <w:rPr>
                <w:rFonts w:ascii="Arial" w:hAnsi="Arial" w:cs="Arial"/>
                <w:sz w:val="16"/>
                <w:szCs w:val="16"/>
              </w:rPr>
            </w:pPr>
            <w:r w:rsidRPr="003F73C2">
              <w:rPr>
                <w:rFonts w:ascii="Arial" w:hAnsi="Arial" w:cs="Arial"/>
                <w:sz w:val="16"/>
                <w:szCs w:val="16"/>
              </w:rPr>
              <w:t>Social disengagement low rank well-being profile (WBGV=5.5)</w:t>
            </w:r>
          </w:p>
          <w:p w14:paraId="4E08384C" w14:textId="7B3DB452" w:rsidR="0022594A" w:rsidRDefault="0022594A" w:rsidP="00F72888">
            <w:pPr>
              <w:spacing w:after="0"/>
              <w:rPr>
                <w:rFonts w:ascii="Arial" w:hAnsi="Arial" w:cs="Arial"/>
                <w:sz w:val="16"/>
                <w:szCs w:val="16"/>
              </w:rPr>
            </w:pPr>
            <w:r w:rsidRPr="003F73C2">
              <w:rPr>
                <w:rFonts w:ascii="Arial" w:hAnsi="Arial" w:cs="Arial"/>
                <w:sz w:val="16"/>
                <w:szCs w:val="16"/>
              </w:rPr>
              <w:t>CZ, IT, L</w:t>
            </w:r>
            <w:r w:rsidR="00516A57">
              <w:rPr>
                <w:rFonts w:ascii="Arial" w:hAnsi="Arial" w:cs="Arial"/>
                <w:sz w:val="16"/>
                <w:szCs w:val="16"/>
              </w:rPr>
              <w:t>T</w:t>
            </w:r>
          </w:p>
          <w:p w14:paraId="2C6496B9" w14:textId="079BDDED" w:rsidR="0022594A" w:rsidRDefault="00387E81" w:rsidP="00F72888">
            <w:pPr>
              <w:spacing w:after="0"/>
              <w:rPr>
                <w:rFonts w:ascii="Arial" w:hAnsi="Arial" w:cs="Arial"/>
                <w:sz w:val="16"/>
                <w:szCs w:val="16"/>
              </w:rPr>
            </w:pPr>
            <w:r w:rsidRPr="003F73C2">
              <w:rPr>
                <w:rFonts w:ascii="Arial" w:hAnsi="Arial" w:cs="Arial"/>
                <w:noProof/>
                <w:sz w:val="16"/>
                <w:szCs w:val="16"/>
                <w:lang w:eastAsia="pt-PT"/>
              </w:rPr>
              <w:drawing>
                <wp:inline distT="0" distB="0" distL="0" distR="0" wp14:anchorId="019D8CDE" wp14:editId="46ADC31F">
                  <wp:extent cx="1932808" cy="1523741"/>
                  <wp:effectExtent l="0" t="0" r="0" b="635"/>
                  <wp:docPr id="34"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552" t="5776" r="9691" b="16333"/>
                          <a:stretch/>
                        </pic:blipFill>
                        <pic:spPr bwMode="auto">
                          <a:xfrm>
                            <a:off x="0" y="0"/>
                            <a:ext cx="2002596" cy="1578759"/>
                          </a:xfrm>
                          <a:prstGeom prst="rect">
                            <a:avLst/>
                          </a:prstGeom>
                          <a:noFill/>
                          <a:ln>
                            <a:noFill/>
                          </a:ln>
                          <a:extLst>
                            <a:ext uri="{53640926-AAD7-44D8-BBD7-CCE9431645EC}">
                              <a14:shadowObscured xmlns:a14="http://schemas.microsoft.com/office/drawing/2010/main"/>
                            </a:ext>
                          </a:extLst>
                        </pic:spPr>
                      </pic:pic>
                    </a:graphicData>
                  </a:graphic>
                </wp:inline>
              </w:drawing>
            </w:r>
          </w:p>
          <w:p w14:paraId="29F70C41" w14:textId="3ADF35C1" w:rsidR="0022594A" w:rsidRPr="003F73C2" w:rsidRDefault="0022594A" w:rsidP="00F72888">
            <w:pPr>
              <w:spacing w:after="0"/>
              <w:rPr>
                <w:rFonts w:ascii="Arial" w:hAnsi="Arial" w:cs="Arial"/>
                <w:sz w:val="16"/>
                <w:szCs w:val="16"/>
              </w:rPr>
            </w:pPr>
          </w:p>
          <w:p w14:paraId="059DD350" w14:textId="77777777" w:rsidR="0022594A" w:rsidRPr="003F73C2" w:rsidRDefault="0022594A" w:rsidP="00F72888">
            <w:pPr>
              <w:spacing w:after="0"/>
              <w:rPr>
                <w:rFonts w:ascii="Arial" w:hAnsi="Arial" w:cs="Arial"/>
                <w:noProof/>
                <w:sz w:val="16"/>
                <w:szCs w:val="16"/>
                <w:lang w:eastAsia="en-GB"/>
              </w:rPr>
            </w:pPr>
            <w:r w:rsidRPr="003F73C2">
              <w:rPr>
                <w:rFonts w:ascii="Arial" w:hAnsi="Arial" w:cs="Arial"/>
                <w:sz w:val="16"/>
                <w:szCs w:val="16"/>
              </w:rPr>
              <w:t xml:space="preserve"> </w:t>
            </w:r>
          </w:p>
        </w:tc>
      </w:tr>
      <w:tr w:rsidR="0022594A" w:rsidRPr="003F73C2" w14:paraId="3032D32E" w14:textId="77777777" w:rsidTr="00344AE1">
        <w:trPr>
          <w:trHeight w:val="80"/>
          <w:jc w:val="center"/>
        </w:trPr>
        <w:tc>
          <w:tcPr>
            <w:tcW w:w="4141" w:type="dxa"/>
            <w:tcBorders>
              <w:right w:val="single" w:sz="4" w:space="0" w:color="auto"/>
            </w:tcBorders>
          </w:tcPr>
          <w:p w14:paraId="7721E3DB" w14:textId="77777777" w:rsidR="0022594A" w:rsidRPr="003F73C2" w:rsidRDefault="0022594A" w:rsidP="00F72888">
            <w:pPr>
              <w:rPr>
                <w:rFonts w:ascii="Arial" w:hAnsi="Arial" w:cs="Arial"/>
                <w:sz w:val="16"/>
                <w:szCs w:val="16"/>
              </w:rPr>
            </w:pPr>
          </w:p>
        </w:tc>
        <w:tc>
          <w:tcPr>
            <w:tcW w:w="4476" w:type="dxa"/>
            <w:tcBorders>
              <w:left w:val="single" w:sz="4" w:space="0" w:color="auto"/>
            </w:tcBorders>
          </w:tcPr>
          <w:p w14:paraId="6A2F35E0" w14:textId="77777777" w:rsidR="0022594A" w:rsidRPr="003F73C2" w:rsidRDefault="0022594A" w:rsidP="00F72888">
            <w:pPr>
              <w:rPr>
                <w:rFonts w:ascii="Arial" w:hAnsi="Arial" w:cs="Arial"/>
                <w:sz w:val="16"/>
                <w:szCs w:val="16"/>
              </w:rPr>
            </w:pPr>
          </w:p>
        </w:tc>
      </w:tr>
    </w:tbl>
    <w:p w14:paraId="25D27634" w14:textId="5C52542C" w:rsidR="0022594A" w:rsidRDefault="0022594A" w:rsidP="00EE0B53">
      <w:pPr>
        <w:spacing w:after="0" w:line="360" w:lineRule="auto"/>
        <w:rPr>
          <w:sz w:val="22"/>
          <w:szCs w:val="22"/>
        </w:rPr>
      </w:pPr>
      <w:r w:rsidRPr="00344AE1">
        <w:rPr>
          <w:sz w:val="22"/>
          <w:szCs w:val="22"/>
        </w:rPr>
        <w:t>Figure 3. Well-being profiles of European countries</w:t>
      </w:r>
    </w:p>
    <w:p w14:paraId="5C425AE8" w14:textId="77777777" w:rsidR="00DE03C0" w:rsidRDefault="00DE03C0" w:rsidP="00EE0B53">
      <w:pPr>
        <w:autoSpaceDE w:val="0"/>
        <w:autoSpaceDN w:val="0"/>
        <w:adjustRightInd w:val="0"/>
        <w:spacing w:after="0" w:line="360" w:lineRule="auto"/>
        <w:rPr>
          <w:sz w:val="22"/>
          <w:szCs w:val="22"/>
        </w:rPr>
      </w:pPr>
    </w:p>
    <w:p w14:paraId="15E5A523" w14:textId="0F59D68F" w:rsidR="006F71F1" w:rsidRPr="006F71F1" w:rsidRDefault="006F71F1" w:rsidP="006F71F1">
      <w:pPr>
        <w:autoSpaceDE w:val="0"/>
        <w:autoSpaceDN w:val="0"/>
        <w:adjustRightInd w:val="0"/>
        <w:spacing w:line="360" w:lineRule="auto"/>
        <w:rPr>
          <w:sz w:val="22"/>
          <w:szCs w:val="22"/>
        </w:rPr>
      </w:pPr>
      <w:r w:rsidRPr="006F71F1">
        <w:rPr>
          <w:sz w:val="22"/>
          <w:szCs w:val="22"/>
        </w:rPr>
        <w:t>Relying in the average country scores</w:t>
      </w:r>
      <w:r w:rsidR="00F9304E">
        <w:rPr>
          <w:sz w:val="22"/>
          <w:szCs w:val="22"/>
        </w:rPr>
        <w:t xml:space="preserve"> </w:t>
      </w:r>
      <w:r w:rsidR="00F9304E" w:rsidRPr="00F9304E">
        <w:rPr>
          <w:sz w:val="22"/>
          <w:szCs w:val="22"/>
        </w:rPr>
        <w:t>(min-max)</w:t>
      </w:r>
      <w:r w:rsidRPr="00F9304E">
        <w:rPr>
          <w:sz w:val="22"/>
          <w:szCs w:val="22"/>
        </w:rPr>
        <w:t xml:space="preserve"> </w:t>
      </w:r>
      <w:r w:rsidRPr="006F71F1">
        <w:rPr>
          <w:sz w:val="22"/>
          <w:szCs w:val="22"/>
        </w:rPr>
        <w:t>in the nine dimensions of well-being</w:t>
      </w:r>
      <w:r>
        <w:rPr>
          <w:sz w:val="22"/>
          <w:szCs w:val="22"/>
        </w:rPr>
        <w:t xml:space="preserve"> of the OECD Better Life Index</w:t>
      </w:r>
      <w:r w:rsidRPr="006F71F1">
        <w:rPr>
          <w:sz w:val="22"/>
          <w:szCs w:val="22"/>
        </w:rPr>
        <w:t xml:space="preserve">, </w:t>
      </w:r>
      <w:r w:rsidR="00EE0B53">
        <w:rPr>
          <w:sz w:val="22"/>
          <w:szCs w:val="22"/>
        </w:rPr>
        <w:t xml:space="preserve">what we called the Well-Being Global Volume (WBGV), </w:t>
      </w:r>
      <w:r w:rsidRPr="006F71F1">
        <w:rPr>
          <w:sz w:val="22"/>
          <w:szCs w:val="22"/>
        </w:rPr>
        <w:t>five country profiles were identified</w:t>
      </w:r>
      <w:r w:rsidR="00CD4620">
        <w:rPr>
          <w:sz w:val="22"/>
          <w:szCs w:val="22"/>
        </w:rPr>
        <w:t xml:space="preserve"> (Figure 3)</w:t>
      </w:r>
      <w:r w:rsidRPr="006F71F1">
        <w:rPr>
          <w:sz w:val="22"/>
          <w:szCs w:val="22"/>
        </w:rPr>
        <w:t xml:space="preserve">. </w:t>
      </w:r>
      <w:r w:rsidR="00EE0B53">
        <w:rPr>
          <w:sz w:val="22"/>
          <w:szCs w:val="22"/>
        </w:rPr>
        <w:t>W</w:t>
      </w:r>
      <w:r w:rsidRPr="006F71F1">
        <w:rPr>
          <w:sz w:val="22"/>
          <w:szCs w:val="22"/>
        </w:rPr>
        <w:t>ell-being profiles differ more in terms of well-being volume that in terms of well-being structure. Among the five groups of countries with different well-being profiles, one presents the highest volume of wellbeing</w:t>
      </w:r>
      <w:r w:rsidR="0096390A">
        <w:rPr>
          <w:sz w:val="22"/>
          <w:szCs w:val="22"/>
        </w:rPr>
        <w:t xml:space="preserve"> (</w:t>
      </w:r>
      <w:r w:rsidR="0039346C">
        <w:rPr>
          <w:sz w:val="22"/>
          <w:szCs w:val="22"/>
        </w:rPr>
        <w:t xml:space="preserve">the </w:t>
      </w:r>
      <w:r w:rsidR="0096390A">
        <w:rPr>
          <w:sz w:val="22"/>
          <w:szCs w:val="22"/>
        </w:rPr>
        <w:t>Nordic countries)</w:t>
      </w:r>
      <w:r w:rsidRPr="006F71F1">
        <w:rPr>
          <w:sz w:val="22"/>
          <w:szCs w:val="22"/>
        </w:rPr>
        <w:t>, two profiles present a medium-rank wellbeing volume</w:t>
      </w:r>
      <w:r w:rsidR="0096390A">
        <w:rPr>
          <w:sz w:val="22"/>
          <w:szCs w:val="22"/>
        </w:rPr>
        <w:t xml:space="preserve"> (</w:t>
      </w:r>
      <w:r w:rsidR="0039346C">
        <w:rPr>
          <w:sz w:val="22"/>
          <w:szCs w:val="22"/>
        </w:rPr>
        <w:t xml:space="preserve">the </w:t>
      </w:r>
      <w:r w:rsidR="0096390A">
        <w:rPr>
          <w:sz w:val="22"/>
          <w:szCs w:val="22"/>
        </w:rPr>
        <w:t>Central and Southern Europe)</w:t>
      </w:r>
      <w:r w:rsidRPr="006F71F1">
        <w:rPr>
          <w:sz w:val="22"/>
          <w:szCs w:val="22"/>
        </w:rPr>
        <w:t xml:space="preserve">, with scores either more </w:t>
      </w:r>
      <w:r w:rsidRPr="006F71F1">
        <w:rPr>
          <w:sz w:val="22"/>
          <w:szCs w:val="22"/>
        </w:rPr>
        <w:lastRenderedPageBreak/>
        <w:t>penalized by lower material conditions (income and job earnings), or either by lower work-life balance; and two low-rank well-being profiles</w:t>
      </w:r>
      <w:r w:rsidR="0096390A">
        <w:rPr>
          <w:sz w:val="22"/>
          <w:szCs w:val="22"/>
        </w:rPr>
        <w:t xml:space="preserve"> (Eastern Europe and regional mixed-countries)</w:t>
      </w:r>
      <w:r w:rsidRPr="006F71F1">
        <w:rPr>
          <w:sz w:val="22"/>
          <w:szCs w:val="22"/>
        </w:rPr>
        <w:t>, one more penalized by lower scores in work-life balance, and the another more penalized by low scores concerning social engagement (low personal security and low social connections).</w:t>
      </w:r>
    </w:p>
    <w:p w14:paraId="5B117336" w14:textId="77777777" w:rsidR="00BC6AFE" w:rsidRDefault="00BC6AFE" w:rsidP="00BC6AFE">
      <w:pPr>
        <w:pStyle w:val="Heading1"/>
      </w:pPr>
      <w:r>
        <w:t>Conclusions</w:t>
      </w:r>
    </w:p>
    <w:p w14:paraId="6AB76435" w14:textId="1676E73B" w:rsidR="00887318" w:rsidRDefault="001C6A6E" w:rsidP="00887318">
      <w:pPr>
        <w:spacing w:after="0" w:line="360" w:lineRule="auto"/>
        <w:rPr>
          <w:w w:val="105"/>
          <w:sz w:val="22"/>
          <w:szCs w:val="22"/>
        </w:rPr>
      </w:pPr>
      <w:r w:rsidRPr="001C6A6E">
        <w:rPr>
          <w:sz w:val="22"/>
          <w:szCs w:val="22"/>
        </w:rPr>
        <w:t>The European social space is currently very unequal.</w:t>
      </w:r>
      <w:r>
        <w:rPr>
          <w:w w:val="105"/>
          <w:sz w:val="22"/>
          <w:szCs w:val="22"/>
        </w:rPr>
        <w:t xml:space="preserve"> </w:t>
      </w:r>
      <w:r w:rsidR="0079168A" w:rsidRPr="0079168A">
        <w:rPr>
          <w:w w:val="105"/>
          <w:sz w:val="22"/>
          <w:szCs w:val="22"/>
        </w:rPr>
        <w:t>Higher education, higher income, and belonging to a more privileged social class positively influence well-bein</w:t>
      </w:r>
      <w:r>
        <w:rPr>
          <w:w w:val="105"/>
          <w:sz w:val="22"/>
          <w:szCs w:val="22"/>
        </w:rPr>
        <w:t xml:space="preserve">g and </w:t>
      </w:r>
      <w:r w:rsidR="0079168A" w:rsidRPr="0079168A">
        <w:rPr>
          <w:w w:val="105"/>
          <w:sz w:val="22"/>
          <w:szCs w:val="22"/>
        </w:rPr>
        <w:t>men tend to present higher well-being than women. The f</w:t>
      </w:r>
      <w:r w:rsidR="0096390A">
        <w:rPr>
          <w:w w:val="105"/>
          <w:sz w:val="22"/>
          <w:szCs w:val="22"/>
        </w:rPr>
        <w:t>ive</w:t>
      </w:r>
      <w:r w:rsidR="0079168A" w:rsidRPr="0079168A">
        <w:rPr>
          <w:w w:val="105"/>
          <w:sz w:val="22"/>
          <w:szCs w:val="22"/>
        </w:rPr>
        <w:t xml:space="preserve"> well-being profiles identified among Europe </w:t>
      </w:r>
      <w:r w:rsidR="0096390A">
        <w:rPr>
          <w:w w:val="105"/>
          <w:sz w:val="22"/>
          <w:szCs w:val="22"/>
        </w:rPr>
        <w:t>ar</w:t>
      </w:r>
      <w:r w:rsidR="0079168A" w:rsidRPr="0079168A">
        <w:rPr>
          <w:w w:val="105"/>
          <w:sz w:val="22"/>
          <w:szCs w:val="22"/>
        </w:rPr>
        <w:t xml:space="preserve">e clearly structured by social inequalities, opposing higher- and lower- qualified socio-occupations, and males and females' life circumstances. </w:t>
      </w:r>
      <w:r w:rsidR="0096390A">
        <w:rPr>
          <w:w w:val="105"/>
          <w:sz w:val="22"/>
          <w:szCs w:val="22"/>
        </w:rPr>
        <w:t>P</w:t>
      </w:r>
      <w:r w:rsidR="0079168A" w:rsidRPr="0079168A">
        <w:rPr>
          <w:w w:val="105"/>
          <w:sz w:val="22"/>
          <w:szCs w:val="22"/>
        </w:rPr>
        <w:t xml:space="preserve">rofiles are mostly defined in terms of volume of well-being, mainly expressing </w:t>
      </w:r>
      <w:r w:rsidR="006F71F1">
        <w:rPr>
          <w:w w:val="105"/>
          <w:sz w:val="22"/>
          <w:szCs w:val="22"/>
        </w:rPr>
        <w:t xml:space="preserve">European </w:t>
      </w:r>
      <w:r w:rsidR="0079168A" w:rsidRPr="0079168A">
        <w:rPr>
          <w:w w:val="105"/>
          <w:sz w:val="22"/>
          <w:szCs w:val="22"/>
        </w:rPr>
        <w:t xml:space="preserve">regional affiliations and asymmetries of class, income and education. The </w:t>
      </w:r>
      <w:r w:rsidR="003651D7">
        <w:rPr>
          <w:w w:val="105"/>
          <w:sz w:val="22"/>
          <w:szCs w:val="22"/>
        </w:rPr>
        <w:t xml:space="preserve">analysis </w:t>
      </w:r>
      <w:r w:rsidR="0079168A" w:rsidRPr="0079168A">
        <w:rPr>
          <w:w w:val="105"/>
          <w:sz w:val="22"/>
          <w:szCs w:val="22"/>
        </w:rPr>
        <w:t>developed confirms the existence of multidimensional intersections between social inequalities and well-being.</w:t>
      </w:r>
    </w:p>
    <w:p w14:paraId="144764D3" w14:textId="78030FC5" w:rsidR="00887318" w:rsidRPr="00887318" w:rsidRDefault="00547048" w:rsidP="00887318">
      <w:pPr>
        <w:spacing w:after="0" w:line="360" w:lineRule="auto"/>
        <w:rPr>
          <w:w w:val="105"/>
          <w:sz w:val="22"/>
          <w:szCs w:val="22"/>
        </w:rPr>
      </w:pPr>
      <w:r>
        <w:rPr>
          <w:w w:val="105"/>
          <w:sz w:val="22"/>
          <w:szCs w:val="22"/>
        </w:rPr>
        <w:t>Place</w:t>
      </w:r>
      <w:r w:rsidR="00887318">
        <w:rPr>
          <w:w w:val="105"/>
          <w:sz w:val="22"/>
          <w:szCs w:val="22"/>
        </w:rPr>
        <w:t xml:space="preserve"> </w:t>
      </w:r>
      <w:r w:rsidR="0039346C">
        <w:rPr>
          <w:w w:val="105"/>
          <w:sz w:val="22"/>
          <w:szCs w:val="22"/>
        </w:rPr>
        <w:t xml:space="preserve">also </w:t>
      </w:r>
      <w:r w:rsidR="00887318">
        <w:rPr>
          <w:w w:val="105"/>
          <w:sz w:val="22"/>
          <w:szCs w:val="22"/>
        </w:rPr>
        <w:t xml:space="preserve">counts to understand the relations between inequality and well-being. The place-based analysis conducted in Portugal, which first have identified five national clusters of inequalities  - </w:t>
      </w:r>
      <w:r>
        <w:rPr>
          <w:w w:val="105"/>
          <w:sz w:val="22"/>
          <w:szCs w:val="22"/>
        </w:rPr>
        <w:t>constructed</w:t>
      </w:r>
      <w:r w:rsidR="00887318">
        <w:rPr>
          <w:w w:val="105"/>
          <w:sz w:val="22"/>
          <w:szCs w:val="22"/>
        </w:rPr>
        <w:t xml:space="preserve"> with some of the main indicators that are also significant at the transnational and national levels – that were then </w:t>
      </w:r>
      <w:r>
        <w:rPr>
          <w:w w:val="105"/>
          <w:sz w:val="22"/>
          <w:szCs w:val="22"/>
        </w:rPr>
        <w:t>compared</w:t>
      </w:r>
      <w:r w:rsidR="00D57D33">
        <w:rPr>
          <w:w w:val="105"/>
          <w:sz w:val="22"/>
          <w:szCs w:val="22"/>
        </w:rPr>
        <w:t xml:space="preserve"> mobilising</w:t>
      </w:r>
      <w:r>
        <w:rPr>
          <w:w w:val="105"/>
          <w:sz w:val="22"/>
          <w:szCs w:val="22"/>
        </w:rPr>
        <w:t xml:space="preserve"> </w:t>
      </w:r>
      <w:r w:rsidR="00887318">
        <w:rPr>
          <w:w w:val="105"/>
          <w:sz w:val="22"/>
          <w:szCs w:val="22"/>
        </w:rPr>
        <w:t>local well-being data from 74 indicators, have shown us that</w:t>
      </w:r>
      <w:r>
        <w:rPr>
          <w:w w:val="105"/>
          <w:sz w:val="22"/>
          <w:szCs w:val="22"/>
        </w:rPr>
        <w:t xml:space="preserve"> science and the European Union institutions</w:t>
      </w:r>
      <w:r w:rsidR="00EE0B53">
        <w:rPr>
          <w:w w:val="105"/>
          <w:sz w:val="22"/>
          <w:szCs w:val="22"/>
        </w:rPr>
        <w:t xml:space="preserve">, to a more fully understanding of the relations between inequality and well-being, </w:t>
      </w:r>
      <w:r>
        <w:rPr>
          <w:w w:val="105"/>
          <w:sz w:val="22"/>
          <w:szCs w:val="22"/>
        </w:rPr>
        <w:t xml:space="preserve">needs to consider </w:t>
      </w:r>
      <w:r w:rsidR="0039346C">
        <w:rPr>
          <w:w w:val="105"/>
          <w:sz w:val="22"/>
          <w:szCs w:val="22"/>
        </w:rPr>
        <w:t xml:space="preserve">altogether </w:t>
      </w:r>
      <w:r>
        <w:rPr>
          <w:w w:val="105"/>
          <w:sz w:val="22"/>
          <w:szCs w:val="22"/>
        </w:rPr>
        <w:t>the transnational, national and placed-based levels of Europe.</w:t>
      </w:r>
      <w:r w:rsidR="00D57D33">
        <w:rPr>
          <w:w w:val="105"/>
          <w:sz w:val="22"/>
          <w:szCs w:val="22"/>
        </w:rPr>
        <w:t xml:space="preserve"> This inter</w:t>
      </w:r>
      <w:r w:rsidR="00EE0B53">
        <w:rPr>
          <w:w w:val="105"/>
          <w:sz w:val="22"/>
          <w:szCs w:val="22"/>
        </w:rPr>
        <w:t>linked</w:t>
      </w:r>
      <w:r w:rsidR="00D57D33">
        <w:rPr>
          <w:w w:val="105"/>
          <w:sz w:val="22"/>
          <w:szCs w:val="22"/>
        </w:rPr>
        <w:t xml:space="preserve"> perspective has the value to clearly define what should be the scope and the</w:t>
      </w:r>
      <w:r w:rsidR="006F71F1">
        <w:rPr>
          <w:w w:val="105"/>
          <w:sz w:val="22"/>
          <w:szCs w:val="22"/>
        </w:rPr>
        <w:t xml:space="preserve"> </w:t>
      </w:r>
      <w:r w:rsidR="00D57D33">
        <w:rPr>
          <w:w w:val="105"/>
          <w:sz w:val="22"/>
          <w:szCs w:val="22"/>
        </w:rPr>
        <w:t xml:space="preserve">design of </w:t>
      </w:r>
      <w:r w:rsidR="00EE0B53">
        <w:rPr>
          <w:w w:val="105"/>
          <w:sz w:val="22"/>
          <w:szCs w:val="22"/>
        </w:rPr>
        <w:t xml:space="preserve">specific </w:t>
      </w:r>
      <w:r w:rsidR="00EA2296">
        <w:rPr>
          <w:w w:val="105"/>
          <w:sz w:val="22"/>
          <w:szCs w:val="22"/>
        </w:rPr>
        <w:t>well-being</w:t>
      </w:r>
      <w:r w:rsidR="00D57D33">
        <w:rPr>
          <w:w w:val="105"/>
          <w:sz w:val="22"/>
          <w:szCs w:val="22"/>
        </w:rPr>
        <w:t xml:space="preserve"> </w:t>
      </w:r>
      <w:r w:rsidR="0039346C">
        <w:rPr>
          <w:w w:val="105"/>
          <w:sz w:val="22"/>
          <w:szCs w:val="22"/>
        </w:rPr>
        <w:t xml:space="preserve">public </w:t>
      </w:r>
      <w:r w:rsidR="00D57D33">
        <w:rPr>
          <w:w w:val="105"/>
          <w:sz w:val="22"/>
          <w:szCs w:val="22"/>
        </w:rPr>
        <w:t>policies</w:t>
      </w:r>
      <w:r w:rsidR="00EA2296">
        <w:rPr>
          <w:w w:val="105"/>
          <w:sz w:val="22"/>
          <w:szCs w:val="22"/>
        </w:rPr>
        <w:t xml:space="preserve"> </w:t>
      </w:r>
      <w:r w:rsidR="00D57D33">
        <w:rPr>
          <w:w w:val="105"/>
          <w:sz w:val="22"/>
          <w:szCs w:val="22"/>
        </w:rPr>
        <w:t>throughout Europe</w:t>
      </w:r>
      <w:r w:rsidR="0039346C">
        <w:rPr>
          <w:w w:val="105"/>
          <w:sz w:val="22"/>
          <w:szCs w:val="22"/>
        </w:rPr>
        <w:t>an Union</w:t>
      </w:r>
      <w:r w:rsidR="00D57D33">
        <w:rPr>
          <w:w w:val="105"/>
          <w:sz w:val="22"/>
          <w:szCs w:val="22"/>
        </w:rPr>
        <w:t>.</w:t>
      </w:r>
    </w:p>
    <w:p w14:paraId="3C39A7B4" w14:textId="7545C443" w:rsidR="00BC6AFE" w:rsidRPr="00E05E2A" w:rsidRDefault="00BC6AFE" w:rsidP="009B4EE0">
      <w:pPr>
        <w:pStyle w:val="Heading1"/>
        <w:numPr>
          <w:ilvl w:val="0"/>
          <w:numId w:val="0"/>
        </w:numPr>
        <w:ind w:left="480" w:hanging="480"/>
      </w:pPr>
      <w:r>
        <w:t>References</w:t>
      </w:r>
    </w:p>
    <w:p w14:paraId="7405CBBD" w14:textId="77777777" w:rsidR="00E05E2A" w:rsidRPr="00344AE1" w:rsidRDefault="003C57C5" w:rsidP="00E05E2A">
      <w:pPr>
        <w:rPr>
          <w:sz w:val="22"/>
          <w:szCs w:val="22"/>
          <w:shd w:val="clear" w:color="auto" w:fill="FFFFFF"/>
        </w:rPr>
      </w:pPr>
      <w:r w:rsidRPr="00344AE1">
        <w:rPr>
          <w:sz w:val="22"/>
          <w:szCs w:val="22"/>
          <w:shd w:val="clear" w:color="auto" w:fill="FFFFFF"/>
        </w:rPr>
        <w:t xml:space="preserve">[1] </w:t>
      </w:r>
      <w:r w:rsidR="00E05E2A" w:rsidRPr="00344AE1">
        <w:rPr>
          <w:sz w:val="22"/>
          <w:szCs w:val="22"/>
          <w:shd w:val="clear" w:color="auto" w:fill="FFFFFF"/>
        </w:rPr>
        <w:t xml:space="preserve">G. </w:t>
      </w:r>
      <w:proofErr w:type="spellStart"/>
      <w:r w:rsidRPr="00344AE1">
        <w:rPr>
          <w:sz w:val="22"/>
          <w:szCs w:val="22"/>
          <w:shd w:val="clear" w:color="auto" w:fill="FFFFFF"/>
        </w:rPr>
        <w:t>Therborn</w:t>
      </w:r>
      <w:proofErr w:type="spellEnd"/>
      <w:r w:rsidRPr="00344AE1">
        <w:rPr>
          <w:sz w:val="22"/>
          <w:szCs w:val="22"/>
          <w:shd w:val="clear" w:color="auto" w:fill="FFFFFF"/>
        </w:rPr>
        <w:t xml:space="preserve"> (2013), </w:t>
      </w:r>
      <w:r w:rsidRPr="00344AE1">
        <w:rPr>
          <w:i/>
          <w:sz w:val="22"/>
          <w:szCs w:val="22"/>
          <w:shd w:val="clear" w:color="auto" w:fill="FFFFFF"/>
        </w:rPr>
        <w:t>The Killing Fields of Inequality</w:t>
      </w:r>
      <w:r w:rsidRPr="00344AE1">
        <w:rPr>
          <w:sz w:val="22"/>
          <w:szCs w:val="22"/>
          <w:shd w:val="clear" w:color="auto" w:fill="FFFFFF"/>
        </w:rPr>
        <w:t>, Cambridge, UK, Polity Press.</w:t>
      </w:r>
    </w:p>
    <w:p w14:paraId="23DAFA82" w14:textId="344E13C8" w:rsidR="00E05E2A" w:rsidRPr="00344AE1" w:rsidRDefault="00E05E2A" w:rsidP="00E05E2A">
      <w:pPr>
        <w:ind w:left="567" w:hanging="567"/>
        <w:rPr>
          <w:sz w:val="22"/>
          <w:szCs w:val="22"/>
          <w:lang w:val="en-US" w:eastAsia="pt-PT"/>
        </w:rPr>
      </w:pPr>
      <w:r w:rsidRPr="00344AE1">
        <w:rPr>
          <w:sz w:val="22"/>
          <w:szCs w:val="22"/>
          <w:shd w:val="clear" w:color="auto" w:fill="FFFFFF"/>
        </w:rPr>
        <w:t xml:space="preserve">[2] A.B. </w:t>
      </w:r>
      <w:r w:rsidR="00F5285B" w:rsidRPr="00344AE1">
        <w:rPr>
          <w:sz w:val="22"/>
          <w:szCs w:val="22"/>
          <w:lang w:val="en-US"/>
        </w:rPr>
        <w:t>Atkinson</w:t>
      </w:r>
      <w:r w:rsidRPr="00344AE1">
        <w:rPr>
          <w:sz w:val="22"/>
          <w:szCs w:val="22"/>
          <w:lang w:val="en-US"/>
        </w:rPr>
        <w:t xml:space="preserve"> </w:t>
      </w:r>
      <w:r w:rsidRPr="00344AE1">
        <w:rPr>
          <w:sz w:val="22"/>
          <w:szCs w:val="22"/>
          <w:lang w:val="en-US" w:eastAsia="pt-PT"/>
        </w:rPr>
        <w:t xml:space="preserve">(2015), </w:t>
      </w:r>
      <w:r w:rsidRPr="00344AE1">
        <w:rPr>
          <w:i/>
          <w:iCs/>
          <w:sz w:val="22"/>
          <w:szCs w:val="22"/>
          <w:lang w:val="en-US" w:eastAsia="pt-PT"/>
        </w:rPr>
        <w:t xml:space="preserve">Inequality: What Can Be </w:t>
      </w:r>
      <w:proofErr w:type="gramStart"/>
      <w:r w:rsidRPr="00344AE1">
        <w:rPr>
          <w:i/>
          <w:iCs/>
          <w:sz w:val="22"/>
          <w:szCs w:val="22"/>
          <w:lang w:val="en-US" w:eastAsia="pt-PT"/>
        </w:rPr>
        <w:t>Done?</w:t>
      </w:r>
      <w:r w:rsidRPr="00344AE1">
        <w:rPr>
          <w:sz w:val="22"/>
          <w:szCs w:val="22"/>
          <w:lang w:val="en-US" w:eastAsia="pt-PT"/>
        </w:rPr>
        <w:t>,</w:t>
      </w:r>
      <w:proofErr w:type="gramEnd"/>
      <w:r w:rsidRPr="00344AE1">
        <w:rPr>
          <w:sz w:val="22"/>
          <w:szCs w:val="22"/>
          <w:lang w:val="en-US" w:eastAsia="pt-PT"/>
        </w:rPr>
        <w:t xml:space="preserve"> Cambridge (Mass.), Harvard University Press.</w:t>
      </w:r>
    </w:p>
    <w:p w14:paraId="45BEFBDB" w14:textId="5EB578A4" w:rsidR="00E05E2A" w:rsidRPr="00344AE1" w:rsidRDefault="00E05E2A" w:rsidP="00E05E2A">
      <w:pPr>
        <w:ind w:left="567" w:hanging="567"/>
        <w:rPr>
          <w:sz w:val="22"/>
          <w:szCs w:val="22"/>
          <w:shd w:val="clear" w:color="auto" w:fill="FFFFFF"/>
        </w:rPr>
      </w:pPr>
      <w:r w:rsidRPr="00344AE1">
        <w:rPr>
          <w:sz w:val="22"/>
          <w:szCs w:val="22"/>
          <w:lang w:val="en-US" w:eastAsia="pt-PT"/>
        </w:rPr>
        <w:t xml:space="preserve">[3] </w:t>
      </w:r>
      <w:r w:rsidRPr="00344AE1">
        <w:rPr>
          <w:sz w:val="22"/>
          <w:szCs w:val="22"/>
          <w:lang w:val="en-US"/>
        </w:rPr>
        <w:t xml:space="preserve">B. </w:t>
      </w:r>
      <w:r w:rsidR="00F5285B" w:rsidRPr="00344AE1">
        <w:rPr>
          <w:sz w:val="22"/>
          <w:szCs w:val="22"/>
          <w:lang w:val="en-US"/>
        </w:rPr>
        <w:t>Milanovic</w:t>
      </w:r>
      <w:r w:rsidRPr="00344AE1">
        <w:rPr>
          <w:sz w:val="22"/>
          <w:szCs w:val="22"/>
          <w:shd w:val="clear" w:color="auto" w:fill="FFFFFF"/>
          <w:lang w:val="en-US"/>
        </w:rPr>
        <w:t xml:space="preserve"> (2016), </w:t>
      </w:r>
      <w:r w:rsidRPr="00344AE1">
        <w:rPr>
          <w:i/>
          <w:sz w:val="22"/>
          <w:szCs w:val="22"/>
          <w:shd w:val="clear" w:color="auto" w:fill="FFFFFF"/>
          <w:lang w:val="en-US"/>
        </w:rPr>
        <w:t xml:space="preserve">Global Inequality. </w:t>
      </w:r>
      <w:r w:rsidRPr="00344AE1">
        <w:rPr>
          <w:i/>
          <w:sz w:val="22"/>
          <w:szCs w:val="22"/>
          <w:shd w:val="clear" w:color="auto" w:fill="FFFFFF"/>
        </w:rPr>
        <w:t>A New Approach for the Age of Globalization</w:t>
      </w:r>
      <w:r w:rsidRPr="00344AE1">
        <w:rPr>
          <w:sz w:val="22"/>
          <w:szCs w:val="22"/>
          <w:shd w:val="clear" w:color="auto" w:fill="FFFFFF"/>
        </w:rPr>
        <w:t xml:space="preserve">, Cambridge, Harvard University Press. </w:t>
      </w:r>
    </w:p>
    <w:p w14:paraId="1E64EF0F" w14:textId="6DAB891A" w:rsidR="00E05E2A" w:rsidRPr="00344AE1" w:rsidRDefault="00E05E2A" w:rsidP="00E05E2A">
      <w:pPr>
        <w:ind w:left="567" w:hanging="567"/>
        <w:rPr>
          <w:sz w:val="22"/>
          <w:szCs w:val="22"/>
          <w:lang w:val="en-US"/>
        </w:rPr>
      </w:pPr>
      <w:r w:rsidRPr="00344AE1">
        <w:rPr>
          <w:sz w:val="22"/>
          <w:szCs w:val="22"/>
          <w:shd w:val="clear" w:color="auto" w:fill="FFFFFF"/>
        </w:rPr>
        <w:t xml:space="preserve">[4] </w:t>
      </w:r>
      <w:r w:rsidRPr="00344AE1">
        <w:rPr>
          <w:sz w:val="22"/>
          <w:szCs w:val="22"/>
          <w:lang w:val="en-US" w:eastAsia="pt-PT"/>
        </w:rPr>
        <w:t xml:space="preserve">T. </w:t>
      </w:r>
      <w:r w:rsidRPr="00344AE1">
        <w:rPr>
          <w:rFonts w:eastAsia="MS PGothic"/>
          <w:sz w:val="22"/>
          <w:szCs w:val="22"/>
          <w:lang w:val="en-US"/>
        </w:rPr>
        <w:t xml:space="preserve">Piketty (2020), </w:t>
      </w:r>
      <w:r w:rsidRPr="00344AE1">
        <w:rPr>
          <w:rFonts w:eastAsia="MS PGothic"/>
          <w:i/>
          <w:sz w:val="22"/>
          <w:szCs w:val="22"/>
          <w:lang w:val="en-US"/>
        </w:rPr>
        <w:t xml:space="preserve">Capital and Ideology, </w:t>
      </w:r>
      <w:r w:rsidRPr="00344AE1">
        <w:rPr>
          <w:sz w:val="22"/>
          <w:szCs w:val="22"/>
          <w:lang w:val="en-US"/>
        </w:rPr>
        <w:t>Cambridge/Massachusetts and London, The Belknap Press of Harvard University Press.</w:t>
      </w:r>
    </w:p>
    <w:p w14:paraId="573D4A3B" w14:textId="1EA55855" w:rsidR="00E05E2A" w:rsidRPr="00344AE1" w:rsidRDefault="00E05E2A" w:rsidP="00E05E2A">
      <w:pPr>
        <w:ind w:left="567" w:hanging="567"/>
        <w:rPr>
          <w:sz w:val="22"/>
          <w:szCs w:val="22"/>
          <w:lang w:val="en-US"/>
        </w:rPr>
      </w:pPr>
      <w:r w:rsidRPr="00344AE1">
        <w:rPr>
          <w:sz w:val="22"/>
          <w:szCs w:val="22"/>
          <w:lang w:val="en-US" w:eastAsia="pt-PT"/>
        </w:rPr>
        <w:t xml:space="preserve">[5] R. </w:t>
      </w:r>
      <w:r w:rsidRPr="00344AE1">
        <w:rPr>
          <w:sz w:val="22"/>
          <w:szCs w:val="22"/>
          <w:lang w:val="en-US"/>
        </w:rPr>
        <w:t xml:space="preserve">Wilkinson and K. Pickett (2018), </w:t>
      </w:r>
      <w:r w:rsidRPr="00344AE1">
        <w:rPr>
          <w:i/>
          <w:iCs/>
          <w:sz w:val="22"/>
          <w:szCs w:val="22"/>
          <w:lang w:val="en-US"/>
        </w:rPr>
        <w:t>The Inner Level. How More Equal Societies Reduce Stress, Restore Sanity and Improve Everyone’s Well-being</w:t>
      </w:r>
      <w:r w:rsidRPr="00344AE1">
        <w:rPr>
          <w:sz w:val="22"/>
          <w:szCs w:val="22"/>
          <w:lang w:val="en-US"/>
        </w:rPr>
        <w:t>, London, Allen Lane.</w:t>
      </w:r>
    </w:p>
    <w:p w14:paraId="458C4C68" w14:textId="1DD742C0" w:rsidR="00344AE1" w:rsidRDefault="00E05E2A" w:rsidP="001C6A6E">
      <w:pPr>
        <w:ind w:left="567" w:hanging="567"/>
        <w:rPr>
          <w:rStyle w:val="a-size-large"/>
          <w:color w:val="111111"/>
          <w:sz w:val="22"/>
          <w:szCs w:val="22"/>
        </w:rPr>
      </w:pPr>
      <w:r w:rsidRPr="00344AE1">
        <w:rPr>
          <w:sz w:val="22"/>
          <w:szCs w:val="22"/>
          <w:lang w:val="en-US"/>
        </w:rPr>
        <w:t xml:space="preserve">[6] J.E Stiglitz, </w:t>
      </w:r>
      <w:r w:rsidRPr="00344AE1">
        <w:rPr>
          <w:sz w:val="22"/>
          <w:szCs w:val="22"/>
          <w:shd w:val="clear" w:color="auto" w:fill="FFFFFF"/>
        </w:rPr>
        <w:t>J. Fitoussi and M. Durand (2019),</w:t>
      </w:r>
      <w:r w:rsidRPr="00344AE1">
        <w:rPr>
          <w:rStyle w:val="Heading2Char"/>
          <w:rFonts w:eastAsiaTheme="minorHAnsi"/>
          <w:color w:val="111111"/>
          <w:sz w:val="22"/>
          <w:szCs w:val="22"/>
        </w:rPr>
        <w:t xml:space="preserve"> </w:t>
      </w:r>
      <w:r w:rsidRPr="00344AE1">
        <w:rPr>
          <w:rStyle w:val="a-size-large"/>
          <w:i/>
          <w:iCs/>
          <w:color w:val="111111"/>
          <w:sz w:val="22"/>
          <w:szCs w:val="22"/>
        </w:rPr>
        <w:t>Measuring What Counts: The Global Movement for Well-Being</w:t>
      </w:r>
      <w:r w:rsidRPr="00344AE1">
        <w:rPr>
          <w:rStyle w:val="a-size-large"/>
          <w:color w:val="111111"/>
          <w:sz w:val="22"/>
          <w:szCs w:val="22"/>
        </w:rPr>
        <w:t>, New York, The New Press.</w:t>
      </w:r>
    </w:p>
    <w:p w14:paraId="662884D5" w14:textId="40910318" w:rsidR="00F912F7" w:rsidRPr="00F912F7" w:rsidRDefault="00F912F7" w:rsidP="001C6A6E">
      <w:pPr>
        <w:ind w:left="567" w:hanging="567"/>
        <w:rPr>
          <w:sz w:val="22"/>
          <w:szCs w:val="22"/>
          <w:lang w:val="en-US" w:eastAsia="pt-PT"/>
        </w:rPr>
      </w:pPr>
      <w:r w:rsidRPr="00344AE1">
        <w:rPr>
          <w:sz w:val="22"/>
          <w:szCs w:val="22"/>
          <w:lang w:val="en-US"/>
        </w:rPr>
        <w:t>[</w:t>
      </w:r>
      <w:r>
        <w:rPr>
          <w:sz w:val="22"/>
          <w:szCs w:val="22"/>
          <w:lang w:val="en-US"/>
        </w:rPr>
        <w:t>7</w:t>
      </w:r>
      <w:r w:rsidRPr="00344AE1">
        <w:rPr>
          <w:sz w:val="22"/>
          <w:szCs w:val="22"/>
          <w:lang w:val="en-US"/>
        </w:rPr>
        <w:t>]</w:t>
      </w:r>
      <w:r>
        <w:rPr>
          <w:sz w:val="22"/>
          <w:szCs w:val="22"/>
          <w:lang w:val="en-US"/>
        </w:rPr>
        <w:t xml:space="preserve"> </w:t>
      </w:r>
      <w:r w:rsidRPr="00F912F7">
        <w:rPr>
          <w:sz w:val="22"/>
          <w:szCs w:val="22"/>
        </w:rPr>
        <w:t xml:space="preserve">OECD (2020), </w:t>
      </w:r>
      <w:r w:rsidRPr="00F912F7">
        <w:rPr>
          <w:i/>
          <w:iCs/>
          <w:sz w:val="22"/>
          <w:szCs w:val="22"/>
        </w:rPr>
        <w:t>How's Life? 2020: Measuring Well-being</w:t>
      </w:r>
      <w:r w:rsidRPr="00F912F7">
        <w:rPr>
          <w:sz w:val="22"/>
          <w:szCs w:val="22"/>
        </w:rPr>
        <w:t xml:space="preserve">, </w:t>
      </w:r>
      <w:r>
        <w:rPr>
          <w:sz w:val="22"/>
          <w:szCs w:val="22"/>
        </w:rPr>
        <w:t xml:space="preserve">Paris, </w:t>
      </w:r>
      <w:r w:rsidRPr="00F912F7">
        <w:rPr>
          <w:sz w:val="22"/>
          <w:szCs w:val="22"/>
        </w:rPr>
        <w:t>OECD Publishing</w:t>
      </w:r>
      <w:r>
        <w:rPr>
          <w:sz w:val="22"/>
          <w:szCs w:val="22"/>
        </w:rPr>
        <w:t>.</w:t>
      </w:r>
    </w:p>
    <w:sectPr w:rsidR="00F912F7" w:rsidRPr="00F912F7" w:rsidSect="00BC6AFE">
      <w:footerReference w:type="default" r:id="rId18"/>
      <w:headerReference w:type="first" r:id="rId19"/>
      <w:footerReference w:type="first" r:id="rId20"/>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DF40A" w14:textId="77777777" w:rsidR="0021727F" w:rsidRDefault="0021727F" w:rsidP="00BC6AFE">
      <w:pPr>
        <w:spacing w:after="0"/>
      </w:pPr>
      <w:r>
        <w:separator/>
      </w:r>
    </w:p>
  </w:endnote>
  <w:endnote w:type="continuationSeparator" w:id="0">
    <w:p w14:paraId="04BC86B9" w14:textId="77777777" w:rsidR="0021727F" w:rsidRDefault="0021727F"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B27A" w14:textId="77777777" w:rsidR="00D24082" w:rsidRDefault="00D24082">
    <w:pPr>
      <w:pStyle w:val="Footer"/>
      <w:jc w:val="center"/>
    </w:pPr>
    <w:r>
      <w:fldChar w:fldCharType="begin"/>
    </w:r>
    <w:r>
      <w:instrText>PAGE</w:instrText>
    </w:r>
    <w:r>
      <w:fldChar w:fldCharType="separate"/>
    </w:r>
    <w:r w:rsidR="00B3641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5EB2C" w14:textId="77777777" w:rsidR="00D24082" w:rsidRDefault="00D24082">
    <w:pPr>
      <w:pStyle w:val="Footer"/>
      <w:rPr>
        <w:sz w:val="24"/>
        <w:szCs w:val="24"/>
      </w:rPr>
    </w:pPr>
  </w:p>
  <w:p w14:paraId="563C0173"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57108C64" w14:textId="77777777" w:rsidR="00D24082" w:rsidRDefault="00D24082">
    <w:pPr>
      <w:pStyle w:val="Footer"/>
    </w:pPr>
  </w:p>
  <w:p w14:paraId="30E6BC95" w14:textId="77777777" w:rsidR="00D24082" w:rsidRDefault="00D24082">
    <w:pPr>
      <w:pStyle w:val="Footer"/>
    </w:pPr>
    <w:r>
      <w:t>http://epp.eurostat.ec.europa.eu</w:t>
    </w:r>
  </w:p>
  <w:p w14:paraId="1EDD7B52"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1F972" w14:textId="77777777" w:rsidR="0021727F" w:rsidRDefault="0021727F" w:rsidP="00BC6AFE">
      <w:pPr>
        <w:spacing w:after="0"/>
      </w:pPr>
      <w:r>
        <w:separator/>
      </w:r>
    </w:p>
  </w:footnote>
  <w:footnote w:type="continuationSeparator" w:id="0">
    <w:p w14:paraId="5E1311F4" w14:textId="77777777" w:rsidR="0021727F" w:rsidRDefault="0021727F"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3E942"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0NDS2MDMxMjYyNjRT0lEKTi0uzszPAykwrwUAP5fYNCwAAAA="/>
    <w:docVar w:name="LW_DocType" w:val="NOT"/>
  </w:docVars>
  <w:rsids>
    <w:rsidRoot w:val="003E645E"/>
    <w:rsid w:val="00025034"/>
    <w:rsid w:val="000642A1"/>
    <w:rsid w:val="000D53D7"/>
    <w:rsid w:val="000D5B3D"/>
    <w:rsid w:val="000D72B0"/>
    <w:rsid w:val="000F7438"/>
    <w:rsid w:val="00127067"/>
    <w:rsid w:val="001857CF"/>
    <w:rsid w:val="001B50CE"/>
    <w:rsid w:val="001C6A6E"/>
    <w:rsid w:val="001F0C21"/>
    <w:rsid w:val="002012A8"/>
    <w:rsid w:val="00212496"/>
    <w:rsid w:val="0021727F"/>
    <w:rsid w:val="0022594A"/>
    <w:rsid w:val="00243A2C"/>
    <w:rsid w:val="002513CD"/>
    <w:rsid w:val="002D0347"/>
    <w:rsid w:val="002E0D97"/>
    <w:rsid w:val="002F38DF"/>
    <w:rsid w:val="00323605"/>
    <w:rsid w:val="00332D6F"/>
    <w:rsid w:val="00344AE1"/>
    <w:rsid w:val="0036237A"/>
    <w:rsid w:val="003651D7"/>
    <w:rsid w:val="00372FC1"/>
    <w:rsid w:val="00387E81"/>
    <w:rsid w:val="0039346C"/>
    <w:rsid w:val="003C57C5"/>
    <w:rsid w:val="003D30B8"/>
    <w:rsid w:val="003E1FC0"/>
    <w:rsid w:val="003E645E"/>
    <w:rsid w:val="003E7009"/>
    <w:rsid w:val="003F216E"/>
    <w:rsid w:val="004443F8"/>
    <w:rsid w:val="0047628C"/>
    <w:rsid w:val="004C5901"/>
    <w:rsid w:val="004E318F"/>
    <w:rsid w:val="00516A57"/>
    <w:rsid w:val="00547048"/>
    <w:rsid w:val="00573E28"/>
    <w:rsid w:val="00586088"/>
    <w:rsid w:val="005B4EA5"/>
    <w:rsid w:val="005E5A76"/>
    <w:rsid w:val="00622D9B"/>
    <w:rsid w:val="006312AF"/>
    <w:rsid w:val="00637F12"/>
    <w:rsid w:val="00675B1F"/>
    <w:rsid w:val="006875D6"/>
    <w:rsid w:val="006973B5"/>
    <w:rsid w:val="006B370D"/>
    <w:rsid w:val="006F71F1"/>
    <w:rsid w:val="00701C30"/>
    <w:rsid w:val="007232E7"/>
    <w:rsid w:val="007413DA"/>
    <w:rsid w:val="00741CF0"/>
    <w:rsid w:val="007707A8"/>
    <w:rsid w:val="0079168A"/>
    <w:rsid w:val="00794B24"/>
    <w:rsid w:val="007F7299"/>
    <w:rsid w:val="00820BDC"/>
    <w:rsid w:val="00855C55"/>
    <w:rsid w:val="008847C3"/>
    <w:rsid w:val="00887318"/>
    <w:rsid w:val="008A75D0"/>
    <w:rsid w:val="008E29ED"/>
    <w:rsid w:val="00915385"/>
    <w:rsid w:val="00923850"/>
    <w:rsid w:val="0096390A"/>
    <w:rsid w:val="00970E24"/>
    <w:rsid w:val="009A41E5"/>
    <w:rsid w:val="009B4EE0"/>
    <w:rsid w:val="00A06DA5"/>
    <w:rsid w:val="00A17E8C"/>
    <w:rsid w:val="00A9272E"/>
    <w:rsid w:val="00A97848"/>
    <w:rsid w:val="00AB4423"/>
    <w:rsid w:val="00B3641F"/>
    <w:rsid w:val="00B80F39"/>
    <w:rsid w:val="00B9492F"/>
    <w:rsid w:val="00BC17F5"/>
    <w:rsid w:val="00BC6AFE"/>
    <w:rsid w:val="00C14805"/>
    <w:rsid w:val="00CD4620"/>
    <w:rsid w:val="00D11E2A"/>
    <w:rsid w:val="00D24082"/>
    <w:rsid w:val="00D26398"/>
    <w:rsid w:val="00D340ED"/>
    <w:rsid w:val="00D52EA1"/>
    <w:rsid w:val="00D57D33"/>
    <w:rsid w:val="00DB601E"/>
    <w:rsid w:val="00DE03C0"/>
    <w:rsid w:val="00E05E2A"/>
    <w:rsid w:val="00E45442"/>
    <w:rsid w:val="00EA2296"/>
    <w:rsid w:val="00EB2A62"/>
    <w:rsid w:val="00EE0B53"/>
    <w:rsid w:val="00EF5068"/>
    <w:rsid w:val="00F376DC"/>
    <w:rsid w:val="00F5285B"/>
    <w:rsid w:val="00F66A4D"/>
    <w:rsid w:val="00F912F7"/>
    <w:rsid w:val="00F9304E"/>
    <w:rsid w:val="00FF67B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6CECF"/>
  <w15:chartTrackingRefBased/>
  <w15:docId w15:val="{7A7487DF-426E-441D-90FA-B1886112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5068"/>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3C57C5"/>
    <w:pPr>
      <w:ind w:left="720"/>
      <w:contextualSpacing/>
    </w:pPr>
  </w:style>
  <w:style w:type="character" w:customStyle="1" w:styleId="a-size-large">
    <w:name w:val="a-size-large"/>
    <w:basedOn w:val="DefaultParagraphFont"/>
    <w:rsid w:val="00E05E2A"/>
  </w:style>
  <w:style w:type="paragraph" w:styleId="BalloonText">
    <w:name w:val="Balloon Text"/>
    <w:basedOn w:val="Normal"/>
    <w:link w:val="BalloonTextChar"/>
    <w:uiPriority w:val="99"/>
    <w:semiHidden/>
    <w:unhideWhenUsed/>
    <w:rsid w:val="004C59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90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nof\Downloads\NTTS2021_Abstrac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78E9541D-A090-404D-AADE-0E9F1C1986A1}">
  <ds:schemaRefs>
    <ds:schemaRef ds:uri="http://schemas.openxmlformats.org/officeDocument/2006/bibliography"/>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502162AC-773B-4BAB-A035-07FB7E4FB26B}">
  <ds:schemaRefs/>
</ds:datastoreItem>
</file>

<file path=docProps/app.xml><?xml version="1.0" encoding="utf-8"?>
<Properties xmlns="http://schemas.openxmlformats.org/officeDocument/2006/extended-properties" xmlns:vt="http://schemas.openxmlformats.org/officeDocument/2006/docPropsVTypes">
  <Template>NTTS2021_Abstract_template</Template>
  <TotalTime>324</TotalTime>
  <Pages>4</Pages>
  <Words>1201</Words>
  <Characters>6488</Characters>
  <Application>Microsoft Office Word</Application>
  <DocSecurity>0</DocSecurity>
  <PresentationFormat>Microsoft Word 14.0</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Nunes</dc:creator>
  <cp:keywords>EL4</cp:keywords>
  <cp:lastModifiedBy>Nuno Nunes</cp:lastModifiedBy>
  <cp:revision>33</cp:revision>
  <cp:lastPrinted>2020-10-10T14:18:00Z</cp:lastPrinted>
  <dcterms:created xsi:type="dcterms:W3CDTF">2020-10-10T09:20:00Z</dcterms:created>
  <dcterms:modified xsi:type="dcterms:W3CDTF">2020-10-14T19:33:00Z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