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70ED" w14:textId="1A5612D5" w:rsidR="00E033D7" w:rsidRDefault="00E033D7" w:rsidP="00BC6AFE">
      <w:pPr>
        <w:pStyle w:val="Cm"/>
      </w:pPr>
      <w:r>
        <w:t>Official statistical estimation of the effect of the online cash register to the shadow economy in Hungary</w:t>
      </w:r>
    </w:p>
    <w:p w14:paraId="6EC70422" w14:textId="0A513A96" w:rsidR="00243A2C" w:rsidRDefault="00243A2C" w:rsidP="00243A2C">
      <w:r w:rsidRPr="00243A2C">
        <w:rPr>
          <w:b/>
          <w:u w:val="single"/>
        </w:rPr>
        <w:t>Keywords</w:t>
      </w:r>
      <w:r w:rsidRPr="00243A2C">
        <w:rPr>
          <w:b/>
        </w:rPr>
        <w:t>:</w:t>
      </w:r>
      <w:r>
        <w:t xml:space="preserve"> </w:t>
      </w:r>
      <w:r w:rsidR="00F46F71">
        <w:rPr>
          <w:i/>
          <w:iCs/>
          <w:color w:val="000000"/>
          <w:szCs w:val="24"/>
        </w:rPr>
        <w:t>Value Added Tax, Tax Evasion, Shadow Economy</w:t>
      </w:r>
    </w:p>
    <w:p w14:paraId="03DB8A0B" w14:textId="77777777" w:rsidR="002012A8" w:rsidRDefault="002012A8" w:rsidP="002012A8">
      <w:pPr>
        <w:pStyle w:val="Cmsor1"/>
      </w:pPr>
      <w:r>
        <w:t>Introduction</w:t>
      </w:r>
    </w:p>
    <w:p w14:paraId="3C3F46B7" w14:textId="176F7EAA" w:rsidR="00F46F71" w:rsidRDefault="00F46F71" w:rsidP="00F46F71">
      <w:r>
        <w:t>In order to reduce the shadow economy, a lot of countries tax administration everywhere around the word, introduce different kind of Electronic Fiscal Devices</w:t>
      </w:r>
      <w:r w:rsidR="00A13F7E">
        <w:t xml:space="preserve"> [1]</w:t>
      </w:r>
      <w:r>
        <w:t>. A wide variety of these technological devices can help the tax authorities to monitor business transactions. Although these techniques are used since the beginning of nineties not so much is known about their real effect.</w:t>
      </w:r>
    </w:p>
    <w:p w14:paraId="184B799A" w14:textId="62889E70" w:rsidR="001B50CE" w:rsidRPr="00BC6AFE" w:rsidRDefault="00F46F71" w:rsidP="00F46F71">
      <w:r>
        <w:t>In 2014 the Hungarian government introduced mandatory online cash registers (OCR), which are special Electronic Fiscal Devices, in some sectors. As a result, almost 200,000 OCRs have been installed by 100,000 enterprises. In the paper we use micro data to estimate the effect of OCR introduction on reported turnover in the most affected sectors: retail, and accommodation and food services (AFS). We assume that OCR installation does not change a company’s operating model, so the increase in reported turnover around the installation date reflects a reduction in the shadow economy.</w:t>
      </w:r>
    </w:p>
    <w:p w14:paraId="5D2B975D" w14:textId="77777777" w:rsidR="00BC6AFE" w:rsidRDefault="00BC6AFE" w:rsidP="00BC6AFE">
      <w:pPr>
        <w:pStyle w:val="Cmsor1"/>
      </w:pPr>
      <w:r>
        <w:t>Methods</w:t>
      </w:r>
    </w:p>
    <w:p w14:paraId="38D69BA9" w14:textId="5CF51A9C" w:rsidR="00DB1138" w:rsidRPr="003253B0" w:rsidRDefault="00DB1138" w:rsidP="00DB1138">
      <w:pPr>
        <w:spacing w:after="120"/>
        <w:rPr>
          <w:szCs w:val="24"/>
        </w:rPr>
      </w:pPr>
      <w:r>
        <w:rPr>
          <w:color w:val="000000"/>
          <w:szCs w:val="24"/>
        </w:rPr>
        <w:t>To identify the effect of the introduction of online cash registers we</w:t>
      </w:r>
      <w:r w:rsidRPr="003253B0">
        <w:rPr>
          <w:color w:val="000000"/>
          <w:szCs w:val="24"/>
        </w:rPr>
        <w:t xml:space="preserve"> exploiting the heterogeneity in installation dates, and estimate the following panel econometric model with company and time fixed effects:</w:t>
      </w:r>
    </w:p>
    <w:p w14:paraId="1C1E751E" w14:textId="66FAEABC" w:rsidR="00DB1138" w:rsidRPr="009A49D5" w:rsidRDefault="005812F1" w:rsidP="00DB1138">
      <w:pPr>
        <w:spacing w:after="120"/>
        <w:jc w:val="center"/>
        <w:rPr>
          <w:szCs w:val="24"/>
        </w:rPr>
      </w:pPr>
      <m:oMathPara>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0</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sSub>
            <m:sSubPr>
              <m:ctrlPr>
                <w:rPr>
                  <w:rFonts w:ascii="Cambria Math" w:hAnsi="Cambria Math"/>
                  <w:i/>
                  <w:szCs w:val="24"/>
                </w:rPr>
              </m:ctrlPr>
            </m:sSubPr>
            <m:e>
              <m:r>
                <w:rPr>
                  <w:rFonts w:ascii="Cambria Math" w:hAnsi="Cambria Math"/>
                  <w:szCs w:val="24"/>
                </w:rPr>
                <m:t>o</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β</m:t>
              </m:r>
            </m:e>
            <m:sub>
              <m:r>
                <w:rPr>
                  <w:rFonts w:ascii="Cambria Math" w:hAnsi="Cambria Math"/>
                  <w:szCs w:val="24"/>
                </w:rPr>
                <m:t>2</m:t>
              </m:r>
            </m:sub>
          </m:sSub>
          <m:sSub>
            <m:sSubPr>
              <m:ctrlPr>
                <w:rPr>
                  <w:rFonts w:ascii="Cambria Math" w:hAnsi="Cambria Math"/>
                  <w:i/>
                  <w:szCs w:val="24"/>
                </w:rPr>
              </m:ctrlPr>
            </m:sSubPr>
            <m:e>
              <m:r>
                <w:rPr>
                  <w:rFonts w:ascii="Cambria Math" w:hAnsi="Cambria Math"/>
                  <w:szCs w:val="24"/>
                </w:rPr>
                <m:t>w</m:t>
              </m:r>
            </m:e>
            <m:sub>
              <m:r>
                <w:rPr>
                  <w:rFonts w:ascii="Cambria Math" w:hAnsi="Cambria Math"/>
                  <w:szCs w:val="24"/>
                </w:rPr>
                <m:t>i,t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γ</m:t>
              </m:r>
            </m:e>
            <m:sub>
              <m:r>
                <w:rPr>
                  <w:rFonts w:ascii="Cambria Math" w:hAnsi="Cambria Math"/>
                  <w:szCs w:val="24"/>
                </w:rPr>
                <m:t>t</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ε</m:t>
              </m:r>
            </m:e>
            <m:sub>
              <m:r>
                <w:rPr>
                  <w:rFonts w:ascii="Cambria Math" w:hAnsi="Cambria Math"/>
                  <w:szCs w:val="24"/>
                </w:rPr>
                <m:t>i,t</m:t>
              </m:r>
            </m:sub>
          </m:sSub>
        </m:oMath>
      </m:oMathPara>
    </w:p>
    <w:p w14:paraId="577FC7C1" w14:textId="77777777" w:rsidR="00DB1138" w:rsidRPr="003253B0" w:rsidRDefault="00DB1138" w:rsidP="00DB1138">
      <w:pPr>
        <w:spacing w:after="120"/>
        <w:rPr>
          <w:szCs w:val="24"/>
        </w:rPr>
      </w:pPr>
      <w:r w:rsidRPr="003253B0">
        <w:rPr>
          <w:color w:val="000000"/>
          <w:szCs w:val="24"/>
        </w:rPr>
        <w:t>where</w:t>
      </w:r>
    </w:p>
    <w:p w14:paraId="5C1F185E" w14:textId="389FFD68" w:rsidR="00DB1138" w:rsidRPr="003253B0" w:rsidRDefault="005812F1" w:rsidP="00DB1138">
      <w:pPr>
        <w:spacing w:after="0"/>
        <w:rPr>
          <w:szCs w:val="24"/>
        </w:rPr>
      </w:pPr>
      <m:oMath>
        <m:sSub>
          <m:sSubPr>
            <m:ctrlPr>
              <w:rPr>
                <w:rFonts w:ascii="Cambria Math" w:hAnsi="Cambria Math"/>
                <w:i/>
                <w:szCs w:val="24"/>
              </w:rPr>
            </m:ctrlPr>
          </m:sSubPr>
          <m:e>
            <m:r>
              <w:rPr>
                <w:rFonts w:ascii="Cambria Math" w:hAnsi="Cambria Math"/>
                <w:szCs w:val="24"/>
              </w:rPr>
              <m:t>y</m:t>
            </m:r>
          </m:e>
          <m:sub>
            <m:r>
              <w:rPr>
                <w:rFonts w:ascii="Cambria Math" w:hAnsi="Cambria Math"/>
                <w:szCs w:val="24"/>
              </w:rPr>
              <m:t>i,t</m:t>
            </m:r>
          </m:sub>
        </m:sSub>
      </m:oMath>
      <w:r w:rsidR="00DB1138" w:rsidRPr="003253B0">
        <w:rPr>
          <w:color w:val="000000"/>
          <w:szCs w:val="24"/>
        </w:rPr>
        <w:t xml:space="preserve"> is the log reported turnover of the </w:t>
      </w:r>
      <m:oMath>
        <m:r>
          <w:rPr>
            <w:rFonts w:ascii="Cambria Math" w:hAnsi="Cambria Math"/>
            <w:color w:val="000000"/>
            <w:szCs w:val="24"/>
          </w:rPr>
          <m:t>i</m:t>
        </m:r>
      </m:oMath>
      <w:r w:rsidR="00DB1138" w:rsidRPr="003253B0">
        <w:rPr>
          <w:color w:val="000000"/>
          <w:szCs w:val="24"/>
        </w:rPr>
        <w:t xml:space="preserve">th company at quarter </w:t>
      </w:r>
      <m:oMath>
        <m:r>
          <w:rPr>
            <w:rFonts w:ascii="Cambria Math" w:hAnsi="Cambria Math"/>
            <w:color w:val="000000"/>
            <w:szCs w:val="24"/>
          </w:rPr>
          <m:t>t</m:t>
        </m:r>
      </m:oMath>
      <w:r w:rsidR="00DB1138" w:rsidRPr="003253B0">
        <w:rPr>
          <w:color w:val="000000"/>
          <w:szCs w:val="24"/>
        </w:rPr>
        <w:t>;</w:t>
      </w:r>
    </w:p>
    <w:p w14:paraId="2FF6C583" w14:textId="24D01C62" w:rsidR="00DB1138" w:rsidRPr="003253B0" w:rsidRDefault="005812F1" w:rsidP="00DB1138">
      <w:pPr>
        <w:spacing w:after="0"/>
        <w:rPr>
          <w:color w:val="000000"/>
          <w:szCs w:val="24"/>
        </w:rPr>
      </w:pPr>
      <m:oMath>
        <m:sSub>
          <m:sSubPr>
            <m:ctrlPr>
              <w:rPr>
                <w:rFonts w:ascii="Cambria Math" w:hAnsi="Cambria Math"/>
                <w:i/>
                <w:szCs w:val="24"/>
              </w:rPr>
            </m:ctrlPr>
          </m:sSubPr>
          <m:e>
            <m:r>
              <w:rPr>
                <w:rFonts w:ascii="Cambria Math" w:hAnsi="Cambria Math"/>
                <w:szCs w:val="24"/>
              </w:rPr>
              <m:t>o</m:t>
            </m:r>
          </m:e>
          <m:sub>
            <m:r>
              <w:rPr>
                <w:rFonts w:ascii="Cambria Math" w:hAnsi="Cambria Math"/>
                <w:szCs w:val="24"/>
              </w:rPr>
              <m:t>i,t</m:t>
            </m:r>
          </m:sub>
        </m:sSub>
      </m:oMath>
      <w:r w:rsidR="00DB1138" w:rsidRPr="003253B0">
        <w:rPr>
          <w:color w:val="000000"/>
          <w:szCs w:val="24"/>
        </w:rPr>
        <w:t xml:space="preserve"> is the OCR dummy, 1 if the company </w:t>
      </w:r>
      <w:r w:rsidR="00DB1138" w:rsidRPr="003253B0">
        <w:rPr>
          <w:i/>
          <w:color w:val="000000"/>
          <w:szCs w:val="24"/>
        </w:rPr>
        <w:t>i</w:t>
      </w:r>
      <w:r w:rsidR="00DB1138" w:rsidRPr="003253B0">
        <w:rPr>
          <w:color w:val="000000"/>
          <w:szCs w:val="24"/>
        </w:rPr>
        <w:t xml:space="preserve"> has at least one operating OCR in quarter </w:t>
      </w:r>
      <w:r w:rsidR="00DB1138" w:rsidRPr="003253B0">
        <w:rPr>
          <w:i/>
          <w:color w:val="000000"/>
          <w:szCs w:val="24"/>
        </w:rPr>
        <w:t>t</w:t>
      </w:r>
      <w:r w:rsidR="00DB1138" w:rsidRPr="003253B0">
        <w:rPr>
          <w:color w:val="000000"/>
          <w:szCs w:val="24"/>
        </w:rPr>
        <w:t xml:space="preserve"> and 0 otherwise;</w:t>
      </w:r>
    </w:p>
    <w:p w14:paraId="2903F3A1" w14:textId="2405E2F6" w:rsidR="00DB1138" w:rsidRPr="003253B0" w:rsidRDefault="005812F1" w:rsidP="00DB1138">
      <w:pPr>
        <w:spacing w:after="0"/>
        <w:rPr>
          <w:szCs w:val="24"/>
        </w:rPr>
      </w:pPr>
      <m:oMath>
        <m:sSub>
          <m:sSubPr>
            <m:ctrlPr>
              <w:rPr>
                <w:rFonts w:ascii="Cambria Math" w:hAnsi="Cambria Math"/>
                <w:i/>
                <w:szCs w:val="24"/>
              </w:rPr>
            </m:ctrlPr>
          </m:sSubPr>
          <m:e>
            <m:r>
              <w:rPr>
                <w:rFonts w:ascii="Cambria Math" w:hAnsi="Cambria Math"/>
                <w:szCs w:val="24"/>
              </w:rPr>
              <m:t>w</m:t>
            </m:r>
          </m:e>
          <m:sub>
            <m:r>
              <w:rPr>
                <w:rFonts w:ascii="Cambria Math" w:hAnsi="Cambria Math"/>
                <w:szCs w:val="24"/>
              </w:rPr>
              <m:t>i,t</m:t>
            </m:r>
          </m:sub>
        </m:sSub>
      </m:oMath>
      <w:r w:rsidR="00DB1138" w:rsidRPr="003253B0">
        <w:rPr>
          <w:szCs w:val="24"/>
        </w:rPr>
        <w:t xml:space="preserve"> is the log reported total wage cost for company </w:t>
      </w:r>
      <w:r w:rsidR="00DB1138" w:rsidRPr="003253B0">
        <w:rPr>
          <w:i/>
          <w:szCs w:val="24"/>
        </w:rPr>
        <w:t>i</w:t>
      </w:r>
      <w:r w:rsidR="00DB1138" w:rsidRPr="003253B0">
        <w:rPr>
          <w:szCs w:val="24"/>
        </w:rPr>
        <w:t xml:space="preserve"> in quarter </w:t>
      </w:r>
      <w:r w:rsidR="00DB1138" w:rsidRPr="003253B0">
        <w:rPr>
          <w:i/>
          <w:szCs w:val="24"/>
        </w:rPr>
        <w:t>t</w:t>
      </w:r>
      <w:r w:rsidR="00DB1138" w:rsidRPr="003253B0">
        <w:rPr>
          <w:szCs w:val="24"/>
        </w:rPr>
        <w:t>. This variable is taken from the yearly CIT return, so its value is fixed in all four quarters of the year;</w:t>
      </w:r>
    </w:p>
    <w:p w14:paraId="17A63471" w14:textId="21DDF79A" w:rsidR="00DB1138" w:rsidRPr="003253B0" w:rsidRDefault="005812F1" w:rsidP="00DB1138">
      <w:pPr>
        <w:spacing w:after="0"/>
        <w:rPr>
          <w:szCs w:val="24"/>
        </w:rPr>
      </w:pPr>
      <m:oMath>
        <m:sSub>
          <m:sSubPr>
            <m:ctrlPr>
              <w:rPr>
                <w:rFonts w:ascii="Cambria Math" w:hAnsi="Cambria Math"/>
                <w:i/>
                <w:szCs w:val="24"/>
              </w:rPr>
            </m:ctrlPr>
          </m:sSubPr>
          <m:e>
            <m:r>
              <w:rPr>
                <w:rFonts w:ascii="Cambria Math" w:hAnsi="Cambria Math"/>
                <w:szCs w:val="24"/>
              </w:rPr>
              <m:t>γ</m:t>
            </m:r>
          </m:e>
          <m:sub>
            <m:r>
              <w:rPr>
                <w:rFonts w:ascii="Cambria Math" w:hAnsi="Cambria Math"/>
                <w:szCs w:val="24"/>
              </w:rPr>
              <m:t>t</m:t>
            </m:r>
          </m:sub>
        </m:sSub>
      </m:oMath>
      <w:r w:rsidR="00DB1138" w:rsidRPr="003253B0">
        <w:rPr>
          <w:szCs w:val="24"/>
        </w:rPr>
        <w:t xml:space="preserve"> time fixed effect at </w:t>
      </w:r>
      <w:r w:rsidR="00DB1138" w:rsidRPr="003253B0">
        <w:rPr>
          <w:color w:val="000000"/>
          <w:szCs w:val="24"/>
        </w:rPr>
        <w:t xml:space="preserve">quarter </w:t>
      </w:r>
      <m:oMath>
        <m:r>
          <w:rPr>
            <w:rFonts w:ascii="Cambria Math" w:hAnsi="Cambria Math"/>
            <w:color w:val="000000"/>
            <w:szCs w:val="24"/>
          </w:rPr>
          <m:t>t</m:t>
        </m:r>
      </m:oMath>
      <w:r w:rsidR="00DB1138" w:rsidRPr="003253B0">
        <w:rPr>
          <w:color w:val="000000"/>
          <w:szCs w:val="24"/>
        </w:rPr>
        <w:t>;</w:t>
      </w:r>
    </w:p>
    <w:p w14:paraId="5E369B6E" w14:textId="7716FE6D" w:rsidR="00DB1138" w:rsidRPr="003253B0" w:rsidRDefault="005812F1" w:rsidP="00DB1138">
      <w:pPr>
        <w:spacing w:after="0"/>
        <w:rPr>
          <w:szCs w:val="24"/>
        </w:rPr>
      </w:pPr>
      <m:oMath>
        <m:sSub>
          <m:sSubPr>
            <m:ctrlPr>
              <w:rPr>
                <w:rFonts w:ascii="Cambria Math" w:hAnsi="Cambria Math"/>
                <w:i/>
                <w:szCs w:val="24"/>
              </w:rPr>
            </m:ctrlPr>
          </m:sSubPr>
          <m:e>
            <m:r>
              <w:rPr>
                <w:rFonts w:ascii="Cambria Math" w:hAnsi="Cambria Math"/>
                <w:szCs w:val="24"/>
              </w:rPr>
              <m:t>δ</m:t>
            </m:r>
          </m:e>
          <m:sub>
            <m:r>
              <w:rPr>
                <w:rFonts w:ascii="Cambria Math" w:hAnsi="Cambria Math"/>
                <w:szCs w:val="24"/>
              </w:rPr>
              <m:t>i</m:t>
            </m:r>
          </m:sub>
        </m:sSub>
      </m:oMath>
      <w:r w:rsidR="00DB1138" w:rsidRPr="003253B0">
        <w:rPr>
          <w:szCs w:val="24"/>
        </w:rPr>
        <w:t xml:space="preserve"> company fixed effect for the </w:t>
      </w:r>
      <m:oMath>
        <m:r>
          <w:rPr>
            <w:rFonts w:ascii="Cambria Math" w:hAnsi="Cambria Math"/>
            <w:color w:val="000000"/>
            <w:szCs w:val="24"/>
          </w:rPr>
          <m:t>i</m:t>
        </m:r>
      </m:oMath>
      <w:r w:rsidR="00DB1138" w:rsidRPr="003253B0">
        <w:rPr>
          <w:color w:val="000000"/>
          <w:szCs w:val="24"/>
        </w:rPr>
        <w:t>th company</w:t>
      </w:r>
      <w:r w:rsidR="00DB1138" w:rsidRPr="003253B0">
        <w:rPr>
          <w:szCs w:val="24"/>
        </w:rPr>
        <w:t>;</w:t>
      </w:r>
    </w:p>
    <w:p w14:paraId="6FF5B6A1" w14:textId="19CF8012" w:rsidR="00DB1138" w:rsidRPr="003253B0" w:rsidRDefault="005812F1" w:rsidP="00DB1138">
      <w:pPr>
        <w:spacing w:after="120"/>
        <w:rPr>
          <w:szCs w:val="24"/>
        </w:rPr>
      </w:pPr>
      <m:oMath>
        <m:sSub>
          <m:sSubPr>
            <m:ctrlPr>
              <w:rPr>
                <w:rFonts w:ascii="Cambria Math" w:hAnsi="Cambria Math"/>
                <w:i/>
                <w:szCs w:val="24"/>
              </w:rPr>
            </m:ctrlPr>
          </m:sSubPr>
          <m:e>
            <m:r>
              <w:rPr>
                <w:rFonts w:ascii="Cambria Math" w:hAnsi="Cambria Math"/>
                <w:szCs w:val="24"/>
              </w:rPr>
              <m:t>ε</m:t>
            </m:r>
          </m:e>
          <m:sub>
            <m:r>
              <w:rPr>
                <w:rFonts w:ascii="Cambria Math" w:hAnsi="Cambria Math"/>
                <w:szCs w:val="24"/>
              </w:rPr>
              <m:t>i,t</m:t>
            </m:r>
          </m:sub>
        </m:sSub>
      </m:oMath>
      <w:r w:rsidR="00DB1138" w:rsidRPr="003253B0">
        <w:rPr>
          <w:szCs w:val="24"/>
        </w:rPr>
        <w:t xml:space="preserve"> residual of the </w:t>
      </w:r>
      <m:oMath>
        <m:r>
          <w:rPr>
            <w:rFonts w:ascii="Cambria Math" w:hAnsi="Cambria Math"/>
            <w:color w:val="000000"/>
            <w:szCs w:val="24"/>
          </w:rPr>
          <m:t>i</m:t>
        </m:r>
      </m:oMath>
      <w:r w:rsidR="00DB1138" w:rsidRPr="003253B0">
        <w:rPr>
          <w:color w:val="000000"/>
          <w:szCs w:val="24"/>
        </w:rPr>
        <w:t>th company at</w:t>
      </w:r>
      <w:r w:rsidR="00DB1138" w:rsidRPr="003253B0">
        <w:rPr>
          <w:szCs w:val="24"/>
        </w:rPr>
        <w:t xml:space="preserve"> </w:t>
      </w:r>
      <w:r w:rsidR="00DB1138" w:rsidRPr="003253B0">
        <w:rPr>
          <w:color w:val="000000"/>
          <w:szCs w:val="24"/>
        </w:rPr>
        <w:t xml:space="preserve">quarter </w:t>
      </w:r>
      <m:oMath>
        <m:r>
          <w:rPr>
            <w:rFonts w:ascii="Cambria Math" w:hAnsi="Cambria Math"/>
            <w:color w:val="000000"/>
            <w:szCs w:val="24"/>
          </w:rPr>
          <m:t>t</m:t>
        </m:r>
      </m:oMath>
      <w:r w:rsidR="00DB1138" w:rsidRPr="003253B0">
        <w:rPr>
          <w:color w:val="000000"/>
          <w:szCs w:val="24"/>
        </w:rPr>
        <w:t xml:space="preserve">. </w:t>
      </w:r>
    </w:p>
    <w:p w14:paraId="1FB1DD2A" w14:textId="0280C859" w:rsidR="00DB1138" w:rsidRPr="00BC6AFE" w:rsidRDefault="00DB1138" w:rsidP="00DB1138">
      <w:pPr>
        <w:spacing w:after="120"/>
      </w:pPr>
      <w:r w:rsidRPr="003253B0">
        <w:rPr>
          <w:szCs w:val="24"/>
        </w:rPr>
        <w:t xml:space="preserve">Our parameter of interest is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Pr="003253B0">
        <w:rPr>
          <w:szCs w:val="24"/>
        </w:rPr>
        <w:t>, which shows the relative change in reported turnover (measured in log points) after the introduction of the first OCR.</w:t>
      </w:r>
      <w:r w:rsidRPr="00DB1138">
        <w:rPr>
          <w:color w:val="000000"/>
          <w:szCs w:val="24"/>
        </w:rPr>
        <w:t xml:space="preserve"> </w:t>
      </w:r>
    </w:p>
    <w:p w14:paraId="1458EE3C" w14:textId="5505FE29" w:rsidR="00DB1138" w:rsidRPr="003253B0" w:rsidRDefault="00DB1138" w:rsidP="00DB1138">
      <w:pPr>
        <w:spacing w:after="120"/>
        <w:rPr>
          <w:szCs w:val="24"/>
        </w:rPr>
      </w:pPr>
      <w:r w:rsidRPr="003253B0">
        <w:rPr>
          <w:color w:val="000000"/>
          <w:szCs w:val="24"/>
        </w:rPr>
        <w:t>We estimated the above regression on the effects of OCR introduction separately for the two sectors and also for different firm sizes. Firm size is measured by yearly average turnover (from VAT returns) prior to OCR introduction.</w:t>
      </w:r>
    </w:p>
    <w:p w14:paraId="32B8264D" w14:textId="77777777" w:rsidR="00DB1138" w:rsidRPr="003253B0" w:rsidRDefault="00DB1138" w:rsidP="00DB1138">
      <w:pPr>
        <w:spacing w:after="120"/>
        <w:rPr>
          <w:color w:val="000000"/>
          <w:szCs w:val="24"/>
        </w:rPr>
      </w:pPr>
      <w:r w:rsidRPr="003253B0">
        <w:rPr>
          <w:color w:val="000000"/>
          <w:szCs w:val="24"/>
        </w:rPr>
        <w:t xml:space="preserve">When deciding about the number of size categories for firms, we face the following tradeoff: with more size categories we can better observe the size-specific heterogeneity, but the estimated coefficients have larger standard errors as the number of observations decreases. We tested whether the estimated OCR effects in different size categories were significantly different from each other and used this information to construct our baseline </w:t>
      </w:r>
      <w:r w:rsidRPr="003253B0">
        <w:rPr>
          <w:color w:val="000000"/>
          <w:szCs w:val="24"/>
        </w:rPr>
        <w:lastRenderedPageBreak/>
        <w:t>size categories. Specifically, we ran regressions for 20 different size categories, within each possible sector (accommodation, food services, and different industries within the retail sector). In our final specification companies are categori</w:t>
      </w:r>
      <w:r>
        <w:rPr>
          <w:color w:val="000000"/>
          <w:szCs w:val="24"/>
        </w:rPr>
        <w:t>s</w:t>
      </w:r>
      <w:r w:rsidRPr="003253B0">
        <w:rPr>
          <w:color w:val="000000"/>
          <w:szCs w:val="24"/>
        </w:rPr>
        <w:t>ed into two main sectors:</w:t>
      </w:r>
    </w:p>
    <w:p w14:paraId="5DA21BC8" w14:textId="77777777" w:rsidR="00DB1138" w:rsidRPr="003253B0" w:rsidRDefault="00DB1138" w:rsidP="00DB1138">
      <w:pPr>
        <w:pStyle w:val="Listaszerbekezds"/>
        <w:numPr>
          <w:ilvl w:val="0"/>
          <w:numId w:val="21"/>
        </w:numPr>
        <w:spacing w:after="120"/>
        <w:jc w:val="both"/>
        <w:rPr>
          <w:rFonts w:ascii="Times New Roman" w:hAnsi="Times New Roman"/>
          <w:color w:val="000000"/>
          <w:sz w:val="24"/>
          <w:szCs w:val="24"/>
          <w:lang w:val="en-GB"/>
        </w:rPr>
      </w:pPr>
      <w:r w:rsidRPr="003253B0">
        <w:rPr>
          <w:rFonts w:ascii="Times New Roman" w:hAnsi="Times New Roman"/>
          <w:color w:val="000000"/>
          <w:sz w:val="24"/>
          <w:szCs w:val="24"/>
          <w:lang w:val="en-GB"/>
        </w:rPr>
        <w:t>retail sector as a whole</w:t>
      </w:r>
      <w:r>
        <w:rPr>
          <w:rFonts w:ascii="Times New Roman" w:hAnsi="Times New Roman"/>
          <w:color w:val="000000"/>
          <w:sz w:val="24"/>
          <w:szCs w:val="24"/>
          <w:lang w:val="en-GB"/>
        </w:rPr>
        <w:t>,</w:t>
      </w:r>
    </w:p>
    <w:p w14:paraId="2F10B042" w14:textId="77777777" w:rsidR="00DB1138" w:rsidRPr="003253B0" w:rsidRDefault="00DB1138" w:rsidP="00DB1138">
      <w:pPr>
        <w:pStyle w:val="Listaszerbekezds"/>
        <w:numPr>
          <w:ilvl w:val="0"/>
          <w:numId w:val="21"/>
        </w:numPr>
        <w:spacing w:after="120"/>
        <w:jc w:val="both"/>
        <w:rPr>
          <w:rFonts w:ascii="Times New Roman" w:hAnsi="Times New Roman"/>
          <w:color w:val="000000"/>
          <w:sz w:val="24"/>
          <w:szCs w:val="24"/>
          <w:lang w:val="en-GB"/>
        </w:rPr>
      </w:pPr>
      <w:r w:rsidRPr="003253B0">
        <w:rPr>
          <w:rFonts w:ascii="Times New Roman" w:hAnsi="Times New Roman"/>
          <w:color w:val="000000"/>
          <w:sz w:val="24"/>
          <w:szCs w:val="24"/>
          <w:lang w:val="en-GB"/>
        </w:rPr>
        <w:t>accommodation and food services (AFS) sector.</w:t>
      </w:r>
    </w:p>
    <w:p w14:paraId="660E990C" w14:textId="71D59F49" w:rsidR="00DB1138" w:rsidRPr="003253B0" w:rsidRDefault="00DB1138" w:rsidP="00DB1138">
      <w:pPr>
        <w:spacing w:after="120"/>
        <w:rPr>
          <w:color w:val="000000"/>
          <w:szCs w:val="24"/>
        </w:rPr>
      </w:pPr>
      <w:r w:rsidRPr="003253B0">
        <w:rPr>
          <w:color w:val="000000"/>
          <w:szCs w:val="24"/>
        </w:rPr>
        <w:t>In terms of size categories, we divided both sectors into three categories: small, medium and large firms. This means that we estimated the model for 6 different subsamples. Small companies were in the lowest size quintile, medium companies in the second quintile, and large companies were in the third, fourth and fifth quintiles (meaning that more than half of the companies were categori</w:t>
      </w:r>
      <w:r>
        <w:rPr>
          <w:color w:val="000000"/>
          <w:szCs w:val="24"/>
        </w:rPr>
        <w:t>s</w:t>
      </w:r>
      <w:r w:rsidRPr="003253B0">
        <w:rPr>
          <w:color w:val="000000"/>
          <w:szCs w:val="24"/>
        </w:rPr>
        <w:t>ed as large). The decision to merge three quintiles into one single size category was based on estimated size-specific OCR coefficients, which were not significantly different from each other within the three largest quintiles. As the division into size quintiles was conducted separately in the two sectors, the size limits (that separat</w:t>
      </w:r>
      <w:r>
        <w:rPr>
          <w:color w:val="000000"/>
          <w:szCs w:val="24"/>
        </w:rPr>
        <w:t>e</w:t>
      </w:r>
      <w:r w:rsidRPr="003253B0">
        <w:rPr>
          <w:color w:val="000000"/>
          <w:szCs w:val="24"/>
        </w:rPr>
        <w:t xml:space="preserve"> the different size categories) were somewhat different in the two sectors. </w:t>
      </w:r>
    </w:p>
    <w:p w14:paraId="6C5AA333" w14:textId="08F4257A" w:rsidR="00BC6AFE" w:rsidRPr="00BC6AFE" w:rsidRDefault="00BC6AFE" w:rsidP="00DB1138"/>
    <w:p w14:paraId="54E7A000" w14:textId="5B95B4DA" w:rsidR="00BC6AFE" w:rsidRDefault="00BC6AFE" w:rsidP="00BC6AFE">
      <w:pPr>
        <w:pStyle w:val="Cmsor1"/>
      </w:pPr>
      <w:r>
        <w:t>Results</w:t>
      </w:r>
    </w:p>
    <w:p w14:paraId="768D3265" w14:textId="04F6FA16" w:rsidR="00C332AB" w:rsidRDefault="00C332AB" w:rsidP="00C332AB">
      <w:pPr>
        <w:spacing w:after="120"/>
        <w:rPr>
          <w:color w:val="000000"/>
          <w:szCs w:val="24"/>
        </w:rPr>
      </w:pPr>
      <w:r w:rsidRPr="003253B0">
        <w:rPr>
          <w:color w:val="000000"/>
          <w:szCs w:val="24"/>
        </w:rPr>
        <w:t xml:space="preserve">Our results show an increase in turnover after OCR introduction in all sectors and all size categories. </w:t>
      </w:r>
      <w:r>
        <w:rPr>
          <w:color w:val="000000"/>
          <w:szCs w:val="24"/>
        </w:rPr>
        <w:t xml:space="preserve">However, </w:t>
      </w:r>
      <w:r w:rsidRPr="003253B0">
        <w:rPr>
          <w:color w:val="000000"/>
          <w:szCs w:val="24"/>
        </w:rPr>
        <w:t xml:space="preserve">the sector- and size-specific OCR effects are significantly different from each other. In general, OCR effects are larger for smaller companies and in the AFS sector. In the retail sector the estimated OCR effect is not significant for large companies, but the effect is 5.4 percent and 23.0 percent for medium and small companies, respectively. In the AFS sector, the effects </w:t>
      </w:r>
      <w:r>
        <w:rPr>
          <w:color w:val="000000"/>
          <w:szCs w:val="24"/>
        </w:rPr>
        <w:t xml:space="preserve">for </w:t>
      </w:r>
      <w:r w:rsidRPr="003253B0">
        <w:rPr>
          <w:color w:val="000000"/>
          <w:szCs w:val="24"/>
        </w:rPr>
        <w:t>small, medium and large companies were 35.1 percent, 13.2 percent and 6.7 percent, respectively</w:t>
      </w:r>
      <w:r>
        <w:rPr>
          <w:color w:val="000000"/>
          <w:szCs w:val="24"/>
        </w:rPr>
        <w:t xml:space="preserve"> (Figure 1)</w:t>
      </w:r>
      <w:r w:rsidRPr="003253B0">
        <w:rPr>
          <w:color w:val="000000"/>
          <w:szCs w:val="24"/>
        </w:rPr>
        <w:t>.</w:t>
      </w:r>
    </w:p>
    <w:p w14:paraId="79B6D92E" w14:textId="472C1C64" w:rsidR="00C332AB" w:rsidRPr="00AA08D7" w:rsidRDefault="00C332AB" w:rsidP="00C332AB">
      <w:pPr>
        <w:pStyle w:val="Default"/>
        <w:jc w:val="center"/>
        <w:rPr>
          <w:szCs w:val="22"/>
          <w:lang w:val="en-US"/>
        </w:rPr>
      </w:pPr>
      <w:r w:rsidRPr="00AA08D7">
        <w:rPr>
          <w:b/>
          <w:bCs/>
          <w:szCs w:val="22"/>
          <w:lang w:val="en-US"/>
        </w:rPr>
        <w:t xml:space="preserve">Figure </w:t>
      </w:r>
      <w:r>
        <w:rPr>
          <w:b/>
          <w:bCs/>
          <w:szCs w:val="22"/>
          <w:lang w:val="en-US"/>
        </w:rPr>
        <w:t>1</w:t>
      </w:r>
    </w:p>
    <w:p w14:paraId="76B6C453" w14:textId="76C54486" w:rsidR="00C332AB" w:rsidRDefault="00C332AB" w:rsidP="00C332AB">
      <w:pPr>
        <w:jc w:val="center"/>
        <w:rPr>
          <w:rFonts w:ascii="Arial" w:hAnsi="Arial" w:cs="Arial"/>
          <w:color w:val="000000"/>
        </w:rPr>
      </w:pPr>
      <w:r w:rsidRPr="00471E1E">
        <w:rPr>
          <w:rFonts w:ascii="Arial" w:hAnsi="Arial" w:cs="Arial"/>
          <w:color w:val="000000"/>
        </w:rPr>
        <w:t xml:space="preserve">Summary of main results: estimated </w:t>
      </w:r>
      <m:oMath>
        <m:sSub>
          <m:sSubPr>
            <m:ctrlPr>
              <w:rPr>
                <w:rFonts w:ascii="Cambria Math" w:hAnsi="Cambria Math"/>
                <w:i/>
                <w:szCs w:val="24"/>
              </w:rPr>
            </m:ctrlPr>
          </m:sSubPr>
          <m:e>
            <m:r>
              <w:rPr>
                <w:rFonts w:ascii="Cambria Math" w:hAnsi="Cambria Math"/>
                <w:szCs w:val="24"/>
              </w:rPr>
              <m:t>β</m:t>
            </m:r>
          </m:e>
          <m:sub>
            <m:r>
              <w:rPr>
                <w:rFonts w:ascii="Cambria Math" w:hAnsi="Cambria Math"/>
                <w:szCs w:val="24"/>
              </w:rPr>
              <m:t>1</m:t>
            </m:r>
          </m:sub>
        </m:sSub>
      </m:oMath>
      <w:r w:rsidR="009A49D5">
        <w:rPr>
          <w:rFonts w:ascii="Arial" w:hAnsi="Arial" w:cs="Arial"/>
          <w:color w:val="000000"/>
        </w:rPr>
        <w:t xml:space="preserve"> </w:t>
      </w:r>
      <w:r w:rsidRPr="00471E1E">
        <w:rPr>
          <w:rFonts w:ascii="Arial" w:hAnsi="Arial" w:cs="Arial"/>
          <w:color w:val="000000"/>
        </w:rPr>
        <w:t xml:space="preserve">coefficients and their 95% confidence intervals </w:t>
      </w:r>
    </w:p>
    <w:p w14:paraId="21D34E05" w14:textId="1D4BFB33" w:rsidR="00C332AB" w:rsidRPr="003253B0" w:rsidRDefault="009A49D5" w:rsidP="00C332AB">
      <w:pPr>
        <w:spacing w:after="120"/>
        <w:jc w:val="center"/>
        <w:rPr>
          <w:color w:val="000000"/>
          <w:szCs w:val="24"/>
        </w:rPr>
      </w:pPr>
      <w:r w:rsidRPr="00BB4D42">
        <w:rPr>
          <w:noProof/>
          <w:lang w:val="en-US"/>
        </w:rPr>
        <w:drawing>
          <wp:inline distT="0" distB="0" distL="0" distR="0" wp14:anchorId="0B70982C" wp14:editId="40F54B06">
            <wp:extent cx="4533900" cy="2800350"/>
            <wp:effectExtent l="0" t="0" r="0" b="0"/>
            <wp:docPr id="167" name="Diagra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3"/>
                    <pic:cNvPicPr>
                      <a:picLocks noChangeAspect="1" noChangeArrowheads="1"/>
                    </pic:cNvPicPr>
                  </pic:nvPicPr>
                  <pic:blipFill>
                    <a:blip r:embed="rId11">
                      <a:extLst>
                        <a:ext uri="{28A0092B-C50C-407E-A947-70E740481C1C}">
                          <a14:useLocalDpi xmlns:a14="http://schemas.microsoft.com/office/drawing/2010/main" val="0"/>
                        </a:ext>
                      </a:extLst>
                    </a:blip>
                    <a:srcRect b="-96"/>
                    <a:stretch>
                      <a:fillRect/>
                    </a:stretch>
                  </pic:blipFill>
                  <pic:spPr bwMode="auto">
                    <a:xfrm>
                      <a:off x="0" y="0"/>
                      <a:ext cx="4533900" cy="2800350"/>
                    </a:xfrm>
                    <a:prstGeom prst="rect">
                      <a:avLst/>
                    </a:prstGeom>
                    <a:noFill/>
                    <a:ln>
                      <a:noFill/>
                    </a:ln>
                  </pic:spPr>
                </pic:pic>
              </a:graphicData>
            </a:graphic>
          </wp:inline>
        </w:drawing>
      </w:r>
    </w:p>
    <w:p w14:paraId="3281F1C7" w14:textId="4CB2A5AE" w:rsidR="00C332AB" w:rsidRPr="003253B0" w:rsidRDefault="00C332AB" w:rsidP="00C332AB">
      <w:pPr>
        <w:spacing w:after="120"/>
        <w:rPr>
          <w:color w:val="000000"/>
          <w:szCs w:val="24"/>
        </w:rPr>
      </w:pPr>
      <w:r w:rsidRPr="003253B0">
        <w:rPr>
          <w:color w:val="000000"/>
          <w:szCs w:val="24"/>
        </w:rPr>
        <w:t>These findings on significantly positive turnover effects are similar to the results of other papers in the literature</w:t>
      </w:r>
      <w:r w:rsidR="00741931">
        <w:rPr>
          <w:color w:val="000000"/>
          <w:szCs w:val="24"/>
        </w:rPr>
        <w:t xml:space="preserve"> [2,3]</w:t>
      </w:r>
      <w:r w:rsidRPr="003253B0">
        <w:rPr>
          <w:color w:val="000000"/>
          <w:szCs w:val="24"/>
        </w:rPr>
        <w:t xml:space="preserve"> that use micro data to analy</w:t>
      </w:r>
      <w:r>
        <w:rPr>
          <w:color w:val="000000"/>
          <w:szCs w:val="24"/>
        </w:rPr>
        <w:t>s</w:t>
      </w:r>
      <w:r w:rsidRPr="003253B0">
        <w:rPr>
          <w:color w:val="000000"/>
          <w:szCs w:val="24"/>
        </w:rPr>
        <w:t xml:space="preserve">e the effect of EFD introduction in other countries. Some of these papers have also shown that the effect </w:t>
      </w:r>
      <w:r w:rsidRPr="004502D3">
        <w:rPr>
          <w:color w:val="000000"/>
          <w:szCs w:val="24"/>
        </w:rPr>
        <w:t xml:space="preserve">depends </w:t>
      </w:r>
      <w:r w:rsidRPr="003253B0">
        <w:rPr>
          <w:color w:val="000000"/>
          <w:szCs w:val="24"/>
        </w:rPr>
        <w:t>strongly on the size of the company, which coincides with our intuition. However, these previous calculations were not as detailed as ours.</w:t>
      </w:r>
    </w:p>
    <w:p w14:paraId="7F8E8E61" w14:textId="24FC4BEC" w:rsidR="00F7676E" w:rsidRPr="00694B07" w:rsidRDefault="00F7676E" w:rsidP="00F7676E">
      <w:pPr>
        <w:spacing w:after="120"/>
        <w:rPr>
          <w:szCs w:val="24"/>
        </w:rPr>
      </w:pPr>
      <w:r>
        <w:rPr>
          <w:color w:val="000000"/>
          <w:szCs w:val="24"/>
        </w:rPr>
        <w:lastRenderedPageBreak/>
        <w:t>Th</w:t>
      </w:r>
      <w:r w:rsidR="00A13F7E">
        <w:rPr>
          <w:color w:val="000000"/>
          <w:szCs w:val="24"/>
        </w:rPr>
        <w:t>e</w:t>
      </w:r>
      <w:r>
        <w:rPr>
          <w:color w:val="000000"/>
          <w:szCs w:val="24"/>
        </w:rPr>
        <w:t xml:space="preserve"> positive but </w:t>
      </w:r>
      <w:r w:rsidR="00A13F7E">
        <w:rPr>
          <w:color w:val="000000"/>
          <w:szCs w:val="24"/>
        </w:rPr>
        <w:t>nonsignificant</w:t>
      </w:r>
      <w:r>
        <w:rPr>
          <w:color w:val="000000"/>
          <w:szCs w:val="24"/>
        </w:rPr>
        <w:t xml:space="preserve"> </w:t>
      </w:r>
      <w:r w:rsidR="00A13F7E">
        <w:rPr>
          <w:color w:val="000000"/>
          <w:szCs w:val="24"/>
        </w:rPr>
        <w:t>coefficient</w:t>
      </w:r>
      <w:r>
        <w:rPr>
          <w:color w:val="000000"/>
          <w:szCs w:val="24"/>
        </w:rPr>
        <w:t xml:space="preserve"> </w:t>
      </w:r>
      <w:r w:rsidR="00A13F7E">
        <w:rPr>
          <w:color w:val="000000"/>
          <w:szCs w:val="24"/>
        </w:rPr>
        <w:t xml:space="preserve">for the large companies in retail sector makes hard to give and overall effect of the introduction. We also take into account the fact that not all the companies from the sectors was </w:t>
      </w:r>
      <w:r w:rsidR="00741931">
        <w:rPr>
          <w:color w:val="000000"/>
          <w:szCs w:val="24"/>
        </w:rPr>
        <w:t>needed</w:t>
      </w:r>
      <w:r w:rsidR="00A13F7E">
        <w:rPr>
          <w:color w:val="000000"/>
          <w:szCs w:val="24"/>
        </w:rPr>
        <w:t xml:space="preserve"> to introduce the OPGs. </w:t>
      </w:r>
      <w:r w:rsidRPr="00694B07">
        <w:rPr>
          <w:color w:val="000000"/>
          <w:szCs w:val="24"/>
        </w:rPr>
        <w:t xml:space="preserve">Keeping in mind these limitations, we present our best estimates for the magnitude of the total OCR effect. In order to assess the overall aggregate effect of OCR introduction </w:t>
      </w:r>
      <w:r>
        <w:rPr>
          <w:color w:val="000000"/>
          <w:szCs w:val="24"/>
        </w:rPr>
        <w:t xml:space="preserve">on </w:t>
      </w:r>
      <w:r w:rsidRPr="00694B07">
        <w:rPr>
          <w:color w:val="000000"/>
          <w:szCs w:val="24"/>
        </w:rPr>
        <w:t xml:space="preserve">growth </w:t>
      </w:r>
      <w:r>
        <w:rPr>
          <w:color w:val="000000"/>
          <w:szCs w:val="24"/>
        </w:rPr>
        <w:t xml:space="preserve">in </w:t>
      </w:r>
      <w:r w:rsidRPr="00694B07">
        <w:rPr>
          <w:color w:val="000000"/>
          <w:szCs w:val="24"/>
        </w:rPr>
        <w:t xml:space="preserve">turnover, we extrapolated the results we received for the estimation sample to all enterprises in the two sectors. The size categories were the same as above, for all the companies which had installed at least one OCR, and where the VAT/OCR turnover was less than 1.5. We </w:t>
      </w:r>
      <w:r>
        <w:rPr>
          <w:color w:val="000000"/>
          <w:szCs w:val="24"/>
        </w:rPr>
        <w:t xml:space="preserve">found </w:t>
      </w:r>
      <w:r w:rsidRPr="00694B07">
        <w:rPr>
          <w:color w:val="000000"/>
          <w:szCs w:val="24"/>
        </w:rPr>
        <w:t xml:space="preserve">that the introduction of OCRs contributed to </w:t>
      </w:r>
      <w:r>
        <w:rPr>
          <w:color w:val="000000"/>
          <w:szCs w:val="24"/>
        </w:rPr>
        <w:t xml:space="preserve">annual </w:t>
      </w:r>
      <w:r w:rsidRPr="00694B07">
        <w:rPr>
          <w:color w:val="000000"/>
          <w:szCs w:val="24"/>
        </w:rPr>
        <w:t xml:space="preserve">growth </w:t>
      </w:r>
      <w:r>
        <w:rPr>
          <w:color w:val="000000"/>
          <w:szCs w:val="24"/>
        </w:rPr>
        <w:t xml:space="preserve">in </w:t>
      </w:r>
      <w:r w:rsidRPr="00694B07">
        <w:rPr>
          <w:color w:val="000000"/>
          <w:szCs w:val="24"/>
        </w:rPr>
        <w:t>the whole retail sector by 0.4 percentage points.</w:t>
      </w:r>
    </w:p>
    <w:p w14:paraId="4AE488A0" w14:textId="77777777" w:rsidR="00A13F7E" w:rsidRPr="00694B07" w:rsidRDefault="00A13F7E" w:rsidP="00A13F7E">
      <w:pPr>
        <w:spacing w:after="120"/>
        <w:rPr>
          <w:color w:val="000000"/>
          <w:szCs w:val="24"/>
        </w:rPr>
      </w:pPr>
      <w:r w:rsidRPr="00694B07">
        <w:rPr>
          <w:color w:val="000000"/>
          <w:szCs w:val="24"/>
        </w:rPr>
        <w:t xml:space="preserve">In the AFS sector, we find that the introduction of OCRs contributed to the </w:t>
      </w:r>
      <w:r>
        <w:rPr>
          <w:color w:val="000000"/>
          <w:szCs w:val="24"/>
        </w:rPr>
        <w:t xml:space="preserve">annual </w:t>
      </w:r>
      <w:r w:rsidRPr="00694B07">
        <w:rPr>
          <w:color w:val="000000"/>
          <w:szCs w:val="24"/>
        </w:rPr>
        <w:t>growth of the sector by 4.3 percentage points. This number is also somewhat smaller than the effect in</w:t>
      </w:r>
      <w:r>
        <w:rPr>
          <w:color w:val="000000"/>
          <w:szCs w:val="24"/>
        </w:rPr>
        <w:t xml:space="preserve"> </w:t>
      </w:r>
      <w:r w:rsidRPr="00694B07">
        <w:rPr>
          <w:color w:val="000000"/>
          <w:szCs w:val="24"/>
        </w:rPr>
        <w:t>the three size categories, mainly because one third of the companies did not have to install OCR</w:t>
      </w:r>
      <w:r>
        <w:rPr>
          <w:color w:val="000000"/>
          <w:szCs w:val="24"/>
        </w:rPr>
        <w:t>s</w:t>
      </w:r>
      <w:r w:rsidRPr="00694B07">
        <w:rPr>
          <w:color w:val="000000"/>
          <w:szCs w:val="24"/>
        </w:rPr>
        <w:t xml:space="preserve"> (similarly to the retail sector).</w:t>
      </w:r>
    </w:p>
    <w:p w14:paraId="3ABE46B0" w14:textId="6306D3F7" w:rsidR="00BC6AFE" w:rsidRDefault="00BC6AFE" w:rsidP="00BC6AFE">
      <w:pPr>
        <w:pStyle w:val="Cmsor1"/>
      </w:pPr>
      <w:r>
        <w:t>Conclusions</w:t>
      </w:r>
    </w:p>
    <w:p w14:paraId="02303AE3" w14:textId="77777777" w:rsidR="00C332AB" w:rsidRDefault="00C332AB" w:rsidP="00C332AB">
      <w:pPr>
        <w:spacing w:after="120"/>
        <w:rPr>
          <w:color w:val="000000"/>
          <w:szCs w:val="24"/>
        </w:rPr>
      </w:pPr>
      <w:bookmarkStart w:id="0" w:name="_GoBack"/>
      <w:r w:rsidRPr="00363F94">
        <w:rPr>
          <w:color w:val="000000"/>
          <w:szCs w:val="24"/>
        </w:rPr>
        <w:t>We identify a remarkable effect of OCR introduction on reported turnover in both sectors. For small enterprises, reported turnover increased by 23 percent and 35.1 percent in the retail and AFS sector, respectively. We also find significant but smaller effects</w:t>
      </w:r>
      <w:r>
        <w:rPr>
          <w:color w:val="000000"/>
          <w:szCs w:val="24"/>
        </w:rPr>
        <w:t xml:space="preserve"> (5.4 and 13.2 percent)</w:t>
      </w:r>
      <w:r w:rsidRPr="00363F94">
        <w:rPr>
          <w:color w:val="000000"/>
          <w:szCs w:val="24"/>
        </w:rPr>
        <w:t xml:space="preserve"> for medium-sized enterprises in both sectors. For large companies, we only observe a significant impact in the AFS sector</w:t>
      </w:r>
      <w:r>
        <w:rPr>
          <w:color w:val="000000"/>
          <w:szCs w:val="24"/>
        </w:rPr>
        <w:t xml:space="preserve"> 6.7 percent</w:t>
      </w:r>
      <w:r w:rsidRPr="00363F94">
        <w:rPr>
          <w:color w:val="000000"/>
          <w:szCs w:val="24"/>
        </w:rPr>
        <w:t>.</w:t>
      </w:r>
      <w:r>
        <w:rPr>
          <w:color w:val="000000"/>
          <w:szCs w:val="24"/>
        </w:rPr>
        <w:t xml:space="preserve"> We also made a lot of different tests, which shows that our results are quite robust. </w:t>
      </w:r>
    </w:p>
    <w:bookmarkEnd w:id="0"/>
    <w:p w14:paraId="0F4FB650" w14:textId="77777777" w:rsidR="00C332AB" w:rsidRDefault="00C332AB" w:rsidP="00C332AB">
      <w:pPr>
        <w:pStyle w:val="Text1"/>
        <w:ind w:left="0"/>
      </w:pPr>
      <w:r>
        <w:rPr>
          <w:color w:val="000000"/>
          <w:szCs w:val="24"/>
        </w:rPr>
        <w:t>We not only measure the effect of the introduction, but also show, that these effects hardly dependent on the sector and size of the company. Our most important message is the fact that the smaller the company, the bigger the relative effect caused by the OCR on the reported turnover. These experiences can be very useful for the countries, which just planning to introduce the Electronic Fiscal Device.</w:t>
      </w:r>
    </w:p>
    <w:p w14:paraId="17FE9701" w14:textId="77777777" w:rsidR="00C332AB" w:rsidRPr="00C332AB" w:rsidRDefault="00C332AB" w:rsidP="00C332AB">
      <w:pPr>
        <w:pStyle w:val="Text1"/>
        <w:ind w:left="0"/>
      </w:pPr>
    </w:p>
    <w:p w14:paraId="5219B275" w14:textId="77777777" w:rsidR="00BC6AFE" w:rsidRDefault="00BC6AFE" w:rsidP="009B4EE0">
      <w:pPr>
        <w:pStyle w:val="Cmsor1"/>
        <w:numPr>
          <w:ilvl w:val="0"/>
          <w:numId w:val="0"/>
        </w:numPr>
        <w:ind w:left="480" w:hanging="480"/>
      </w:pPr>
      <w:r>
        <w:t>References</w:t>
      </w:r>
    </w:p>
    <w:p w14:paraId="32E7AD6B" w14:textId="5FA0E021" w:rsidR="00127067" w:rsidRPr="001B50CE" w:rsidRDefault="00A13F7E" w:rsidP="00A13F7E">
      <w:pPr>
        <w:pStyle w:val="Text1"/>
        <w:ind w:left="0"/>
        <w:rPr>
          <w:highlight w:val="yellow"/>
        </w:rPr>
      </w:pPr>
      <w:r>
        <w:rPr>
          <w:color w:val="000000"/>
          <w:szCs w:val="24"/>
        </w:rPr>
        <w:t>[1]</w:t>
      </w:r>
      <w:r>
        <w:rPr>
          <w:color w:val="000000"/>
          <w:szCs w:val="24"/>
        </w:rPr>
        <w:tab/>
      </w:r>
      <w:r w:rsidRPr="00A13F7E">
        <w:rPr>
          <w:color w:val="000000"/>
          <w:szCs w:val="24"/>
        </w:rPr>
        <w:t>OECD, 2013. “Electronic Sales Suppression: A threat to tax revenues.” Available online:</w:t>
      </w:r>
      <w:r w:rsidRPr="009018B4">
        <w:rPr>
          <w:color w:val="000000"/>
          <w:szCs w:val="24"/>
        </w:rPr>
        <w:t xml:space="preserve"> https://www.oecd.org/ctp/crime/ElectronicSalesSupression.pdf </w:t>
      </w:r>
    </w:p>
    <w:p w14:paraId="379B5A4D" w14:textId="77777777" w:rsidR="00741931" w:rsidRPr="009018B4" w:rsidRDefault="00741931" w:rsidP="00741931">
      <w:pPr>
        <w:spacing w:after="120"/>
        <w:rPr>
          <w:color w:val="000000"/>
          <w:szCs w:val="24"/>
        </w:rPr>
      </w:pPr>
      <w:r w:rsidRPr="00741931">
        <w:t>[</w:t>
      </w:r>
      <w:r>
        <w:t>2]</w:t>
      </w:r>
      <w:r>
        <w:tab/>
      </w:r>
      <w:r w:rsidRPr="009018B4">
        <w:rPr>
          <w:color w:val="000000"/>
          <w:szCs w:val="24"/>
        </w:rPr>
        <w:t xml:space="preserve">Fan Haichao </w:t>
      </w:r>
      <w:r>
        <w:rPr>
          <w:szCs w:val="24"/>
        </w:rPr>
        <w:t>and</w:t>
      </w:r>
      <w:r w:rsidRPr="009018B4">
        <w:rPr>
          <w:color w:val="000000"/>
          <w:szCs w:val="24"/>
        </w:rPr>
        <w:t xml:space="preserve"> Liu Yu </w:t>
      </w:r>
      <w:r>
        <w:rPr>
          <w:szCs w:val="24"/>
        </w:rPr>
        <w:t>and</w:t>
      </w:r>
      <w:r w:rsidRPr="009018B4">
        <w:rPr>
          <w:color w:val="000000"/>
          <w:szCs w:val="24"/>
        </w:rPr>
        <w:t xml:space="preserve"> Qian Nancy </w:t>
      </w:r>
      <w:r>
        <w:rPr>
          <w:szCs w:val="24"/>
        </w:rPr>
        <w:t>and</w:t>
      </w:r>
      <w:r w:rsidRPr="009018B4">
        <w:rPr>
          <w:color w:val="000000"/>
          <w:szCs w:val="24"/>
        </w:rPr>
        <w:t xml:space="preserve"> Wen Jaya</w:t>
      </w:r>
      <w:r>
        <w:rPr>
          <w:color w:val="000000"/>
          <w:szCs w:val="24"/>
        </w:rPr>
        <w:t>,</w:t>
      </w:r>
      <w:r w:rsidRPr="009018B4">
        <w:rPr>
          <w:color w:val="000000"/>
          <w:szCs w:val="24"/>
        </w:rPr>
        <w:t xml:space="preserve"> 2018</w:t>
      </w:r>
      <w:r>
        <w:rPr>
          <w:color w:val="000000"/>
          <w:szCs w:val="24"/>
        </w:rPr>
        <w:t>.</w:t>
      </w:r>
      <w:r w:rsidRPr="009018B4">
        <w:rPr>
          <w:color w:val="000000"/>
          <w:szCs w:val="24"/>
        </w:rPr>
        <w:t xml:space="preserve"> </w:t>
      </w:r>
      <w:r>
        <w:rPr>
          <w:color w:val="000000"/>
          <w:szCs w:val="24"/>
        </w:rPr>
        <w:t>“</w:t>
      </w:r>
      <w:r w:rsidRPr="009018B4">
        <w:rPr>
          <w:color w:val="000000"/>
          <w:szCs w:val="24"/>
        </w:rPr>
        <w:t>The Dynamic Effects of Computerized VAT Invoices on Chinese Manufacturing Firms.</w:t>
      </w:r>
      <w:r>
        <w:rPr>
          <w:color w:val="000000"/>
          <w:szCs w:val="24"/>
        </w:rPr>
        <w:t>”</w:t>
      </w:r>
      <w:r w:rsidRPr="009018B4">
        <w:rPr>
          <w:color w:val="000000"/>
          <w:szCs w:val="24"/>
        </w:rPr>
        <w:t xml:space="preserve"> NBER Working Paper No. 24414</w:t>
      </w:r>
    </w:p>
    <w:p w14:paraId="1E750F80" w14:textId="77777777" w:rsidR="00741931" w:rsidRPr="009018B4" w:rsidRDefault="00741931" w:rsidP="00741931">
      <w:pPr>
        <w:spacing w:after="120"/>
        <w:rPr>
          <w:szCs w:val="24"/>
        </w:rPr>
      </w:pPr>
      <w:r>
        <w:t>[3]</w:t>
      </w:r>
      <w:r>
        <w:tab/>
      </w:r>
      <w:r w:rsidRPr="009018B4">
        <w:rPr>
          <w:szCs w:val="24"/>
        </w:rPr>
        <w:t xml:space="preserve">Awasthi Rajul </w:t>
      </w:r>
      <w:r>
        <w:rPr>
          <w:szCs w:val="24"/>
        </w:rPr>
        <w:t>and</w:t>
      </w:r>
      <w:r w:rsidRPr="009018B4">
        <w:rPr>
          <w:szCs w:val="24"/>
        </w:rPr>
        <w:t xml:space="preserve"> Engelschalk Michael</w:t>
      </w:r>
      <w:r>
        <w:rPr>
          <w:szCs w:val="24"/>
        </w:rPr>
        <w:t>,</w:t>
      </w:r>
      <w:r w:rsidRPr="009018B4">
        <w:rPr>
          <w:szCs w:val="24"/>
        </w:rPr>
        <w:t xml:space="preserve"> 2018</w:t>
      </w:r>
      <w:r>
        <w:rPr>
          <w:szCs w:val="24"/>
        </w:rPr>
        <w:t>.</w:t>
      </w:r>
      <w:r w:rsidRPr="009018B4">
        <w:rPr>
          <w:szCs w:val="24"/>
        </w:rPr>
        <w:t xml:space="preserve"> </w:t>
      </w:r>
      <w:r>
        <w:rPr>
          <w:szCs w:val="24"/>
        </w:rPr>
        <w:t>“</w:t>
      </w:r>
      <w:r w:rsidRPr="009018B4">
        <w:rPr>
          <w:szCs w:val="24"/>
        </w:rPr>
        <w:t>Taxation and the Shadow Economy. Policy</w:t>
      </w:r>
      <w:r>
        <w:rPr>
          <w:szCs w:val="24"/>
        </w:rPr>
        <w:t>”</w:t>
      </w:r>
      <w:r w:rsidRPr="009018B4">
        <w:rPr>
          <w:szCs w:val="24"/>
        </w:rPr>
        <w:t xml:space="preserve"> Research Working Paper No. 8391, </w:t>
      </w:r>
      <w:r w:rsidRPr="009018B4">
        <w:rPr>
          <w:color w:val="000000"/>
          <w:szCs w:val="24"/>
        </w:rPr>
        <w:t>World Bank, Washington, DC</w:t>
      </w:r>
    </w:p>
    <w:p w14:paraId="545C0095" w14:textId="0BE06E3B" w:rsidR="00BC6AFE" w:rsidRPr="00741931" w:rsidRDefault="00BC6AFE" w:rsidP="00A13F7E">
      <w:pPr>
        <w:pStyle w:val="Text1"/>
        <w:ind w:left="0"/>
      </w:pPr>
    </w:p>
    <w:sectPr w:rsidR="00BC6AFE" w:rsidRPr="00741931" w:rsidSect="00BC6AFE">
      <w:footerReference w:type="default" r:id="rId12"/>
      <w:headerReference w:type="first" r:id="rId13"/>
      <w:footerReference w:type="first" r:id="rId14"/>
      <w:pgSz w:w="11906" w:h="16838" w:code="9"/>
      <w:pgMar w:top="1021" w:right="1701" w:bottom="1021" w:left="1588" w:header="601" w:footer="10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F0BA6" w14:textId="77777777" w:rsidR="00BB1987" w:rsidRDefault="00BB1987" w:rsidP="00BC6AFE">
      <w:pPr>
        <w:spacing w:after="0"/>
      </w:pPr>
      <w:r>
        <w:separator/>
      </w:r>
    </w:p>
  </w:endnote>
  <w:endnote w:type="continuationSeparator" w:id="0">
    <w:p w14:paraId="2F474D9B" w14:textId="77777777" w:rsidR="00BB1987" w:rsidRDefault="00BB1987" w:rsidP="00BC6A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BEED6" w14:textId="77777777" w:rsidR="00D24082" w:rsidRDefault="00D24082">
    <w:pPr>
      <w:pStyle w:val="llb"/>
      <w:jc w:val="center"/>
    </w:pPr>
    <w:r>
      <w:fldChar w:fldCharType="begin"/>
    </w:r>
    <w:r>
      <w:instrText>PAGE</w:instrText>
    </w:r>
    <w:r>
      <w:fldChar w:fldCharType="separate"/>
    </w:r>
    <w:r w:rsidR="005812F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CD466" w14:textId="77777777" w:rsidR="00D24082" w:rsidRDefault="00D24082">
    <w:pPr>
      <w:pStyle w:val="llb"/>
      <w:rPr>
        <w:sz w:val="24"/>
        <w:szCs w:val="24"/>
      </w:rPr>
    </w:pPr>
  </w:p>
  <w:p w14:paraId="64AD0446" w14:textId="77777777" w:rsidR="00D24082" w:rsidRDefault="00D24082">
    <w:pPr>
      <w:pStyle w:val="llb"/>
    </w:pPr>
    <w:r w:rsidRPr="00BC6AFE">
      <w:rPr>
        <w:lang w:val="fr-FR"/>
      </w:rPr>
      <w:t xml:space="preserve">Commission européenne, 2920 Luxembourg, LUXEMBOURG - Tel. </w:t>
    </w:r>
    <w:r>
      <w:t>+352 43011</w:t>
    </w:r>
    <w:r>
      <w:rPr>
        <w:noProof/>
      </w:rPr>
      <w:br/>
      <w:t>Office: BECH A2/160 - Tel. direct line +352 4301-+352-4301-35934 - Fax +352 4301-+352-4301-33899</w:t>
    </w:r>
  </w:p>
  <w:p w14:paraId="5C89EC9C" w14:textId="77777777" w:rsidR="00D24082" w:rsidRDefault="00D24082">
    <w:pPr>
      <w:pStyle w:val="llb"/>
    </w:pPr>
  </w:p>
  <w:p w14:paraId="32470E30" w14:textId="77777777" w:rsidR="00D24082" w:rsidRDefault="00D24082">
    <w:pPr>
      <w:pStyle w:val="llb"/>
    </w:pPr>
    <w:r>
      <w:t>http://epp.eurostat.ec.europa.eu</w:t>
    </w:r>
  </w:p>
  <w:p w14:paraId="6AF82864" w14:textId="77777777" w:rsidR="00D24082" w:rsidRDefault="00D24082">
    <w:pPr>
      <w:pStyle w:val="llb"/>
    </w:pPr>
    <w:r>
      <w:t>Martin.Karlberg@ec.europa.eu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C217" w14:textId="77777777" w:rsidR="00BB1987" w:rsidRDefault="00BB1987" w:rsidP="00BC6AFE">
      <w:pPr>
        <w:spacing w:after="0"/>
      </w:pPr>
      <w:r>
        <w:separator/>
      </w:r>
    </w:p>
  </w:footnote>
  <w:footnote w:type="continuationSeparator" w:id="0">
    <w:p w14:paraId="2A5DCECC" w14:textId="77777777" w:rsidR="00BB1987" w:rsidRDefault="00BB1987" w:rsidP="00BC6AF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2B18C" w14:textId="77777777" w:rsidR="00D24082" w:rsidRDefault="00D24082">
    <w:pPr>
      <w:pStyle w:val="lfej"/>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68029DA"/>
    <w:lvl w:ilvl="0">
      <w:start w:val="1"/>
      <w:numFmt w:val="decimal"/>
      <w:pStyle w:val="Szmozottlista5"/>
      <w:lvlText w:val="%1."/>
      <w:lvlJc w:val="left"/>
      <w:pPr>
        <w:tabs>
          <w:tab w:val="num" w:pos="1492"/>
        </w:tabs>
        <w:ind w:left="1492" w:hanging="360"/>
      </w:pPr>
    </w:lvl>
  </w:abstractNum>
  <w:abstractNum w:abstractNumId="1">
    <w:nsid w:val="FFFFFF80"/>
    <w:multiLevelType w:val="singleLevel"/>
    <w:tmpl w:val="1FA45650"/>
    <w:lvl w:ilvl="0">
      <w:start w:val="1"/>
      <w:numFmt w:val="bullet"/>
      <w:pStyle w:val="Felsorols5"/>
      <w:lvlText w:val=""/>
      <w:lvlJc w:val="left"/>
      <w:pPr>
        <w:tabs>
          <w:tab w:val="num" w:pos="1492"/>
        </w:tabs>
        <w:ind w:left="1492" w:hanging="360"/>
      </w:pPr>
      <w:rPr>
        <w:rFonts w:ascii="Symbol" w:hAnsi="Symbol" w:hint="default"/>
      </w:rPr>
    </w:lvl>
  </w:abstractNum>
  <w:abstractNum w:abstractNumId="2">
    <w:nsid w:val="055652B5"/>
    <w:multiLevelType w:val="multilevel"/>
    <w:tmpl w:val="B10A6748"/>
    <w:lvl w:ilvl="0">
      <w:start w:val="1"/>
      <w:numFmt w:val="decimal"/>
      <w:pStyle w:val="Szmozottlista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DD514D"/>
    <w:multiLevelType w:val="hybridMultilevel"/>
    <w:tmpl w:val="69460624"/>
    <w:lvl w:ilvl="0" w:tplc="74323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62685D"/>
    <w:multiLevelType w:val="singleLevel"/>
    <w:tmpl w:val="D96C95A2"/>
    <w:lvl w:ilvl="0">
      <w:start w:val="1"/>
      <w:numFmt w:val="bullet"/>
      <w:pStyle w:val="Felsorols4"/>
      <w:lvlText w:val=""/>
      <w:lvlJc w:val="left"/>
      <w:pPr>
        <w:tabs>
          <w:tab w:val="num" w:pos="3163"/>
        </w:tabs>
        <w:ind w:left="3163" w:hanging="283"/>
      </w:pPr>
      <w:rPr>
        <w:rFonts w:ascii="Symbol" w:hAnsi="Symbol"/>
      </w:rPr>
    </w:lvl>
  </w:abstractNum>
  <w:abstractNum w:abstractNumId="5">
    <w:nsid w:val="143D0A16"/>
    <w:multiLevelType w:val="singleLevel"/>
    <w:tmpl w:val="01FA5668"/>
    <w:lvl w:ilvl="0">
      <w:start w:val="1"/>
      <w:numFmt w:val="bullet"/>
      <w:pStyle w:val="Felsorols3"/>
      <w:lvlText w:val=""/>
      <w:lvlJc w:val="left"/>
      <w:pPr>
        <w:tabs>
          <w:tab w:val="num" w:pos="2199"/>
        </w:tabs>
        <w:ind w:left="2199" w:hanging="283"/>
      </w:pPr>
      <w:rPr>
        <w:rFonts w:ascii="Symbol" w:hAnsi="Symbol"/>
      </w:rPr>
    </w:lvl>
  </w:abstractNum>
  <w:abstractNum w:abstractNumId="6">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7">
    <w:nsid w:val="2C8D5AD3"/>
    <w:multiLevelType w:val="singleLevel"/>
    <w:tmpl w:val="82EE6B70"/>
    <w:lvl w:ilvl="0">
      <w:start w:val="1"/>
      <w:numFmt w:val="bullet"/>
      <w:pStyle w:val="Felsorols2"/>
      <w:lvlText w:val=""/>
      <w:lvlJc w:val="left"/>
      <w:pPr>
        <w:tabs>
          <w:tab w:val="num" w:pos="1360"/>
        </w:tabs>
        <w:ind w:left="1360" w:hanging="283"/>
      </w:pPr>
      <w:rPr>
        <w:rFonts w:ascii="Symbol" w:hAnsi="Symbol"/>
      </w:rPr>
    </w:lvl>
  </w:abstractNum>
  <w:abstractNum w:abstractNumId="8">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nsid w:val="3D274DF5"/>
    <w:multiLevelType w:val="hybridMultilevel"/>
    <w:tmpl w:val="9FA4DD12"/>
    <w:lvl w:ilvl="0" w:tplc="040E000F">
      <w:start w:val="1"/>
      <w:numFmt w:val="decimal"/>
      <w:lvlText w:val="%1."/>
      <w:lvlJc w:val="left"/>
      <w:pPr>
        <w:ind w:left="900" w:hanging="360"/>
      </w:pPr>
      <w:rPr>
        <w:rFonts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0">
    <w:nsid w:val="428415E7"/>
    <w:multiLevelType w:val="multilevel"/>
    <w:tmpl w:val="92100ADA"/>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5481EA4"/>
    <w:multiLevelType w:val="multilevel"/>
    <w:tmpl w:val="28525E6E"/>
    <w:lvl w:ilvl="0">
      <w:start w:val="1"/>
      <w:numFmt w:val="decimal"/>
      <w:pStyle w:val="Szmozottlista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8860AAB"/>
    <w:multiLevelType w:val="multilevel"/>
    <w:tmpl w:val="E8744BD2"/>
    <w:lvl w:ilvl="0">
      <w:start w:val="1"/>
      <w:numFmt w:val="decimal"/>
      <w:pStyle w:val="Szmozottlista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A432656"/>
    <w:multiLevelType w:val="multilevel"/>
    <w:tmpl w:val="AC885D7A"/>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080"/>
        </w:tabs>
        <w:ind w:left="1080" w:hanging="600"/>
      </w:pPr>
    </w:lvl>
    <w:lvl w:ilvl="2">
      <w:start w:val="1"/>
      <w:numFmt w:val="decimal"/>
      <w:pStyle w:val="Cmsor3"/>
      <w:lvlText w:val="%1.%2.%3."/>
      <w:lvlJc w:val="left"/>
      <w:pPr>
        <w:tabs>
          <w:tab w:val="num" w:pos="1920"/>
        </w:tabs>
        <w:ind w:left="1920" w:hanging="840"/>
      </w:pPr>
    </w:lvl>
    <w:lvl w:ilvl="3">
      <w:start w:val="1"/>
      <w:numFmt w:val="decimal"/>
      <w:pStyle w:val="Cmsor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4BD0BEC"/>
    <w:multiLevelType w:val="singleLevel"/>
    <w:tmpl w:val="72D6F376"/>
    <w:lvl w:ilvl="0">
      <w:start w:val="1"/>
      <w:numFmt w:val="bullet"/>
      <w:pStyle w:val="Felsorols"/>
      <w:lvlText w:val=""/>
      <w:lvlJc w:val="left"/>
      <w:pPr>
        <w:tabs>
          <w:tab w:val="num" w:pos="283"/>
        </w:tabs>
        <w:ind w:left="283" w:hanging="283"/>
      </w:pPr>
      <w:rPr>
        <w:rFonts w:ascii="Symbol" w:hAnsi="Symbol"/>
      </w:rPr>
    </w:lvl>
  </w:abstractNum>
  <w:abstractNum w:abstractNumId="1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num w:numId="1">
    <w:abstractNumId w:val="1"/>
  </w:num>
  <w:num w:numId="2">
    <w:abstractNumId w:val="0"/>
  </w:num>
  <w:num w:numId="3">
    <w:abstractNumId w:val="14"/>
  </w:num>
  <w:num w:numId="4">
    <w:abstractNumId w:val="15"/>
  </w:num>
  <w:num w:numId="5">
    <w:abstractNumId w:val="8"/>
  </w:num>
  <w:num w:numId="6">
    <w:abstractNumId w:val="7"/>
  </w:num>
  <w:num w:numId="7">
    <w:abstractNumId w:val="5"/>
  </w:num>
  <w:num w:numId="8">
    <w:abstractNumId w:val="4"/>
  </w:num>
  <w:num w:numId="9">
    <w:abstractNumId w:val="16"/>
  </w:num>
  <w:num w:numId="10">
    <w:abstractNumId w:val="18"/>
  </w:num>
  <w:num w:numId="11">
    <w:abstractNumId w:val="17"/>
  </w:num>
  <w:num w:numId="12">
    <w:abstractNumId w:val="19"/>
  </w:num>
  <w:num w:numId="13">
    <w:abstractNumId w:val="6"/>
  </w:num>
  <w:num w:numId="14">
    <w:abstractNumId w:val="10"/>
  </w:num>
  <w:num w:numId="15">
    <w:abstractNumId w:val="12"/>
  </w:num>
  <w:num w:numId="16">
    <w:abstractNumId w:val="11"/>
  </w:num>
  <w:num w:numId="17">
    <w:abstractNumId w:val="2"/>
  </w:num>
  <w:num w:numId="18">
    <w:abstractNumId w:val="13"/>
  </w:num>
  <w:num w:numId="19">
    <w:abstractNumId w:val="14"/>
  </w:num>
  <w:num w:numId="20">
    <w:abstractNumId w:val="3"/>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T"/>
  </w:docVars>
  <w:rsids>
    <w:rsidRoot w:val="00F46F71"/>
    <w:rsid w:val="000642A1"/>
    <w:rsid w:val="000F7438"/>
    <w:rsid w:val="001222E8"/>
    <w:rsid w:val="00127067"/>
    <w:rsid w:val="001857CF"/>
    <w:rsid w:val="001B50CE"/>
    <w:rsid w:val="002012A8"/>
    <w:rsid w:val="00243A2C"/>
    <w:rsid w:val="002E0D97"/>
    <w:rsid w:val="00332D6F"/>
    <w:rsid w:val="00372FC1"/>
    <w:rsid w:val="003D30B8"/>
    <w:rsid w:val="00573E28"/>
    <w:rsid w:val="005812F1"/>
    <w:rsid w:val="005B4EA5"/>
    <w:rsid w:val="006312AF"/>
    <w:rsid w:val="006875D6"/>
    <w:rsid w:val="00741931"/>
    <w:rsid w:val="00741CF0"/>
    <w:rsid w:val="00820BDC"/>
    <w:rsid w:val="008847C3"/>
    <w:rsid w:val="008A75D0"/>
    <w:rsid w:val="008E29ED"/>
    <w:rsid w:val="00923850"/>
    <w:rsid w:val="009A41E5"/>
    <w:rsid w:val="009A49D5"/>
    <w:rsid w:val="009B4EE0"/>
    <w:rsid w:val="00A13F7E"/>
    <w:rsid w:val="00A17E8C"/>
    <w:rsid w:val="00AB4423"/>
    <w:rsid w:val="00B3641F"/>
    <w:rsid w:val="00B9492F"/>
    <w:rsid w:val="00BB1987"/>
    <w:rsid w:val="00BC17F5"/>
    <w:rsid w:val="00BC6AFE"/>
    <w:rsid w:val="00C332AB"/>
    <w:rsid w:val="00D24082"/>
    <w:rsid w:val="00D52EA1"/>
    <w:rsid w:val="00DB1138"/>
    <w:rsid w:val="00DB601E"/>
    <w:rsid w:val="00DC03FF"/>
    <w:rsid w:val="00E033D7"/>
    <w:rsid w:val="00F46F71"/>
    <w:rsid w:val="00F767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A1609C"/>
  <w15:chartTrackingRefBased/>
  <w15:docId w15:val="{71FE96AE-06C8-4B05-A37A-1A3DA60F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52EA1"/>
    <w:pPr>
      <w:spacing w:after="240"/>
      <w:jc w:val="both"/>
    </w:pPr>
    <w:rPr>
      <w:sz w:val="24"/>
      <w:lang w:val="en-GB" w:eastAsia="en-US"/>
    </w:rPr>
  </w:style>
  <w:style w:type="paragraph" w:styleId="Cmsor1">
    <w:name w:val="heading 1"/>
    <w:basedOn w:val="Norml"/>
    <w:next w:val="Text1"/>
    <w:link w:val="Cmsor1Char"/>
    <w:qFormat/>
    <w:pPr>
      <w:keepNext/>
      <w:numPr>
        <w:numId w:val="3"/>
      </w:numPr>
      <w:spacing w:before="240"/>
      <w:outlineLvl w:val="0"/>
    </w:pPr>
    <w:rPr>
      <w:b/>
      <w:smallCaps/>
    </w:rPr>
  </w:style>
  <w:style w:type="paragraph" w:styleId="Cmsor2">
    <w:name w:val="heading 2"/>
    <w:basedOn w:val="Norml"/>
    <w:next w:val="Text2"/>
    <w:link w:val="Cmsor2Char"/>
    <w:qFormat/>
    <w:pPr>
      <w:keepNext/>
      <w:numPr>
        <w:ilvl w:val="1"/>
        <w:numId w:val="3"/>
      </w:numPr>
      <w:outlineLvl w:val="1"/>
    </w:pPr>
    <w:rPr>
      <w:b/>
    </w:rPr>
  </w:style>
  <w:style w:type="paragraph" w:styleId="Cmsor3">
    <w:name w:val="heading 3"/>
    <w:basedOn w:val="Norml"/>
    <w:next w:val="Text3"/>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qFormat/>
    <w:pPr>
      <w:spacing w:before="240" w:after="60"/>
      <w:ind w:left="3332" w:hanging="708"/>
      <w:outlineLvl w:val="4"/>
    </w:pPr>
    <w:rPr>
      <w:rFonts w:ascii="Arial" w:hAnsi="Arial"/>
      <w:sz w:val="22"/>
    </w:rPr>
  </w:style>
  <w:style w:type="paragraph" w:styleId="Cmsor6">
    <w:name w:val="heading 6"/>
    <w:basedOn w:val="Norml"/>
    <w:next w:val="Norml"/>
    <w:qFormat/>
    <w:pPr>
      <w:spacing w:before="240" w:after="60"/>
      <w:ind w:left="4040" w:hanging="708"/>
      <w:outlineLvl w:val="5"/>
    </w:pPr>
    <w:rPr>
      <w:rFonts w:ascii="Arial" w:hAnsi="Arial"/>
      <w:i/>
      <w:sz w:val="22"/>
    </w:rPr>
  </w:style>
  <w:style w:type="paragraph" w:styleId="Cmsor7">
    <w:name w:val="heading 7"/>
    <w:basedOn w:val="Norml"/>
    <w:next w:val="Norml"/>
    <w:qFormat/>
    <w:pPr>
      <w:spacing w:before="240" w:after="60"/>
      <w:ind w:left="4748" w:hanging="708"/>
      <w:outlineLvl w:val="6"/>
    </w:pPr>
    <w:rPr>
      <w:rFonts w:ascii="Arial" w:hAnsi="Arial"/>
      <w:sz w:val="20"/>
    </w:rPr>
  </w:style>
  <w:style w:type="paragraph" w:styleId="Cmsor8">
    <w:name w:val="heading 8"/>
    <w:basedOn w:val="Norml"/>
    <w:next w:val="Norml"/>
    <w:qFormat/>
    <w:pPr>
      <w:spacing w:before="240" w:after="60"/>
      <w:ind w:left="5456" w:hanging="708"/>
      <w:outlineLvl w:val="7"/>
    </w:pPr>
    <w:rPr>
      <w:rFonts w:ascii="Arial" w:hAnsi="Arial"/>
      <w:i/>
      <w:sz w:val="20"/>
    </w:rPr>
  </w:style>
  <w:style w:type="paragraph" w:styleId="Cmsor9">
    <w:name w:val="heading 9"/>
    <w:basedOn w:val="Norml"/>
    <w:next w:val="Norml"/>
    <w:qFormat/>
    <w:pPr>
      <w:spacing w:before="240" w:after="60"/>
      <w:ind w:left="6164" w:hanging="708"/>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160"/>
      </w:tabs>
      <w:ind w:left="1077"/>
    </w:pPr>
  </w:style>
  <w:style w:type="paragraph" w:customStyle="1" w:styleId="Text3">
    <w:name w:val="Text 3"/>
    <w:basedOn w:val="Norml"/>
    <w:pPr>
      <w:tabs>
        <w:tab w:val="left" w:pos="2302"/>
      </w:tabs>
      <w:ind w:left="1916"/>
    </w:pPr>
  </w:style>
  <w:style w:type="paragraph" w:customStyle="1" w:styleId="Text4">
    <w:name w:val="Text 4"/>
    <w:basedOn w:val="Norml"/>
    <w:pPr>
      <w:ind w:left="2880"/>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qFormat/>
    <w:pPr>
      <w:spacing w:before="120" w:after="120"/>
    </w:pPr>
    <w:rPr>
      <w:b/>
    </w:rPr>
  </w:style>
  <w:style w:type="paragraph" w:styleId="Befejezs">
    <w:name w:val="Closing"/>
    <w:basedOn w:val="Norml"/>
    <w:next w:val="Alrs"/>
    <w:pPr>
      <w:tabs>
        <w:tab w:val="left" w:pos="5103"/>
      </w:tabs>
      <w:spacing w:before="240"/>
      <w:ind w:left="5103"/>
      <w:jc w:val="left"/>
    </w:pPr>
  </w:style>
  <w:style w:type="paragraph" w:styleId="Alrs">
    <w:name w:val="Signature"/>
    <w:basedOn w:val="Norml"/>
    <w:next w:val="Contact"/>
    <w:link w:val="AlrsChar"/>
    <w:uiPriority w:val="99"/>
    <w:pPr>
      <w:tabs>
        <w:tab w:val="left" w:pos="5103"/>
      </w:tabs>
      <w:spacing w:before="1200" w:after="0"/>
      <w:ind w:left="5103"/>
      <w:jc w:val="center"/>
    </w:pPr>
  </w:style>
  <w:style w:type="paragraph" w:customStyle="1" w:styleId="Enclosures">
    <w:name w:val="Enclosures"/>
    <w:basedOn w:val="Norml"/>
    <w:next w:val="Participants"/>
    <w:pPr>
      <w:keepNext/>
      <w:keepLines/>
      <w:tabs>
        <w:tab w:val="left" w:pos="5670"/>
      </w:tabs>
      <w:spacing w:before="480" w:after="0"/>
      <w:ind w:left="1985" w:hanging="1985"/>
      <w:jc w:val="left"/>
    </w:pPr>
  </w:style>
  <w:style w:type="paragraph" w:customStyle="1" w:styleId="Participants">
    <w:name w:val="Participants"/>
    <w:basedOn w:val="Norm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l"/>
    <w:next w:val="Norml"/>
    <w:pPr>
      <w:tabs>
        <w:tab w:val="left" w:pos="2552"/>
        <w:tab w:val="left" w:pos="2835"/>
        <w:tab w:val="left" w:pos="5670"/>
        <w:tab w:val="left" w:pos="6379"/>
        <w:tab w:val="left" w:pos="6804"/>
      </w:tabs>
      <w:spacing w:before="480" w:after="0"/>
      <w:ind w:left="1985" w:hanging="1985"/>
      <w:jc w:val="left"/>
    </w:pPr>
  </w:style>
  <w:style w:type="paragraph" w:styleId="Jegyzetszveg">
    <w:name w:val="annotation text"/>
    <w:basedOn w:val="Norml"/>
    <w:semiHidden/>
    <w:rPr>
      <w:sz w:val="20"/>
    </w:rPr>
  </w:style>
  <w:style w:type="paragraph" w:styleId="Dtum">
    <w:name w:val="Date"/>
    <w:basedOn w:val="Norml"/>
    <w:next w:val="References"/>
    <w:link w:val="DtumChar"/>
    <w:uiPriority w:val="99"/>
    <w:pPr>
      <w:spacing w:after="0"/>
      <w:ind w:left="5103" w:right="-567"/>
      <w:jc w:val="left"/>
    </w:pPr>
  </w:style>
  <w:style w:type="paragraph" w:customStyle="1" w:styleId="References">
    <w:name w:val="References"/>
    <w:basedOn w:val="Norml"/>
    <w:next w:val="AddressTR"/>
    <w:uiPriority w:val="99"/>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Contact"/>
    <w:pPr>
      <w:tabs>
        <w:tab w:val="left" w:pos="5103"/>
      </w:tabs>
      <w:spacing w:before="1200" w:after="0"/>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rPr>
  </w:style>
  <w:style w:type="paragraph" w:styleId="Lbjegyzetszveg">
    <w:name w:val="footnote text"/>
    <w:basedOn w:val="Norml"/>
    <w:semiHidden/>
    <w:pPr>
      <w:ind w:left="357" w:hanging="357"/>
    </w:pPr>
    <w:rPr>
      <w:sz w:val="20"/>
    </w:rPr>
  </w:style>
  <w:style w:type="paragraph" w:styleId="lfej">
    <w:name w:val="header"/>
    <w:basedOn w:val="Norml"/>
    <w:link w:val="lfejChar"/>
    <w:uiPriority w:val="99"/>
    <w:pPr>
      <w:tabs>
        <w:tab w:val="center" w:pos="4153"/>
        <w:tab w:val="right" w:pos="8306"/>
      </w:tabs>
    </w:p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160"/>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160"/>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pPr>
      <w:ind w:left="720"/>
    </w:p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cm">
    <w:name w:val="Subtitle"/>
    <w:basedOn w:val="Norml"/>
    <w:qFormat/>
    <w:pPr>
      <w:spacing w:after="60"/>
      <w:jc w:val="center"/>
      <w:outlineLvl w:val="1"/>
    </w:pPr>
    <w:rPr>
      <w:rFonts w:ascii="Arial" w:hAnsi="Arial"/>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qFormat/>
    <w:pPr>
      <w:spacing w:before="240" w:after="60"/>
      <w:jc w:val="center"/>
      <w:outlineLvl w:val="0"/>
    </w:pPr>
    <w:rPr>
      <w:rFonts w:ascii="Arial" w:hAnsi="Arial"/>
      <w:b/>
      <w:kern w:val="28"/>
      <w:sz w:val="32"/>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ind w:left="3901" w:hanging="703"/>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pPr>
  </w:style>
  <w:style w:type="paragraph" w:customStyle="1" w:styleId="ListNumber4Level3">
    <w:name w:val="List Number 4 (Level 3)"/>
    <w:basedOn w:val="Text4"/>
    <w:pPr>
      <w:numPr>
        <w:ilvl w:val="2"/>
        <w:numId w:val="18"/>
      </w:numPr>
    </w:pPr>
  </w:style>
  <w:style w:type="paragraph" w:customStyle="1" w:styleId="ListNumber4Level4">
    <w:name w:val="List Number 4 (Level 4)"/>
    <w:basedOn w:val="Text4"/>
    <w:pPr>
      <w:numPr>
        <w:ilvl w:val="3"/>
        <w:numId w:val="18"/>
      </w:numPr>
    </w:pPr>
  </w:style>
  <w:style w:type="paragraph" w:styleId="Tartalomjegyzkcmsora">
    <w:name w:val="TOC Heading"/>
    <w:basedOn w:val="Norml"/>
    <w:next w:val="Norml"/>
    <w:qFormat/>
    <w:pPr>
      <w:keepNext/>
      <w:spacing w:before="240"/>
      <w:jc w:val="center"/>
    </w:pPr>
    <w:rPr>
      <w:b/>
    </w:rPr>
  </w:style>
  <w:style w:type="paragraph" w:customStyle="1" w:styleId="Contact">
    <w:name w:val="Contact"/>
    <w:basedOn w:val="Norml"/>
    <w:next w:val="Enclosures"/>
    <w:uiPriority w:val="99"/>
    <w:pPr>
      <w:spacing w:before="480" w:after="0"/>
      <w:ind w:left="567" w:hanging="567"/>
      <w:jc w:val="left"/>
    </w:pPr>
  </w:style>
  <w:style w:type="paragraph" w:customStyle="1" w:styleId="DisclaimerNotice">
    <w:name w:val="Disclaimer Notice"/>
    <w:basedOn w:val="Norml"/>
    <w:next w:val="AddressTR"/>
    <w:pPr>
      <w:ind w:left="5103"/>
      <w:jc w:val="left"/>
    </w:pPr>
    <w:rPr>
      <w:i/>
      <w:sz w:val="20"/>
    </w:rPr>
  </w:style>
  <w:style w:type="paragraph" w:customStyle="1" w:styleId="Disclaimer">
    <w:name w:val="Disclaimer"/>
    <w:basedOn w:val="Norml"/>
    <w:pPr>
      <w:keepLines/>
      <w:pBdr>
        <w:top w:val="single" w:sz="4" w:space="1" w:color="auto"/>
      </w:pBdr>
      <w:spacing w:before="480" w:after="0"/>
    </w:pPr>
    <w:rPr>
      <w:i/>
    </w:rPr>
  </w:style>
  <w:style w:type="character" w:styleId="Mrltotthiperhivatkozs">
    <w:name w:val="FollowedHyperlink"/>
    <w:rPr>
      <w:color w:val="800080"/>
      <w:u w:val="single"/>
    </w:rPr>
  </w:style>
  <w:style w:type="paragraph" w:customStyle="1" w:styleId="DisclaimerSJ">
    <w:name w:val="Disclaimer_SJ"/>
    <w:basedOn w:val="Norml"/>
    <w:next w:val="Norml"/>
    <w:pPr>
      <w:spacing w:after="0"/>
    </w:pPr>
    <w:rPr>
      <w:rFonts w:ascii="Arial" w:hAnsi="Arial"/>
      <w:b/>
      <w:sz w:val="16"/>
    </w:rPr>
  </w:style>
  <w:style w:type="paragraph" w:customStyle="1" w:styleId="Designator">
    <w:name w:val="Designator"/>
    <w:basedOn w:val="Norml"/>
    <w:pPr>
      <w:spacing w:after="0"/>
      <w:jc w:val="center"/>
    </w:pPr>
    <w:rPr>
      <w:b/>
      <w:caps/>
      <w:sz w:val="32"/>
    </w:rPr>
  </w:style>
  <w:style w:type="paragraph" w:customStyle="1" w:styleId="Releasable">
    <w:name w:val="Releasable"/>
    <w:basedOn w:val="Norml"/>
    <w:qFormat/>
    <w:pPr>
      <w:spacing w:after="0"/>
      <w:jc w:val="center"/>
    </w:pPr>
    <w:rPr>
      <w:b/>
      <w:caps/>
      <w:sz w:val="32"/>
      <w:lang w:val="de-DE"/>
    </w:rPr>
  </w:style>
  <w:style w:type="paragraph" w:customStyle="1" w:styleId="RUE">
    <w:name w:val="RUE"/>
    <w:basedOn w:val="Norml"/>
    <w:pPr>
      <w:spacing w:after="0"/>
      <w:jc w:val="center"/>
    </w:pPr>
    <w:rPr>
      <w:b/>
      <w:caps/>
      <w:sz w:val="32"/>
      <w:bdr w:val="single" w:sz="18" w:space="0" w:color="auto"/>
      <w:lang w:val="de-DE"/>
    </w:rPr>
  </w:style>
  <w:style w:type="paragraph" w:customStyle="1" w:styleId="ConfidentialUE">
    <w:name w:val="Confidential UE"/>
    <w:basedOn w:val="Norml"/>
    <w:pPr>
      <w:spacing w:after="0"/>
      <w:jc w:val="center"/>
    </w:pPr>
    <w:rPr>
      <w:b/>
      <w:caps/>
      <w:sz w:val="32"/>
      <w:bdr w:val="single" w:sz="18" w:space="0" w:color="auto"/>
    </w:rPr>
  </w:style>
  <w:style w:type="paragraph" w:customStyle="1" w:styleId="TrsSecretUE">
    <w:name w:val="Très Secret UE"/>
    <w:basedOn w:val="Norml"/>
    <w:pPr>
      <w:spacing w:after="0"/>
      <w:jc w:val="center"/>
    </w:pPr>
    <w:rPr>
      <w:b/>
      <w:caps/>
      <w:color w:val="FF0000"/>
      <w:sz w:val="32"/>
      <w:bdr w:val="single" w:sz="18" w:space="0" w:color="FF0000"/>
    </w:rPr>
  </w:style>
  <w:style w:type="paragraph" w:customStyle="1" w:styleId="SecretUE">
    <w:name w:val="Secret UE"/>
    <w:basedOn w:val="Norml"/>
    <w:pPr>
      <w:spacing w:after="0"/>
      <w:jc w:val="center"/>
    </w:pPr>
    <w:rPr>
      <w:b/>
      <w:caps/>
      <w:color w:val="FF0000"/>
      <w:sz w:val="32"/>
      <w:bdr w:val="single" w:sz="18" w:space="0" w:color="FF0000"/>
    </w:rPr>
  </w:style>
  <w:style w:type="character" w:customStyle="1" w:styleId="llbChar">
    <w:name w:val="Élőláb Char"/>
    <w:link w:val="llb"/>
    <w:uiPriority w:val="99"/>
    <w:rsid w:val="00BC6AFE"/>
    <w:rPr>
      <w:rFonts w:ascii="Arial" w:hAnsi="Arial"/>
      <w:sz w:val="16"/>
      <w:lang w:eastAsia="en-US"/>
    </w:rPr>
  </w:style>
  <w:style w:type="character" w:customStyle="1" w:styleId="DtumChar">
    <w:name w:val="Dátum Char"/>
    <w:link w:val="Dtum"/>
    <w:uiPriority w:val="99"/>
    <w:rsid w:val="00BC6AFE"/>
    <w:rPr>
      <w:sz w:val="24"/>
      <w:lang w:eastAsia="en-US"/>
    </w:rPr>
  </w:style>
  <w:style w:type="character" w:customStyle="1" w:styleId="AlrsChar">
    <w:name w:val="Aláírás Char"/>
    <w:link w:val="Alrs"/>
    <w:uiPriority w:val="99"/>
    <w:rsid w:val="00BC6AFE"/>
    <w:rPr>
      <w:sz w:val="24"/>
      <w:lang w:eastAsia="en-US"/>
    </w:rPr>
  </w:style>
  <w:style w:type="paragraph" w:customStyle="1" w:styleId="ZCom">
    <w:name w:val="Z_Com"/>
    <w:basedOn w:val="Norml"/>
    <w:next w:val="ZDGName"/>
    <w:uiPriority w:val="99"/>
    <w:rsid w:val="00BC6AFE"/>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uiPriority w:val="99"/>
    <w:rsid w:val="00BC6AFE"/>
    <w:pPr>
      <w:widowControl w:val="0"/>
      <w:autoSpaceDE w:val="0"/>
      <w:autoSpaceDN w:val="0"/>
      <w:spacing w:after="0"/>
      <w:ind w:right="85"/>
      <w:jc w:val="left"/>
    </w:pPr>
    <w:rPr>
      <w:rFonts w:ascii="Arial" w:hAnsi="Arial" w:cs="Arial"/>
      <w:sz w:val="16"/>
      <w:szCs w:val="16"/>
      <w:lang w:eastAsia="en-GB"/>
    </w:rPr>
  </w:style>
  <w:style w:type="character" w:customStyle="1" w:styleId="lfejChar">
    <w:name w:val="Élőfej Char"/>
    <w:link w:val="lfej"/>
    <w:uiPriority w:val="99"/>
    <w:rsid w:val="00BC6AFE"/>
    <w:rPr>
      <w:sz w:val="24"/>
      <w:lang w:eastAsia="en-US"/>
    </w:rPr>
  </w:style>
  <w:style w:type="character" w:customStyle="1" w:styleId="Cmsor2Char">
    <w:name w:val="Címsor 2 Char"/>
    <w:link w:val="Cmsor2"/>
    <w:rsid w:val="00BC6AFE"/>
    <w:rPr>
      <w:b/>
      <w:sz w:val="24"/>
      <w:lang w:eastAsia="en-US"/>
    </w:rPr>
  </w:style>
  <w:style w:type="character" w:customStyle="1" w:styleId="Cmsor1Char">
    <w:name w:val="Címsor 1 Char"/>
    <w:link w:val="Cmsor1"/>
    <w:rsid w:val="00BC6AFE"/>
    <w:rPr>
      <w:b/>
      <w:smallCaps/>
      <w:sz w:val="24"/>
      <w:lang w:eastAsia="en-US"/>
    </w:rPr>
  </w:style>
  <w:style w:type="table" w:styleId="Rcsostblzat">
    <w:name w:val="Table Grid"/>
    <w:basedOn w:val="Normltblzat"/>
    <w:uiPriority w:val="59"/>
    <w:rsid w:val="00884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F46F71"/>
    <w:pPr>
      <w:spacing w:after="0"/>
      <w:jc w:val="left"/>
    </w:pPr>
    <w:rPr>
      <w:rFonts w:ascii="Segoe UI" w:hAnsi="Segoe UI" w:cs="Segoe UI"/>
      <w:sz w:val="18"/>
      <w:szCs w:val="18"/>
      <w:lang w:val="en-US" w:eastAsia="hu-HU"/>
    </w:rPr>
  </w:style>
  <w:style w:type="character" w:customStyle="1" w:styleId="BuborkszvegChar">
    <w:name w:val="Buborékszöveg Char"/>
    <w:basedOn w:val="Bekezdsalapbettpusa"/>
    <w:link w:val="Buborkszveg"/>
    <w:uiPriority w:val="99"/>
    <w:semiHidden/>
    <w:rsid w:val="00F46F71"/>
    <w:rPr>
      <w:rFonts w:ascii="Segoe UI" w:hAnsi="Segoe UI" w:cs="Segoe UI"/>
      <w:sz w:val="18"/>
      <w:szCs w:val="18"/>
      <w:lang w:val="en-US"/>
    </w:rPr>
  </w:style>
  <w:style w:type="paragraph" w:styleId="Listaszerbekezds">
    <w:name w:val="List Paragraph"/>
    <w:basedOn w:val="Norml"/>
    <w:uiPriority w:val="99"/>
    <w:rsid w:val="00DB1138"/>
    <w:pPr>
      <w:spacing w:after="200" w:line="276" w:lineRule="auto"/>
      <w:ind w:left="720"/>
      <w:contextualSpacing/>
      <w:jc w:val="left"/>
    </w:pPr>
    <w:rPr>
      <w:rFonts w:ascii="Calibri" w:hAnsi="Calibri"/>
      <w:sz w:val="22"/>
      <w:szCs w:val="22"/>
      <w:lang w:val="en-US" w:eastAsia="hu-HU"/>
    </w:rPr>
  </w:style>
  <w:style w:type="paragraph" w:customStyle="1" w:styleId="Default">
    <w:name w:val="Default"/>
    <w:rsid w:val="00C332AB"/>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vix\Downloads\NTTS2021_Abstract_template.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
  <Created>
    <Version>4.5</Version>
    <Date>2018-05-29T11:59:20</Date>
    <Language>EN</Language>
  </Created>
  <Edited>
    <Version>10.0.40769.0</Version>
    <Date>2020-08-09T16:18:03</Date>
  </Edited>
  <DocumentModel>
    <Id>0b054141-88b1-4efb-8c91-2905cb0bed6c</Id>
    <Name>Note</Name>
  </DocumentModel>
  <DocumentDate/>
  <DocumentVersion/>
  <CompatibilityMode>Eurolook4X</CompatibilityMode>
  <Address/>
</EurolookProperties>
</file>

<file path=customXml/item2.xml><?xml version="1.0" encoding="utf-8"?>
<Author Role="Creator">
  <Id>bd75a428-bbcb-4c74-9efa-281afaab0ab2</Id>
  <Names>
    <Latin>
      <FirstName>Britta</FirstName>
      <LastName>Gauckler</LastName>
    </Latin>
    <Greek>
      <FirstName/>
      <LastName/>
    </Greek>
    <Cyrillic>
      <FirstName/>
      <LastName/>
    </Cyrillic>
    <DocumentScript>
      <FirstName>Britta</FirstName>
      <LastName>Gauckler</LastName>
      <FullName>Britta Gauckler</FullName>
    </DocumentScript>
  </Names>
  <Initials>BG</Initials>
  <Gender>f</Gender>
  <Email>Britta.GAUCKLER@ec.europa.eu</Email>
  <Service>ESTAT.B.1</Service>
  <Function/>
  <WebAddress/>
  <InheritedWebAddress>http://europa.eu</InheritedWebAddress>
  <OrgaEntity1>
    <Id>25d24451-9908-4f0e-9a6d-f256cf91ab7b</Id>
    <LogicalLevel>1</LogicalLevel>
    <Name>ESTAT</Name>
    <HeadLine1>EUROSTAT</HeadLine1>
    <HeadLine2/>
    <PrimaryAddressId>1264fb81-f6bb-475e-9f9d-a937d3be6ee2</PrimaryAddressId>
    <SecondaryAddressId/>
    <WebAddress/>
    <InheritedWebAddress>http://europa.eu</InheritedWebAddress>
    <ShowInHeader>true</ShowInHeader>
  </OrgaEntity1>
  <OrgaEntity2/>
  <OrgaEntity3/>
  <Addresses>
    <Address>
      <Id>1264fb81-f6bb-475e-9f9d-a937d3be6ee2</Id>
      <Name>Luxembourg</Name>
      <PhoneNumberPrefix>+352 4301</PhoneNumberPrefix>
      <Location>Luxembourg,</Location>
      <Footer>Commission européenne, 2920 Luxembourg, LUXEMBOURG — Tel. +352 43011</Footer>
    </Address>
    <Address>
      <Id>f03b5801-04c9-4931-aa17-c6d6c70bc579</Id>
      <Name>Brussels</Name>
      <PhoneNumberPrefix>+32 229 </PhoneNumberPrefix>
      <Location>Brussels,</Location>
      <Footer>Commission européenne/Europese Commissie, 1049 Bruxelles/Brussel, BELGIQUE/BELGIË — Tel. +32 22991111</Footer>
    </Address>
  </Addresses>
  <JobAssignmentId/>
  <MainWorkplace IsMain="true">
    <AddressId>1264fb81-f6bb-475e-9f9d-a937d3be6ee2</AddressId>
    <Fax/>
    <Phone>+352 430136641</Phone>
    <Office>BECH A2/155</Office>
  </MainWorkplace>
  <Workplaces>
    <Workplace IsMain="true">
      <AddressId>1264fb81-f6bb-475e-9f9d-a937d3be6ee2</AddressId>
      <Fax/>
      <Phone>+352 430136641</Phone>
      <Office>BECH A2/155</Office>
    </Workplace>
    <Workplace IsMain="false">
      <AddressId>f03b5801-04c9-4931-aa17-c6d6c70bc579</AddressId>
      <Fax/>
      <Phone/>
      <Office/>
    </Workplace>
  </Workplaces>
</Author>
</file>

<file path=customXml/item3.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8AF3-9929-4DC0-A819-0ADC671B5D1C}">
  <ds:schemaRefs/>
</ds:datastoreItem>
</file>

<file path=customXml/itemProps2.xml><?xml version="1.0" encoding="utf-8"?>
<ds:datastoreItem xmlns:ds="http://schemas.openxmlformats.org/officeDocument/2006/customXml" ds:itemID="{B406C654-FE0D-4FA5-9C33-13E2F461D7CA}">
  <ds:schemaRefs/>
</ds:datastoreItem>
</file>

<file path=customXml/itemProps3.xml><?xml version="1.0" encoding="utf-8"?>
<ds:datastoreItem xmlns:ds="http://schemas.openxmlformats.org/officeDocument/2006/customXml" ds:itemID="{502162AC-773B-4BAB-A035-07FB7E4FB26B}">
  <ds:schemaRefs/>
</ds:datastoreItem>
</file>

<file path=customXml/itemProps4.xml><?xml version="1.0" encoding="utf-8"?>
<ds:datastoreItem xmlns:ds="http://schemas.openxmlformats.org/officeDocument/2006/customXml" ds:itemID="{D6CDAC2B-B8BF-4D71-9598-E30E0673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NTTS2021_Abstract_template.dot</Template>
  <TotalTime>0</TotalTime>
  <Pages>3</Pages>
  <Words>1198</Words>
  <Characters>6437</Characters>
  <Application>Microsoft Office Word</Application>
  <DocSecurity>0</DocSecurity>
  <PresentationFormat>Microsoft Word 14.0</PresentationFormat>
  <Lines>53</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Lovics Gábor</dc:creator>
  <cp:keywords>EL4</cp:keywords>
  <cp:lastModifiedBy>Lovics Gábor</cp:lastModifiedBy>
  <cp:revision>2</cp:revision>
  <cp:lastPrinted>2018-05-29T10:06:00Z</cp:lastPrinted>
  <dcterms:created xsi:type="dcterms:W3CDTF">2020-10-14T11:48:00Z</dcterms:created>
  <dcterms:modified xsi:type="dcterms:W3CDTF">2020-10-14T11:48:00Z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4.5.0.3</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not.dot</vt:lpwstr>
  </property>
  <property fmtid="{D5CDD505-2E9C-101B-9397-08002B2CF9AE}" pid="6" name="Created using">
    <vt:lpwstr>EL 4.6 Build 21000</vt:lpwstr>
  </property>
  <property fmtid="{D5CDD505-2E9C-101B-9397-08002B2CF9AE}" pid="7" name="Formatting">
    <vt:lpwstr>4.1</vt:lpwstr>
  </property>
  <property fmtid="{D5CDD505-2E9C-101B-9397-08002B2CF9AE}" pid="8" name="Last edited using">
    <vt:lpwstr>EL 4.6 Build 21000</vt:lpwstr>
  </property>
  <property fmtid="{D5CDD505-2E9C-101B-9397-08002B2CF9AE}" pid="9" name="EL_Author">
    <vt:lpwstr>Martin KARLBERG</vt:lpwstr>
  </property>
  <property fmtid="{D5CDD505-2E9C-101B-9397-08002B2CF9AE}" pid="10" name="Type">
    <vt:lpwstr>Eurolook Note &amp; Letter</vt:lpwstr>
  </property>
  <property fmtid="{D5CDD505-2E9C-101B-9397-08002B2CF9AE}" pid="11" name="Language">
    <vt:lpwstr>EN</vt:lpwstr>
  </property>
  <property fmtid="{D5CDD505-2E9C-101B-9397-08002B2CF9AE}" pid="12" name="EL_Language">
    <vt:lpwstr>EN</vt:lpwstr>
  </property>
</Properties>
</file>