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0CE" w:rsidRPr="00A42FA7" w:rsidRDefault="00246DE5" w:rsidP="00BC6AFE">
      <w:pPr>
        <w:pStyle w:val="Cm"/>
      </w:pPr>
      <w:r w:rsidRPr="00A42FA7">
        <w:t>State space model for handling VAT revisions</w:t>
      </w:r>
    </w:p>
    <w:p w:rsidR="00A42FA7" w:rsidRPr="00A42FA7" w:rsidRDefault="00A42FA7" w:rsidP="00BC6AFE">
      <w:pPr>
        <w:pStyle w:val="Cm"/>
      </w:pPr>
    </w:p>
    <w:p w:rsidR="00243A2C" w:rsidRDefault="00243A2C" w:rsidP="00243A2C">
      <w:r w:rsidRPr="00A42FA7">
        <w:rPr>
          <w:b/>
          <w:u w:val="single"/>
        </w:rPr>
        <w:t>Keywords</w:t>
      </w:r>
      <w:r w:rsidRPr="00A42FA7">
        <w:rPr>
          <w:b/>
        </w:rPr>
        <w:t>:</w:t>
      </w:r>
      <w:r w:rsidRPr="00A42FA7">
        <w:t xml:space="preserve"> </w:t>
      </w:r>
      <w:r w:rsidR="00246DE5" w:rsidRPr="00A42FA7">
        <w:t>State space</w:t>
      </w:r>
      <w:r w:rsidR="00CC242B">
        <w:t xml:space="preserve"> model</w:t>
      </w:r>
      <w:bookmarkStart w:id="0" w:name="_GoBack"/>
      <w:bookmarkEnd w:id="0"/>
      <w:r w:rsidR="00246DE5" w:rsidRPr="00A42FA7">
        <w:t>, incomplete data set, administrative data source, flash estimation</w:t>
      </w:r>
    </w:p>
    <w:p w:rsidR="002012A8" w:rsidRDefault="002012A8" w:rsidP="002012A8">
      <w:pPr>
        <w:pStyle w:val="Cmsor1"/>
      </w:pPr>
      <w:r>
        <w:t>Introduction</w:t>
      </w:r>
    </w:p>
    <w:p w:rsidR="001B50CE" w:rsidRDefault="0043527F" w:rsidP="00BC6AFE">
      <w:r>
        <w:t xml:space="preserve">Aim of this research was to investigate whether an incomplete VAT-declaration dataset can be used for GDP flash estimation. The uncertainty around the early quarterly growth rates based </w:t>
      </w:r>
      <w:r w:rsidR="00620059">
        <w:t xml:space="preserve">on VAT data is relatively large. </w:t>
      </w:r>
      <w:r w:rsidR="00620059" w:rsidRPr="00620059">
        <w:t xml:space="preserve">It can occur that some subjects to VAT do not provide tax return until the deadline, and </w:t>
      </w:r>
      <w:r w:rsidR="00620059">
        <w:t xml:space="preserve">furthermore, </w:t>
      </w:r>
      <w:r w:rsidR="00620059" w:rsidRPr="00620059">
        <w:t xml:space="preserve">they have possibility to revise their tax returns after the first submission. The dataset could be finalised after six months after the reference year. </w:t>
      </w:r>
      <w:r w:rsidR="00620059">
        <w:t xml:space="preserve">Although VAT data do not conceptually identical to national accounts concept, it has the great advantage of being available early </w:t>
      </w:r>
      <w:r w:rsidR="00246DE5">
        <w:t xml:space="preserve">in contrast the survey data. But </w:t>
      </w:r>
      <w:r w:rsidR="00072805">
        <w:t>the revision of</w:t>
      </w:r>
      <w:r w:rsidR="00246DE5">
        <w:t xml:space="preserve"> VAT data </w:t>
      </w:r>
      <w:r w:rsidR="00072805">
        <w:t>should be handled to be suitable for GDP flash estimation.</w:t>
      </w:r>
    </w:p>
    <w:p w:rsidR="003C3BA8" w:rsidRDefault="00742A5C" w:rsidP="003C3BA8">
      <w:r>
        <w:t xml:space="preserve">The dataset for the analysis contains monthly </w:t>
      </w:r>
      <w:r w:rsidR="009E482F">
        <w:t xml:space="preserve">Hungarian </w:t>
      </w:r>
      <w:r>
        <w:t>VAT data for all data submission from 2015-2020 at enterprise level.</w:t>
      </w:r>
      <w:r w:rsidR="004E3F59">
        <w:t xml:space="preserve"> Fiscal enterprises units do differ from statistical enterprise units as derived from the business register. In order to dealing with this problem, </w:t>
      </w:r>
      <w:r w:rsidR="00E35BCC">
        <w:t xml:space="preserve">similar to </w:t>
      </w:r>
      <w:r w:rsidR="00DE7CEE">
        <w:t xml:space="preserve">the </w:t>
      </w:r>
      <w:r w:rsidR="00E35BCC">
        <w:t xml:space="preserve">concept of Vlag and van den Bergen (2010), </w:t>
      </w:r>
      <w:r w:rsidR="004E3F59">
        <w:t>the analyse was not perf</w:t>
      </w:r>
      <w:r w:rsidR="00154A7C">
        <w:t>ormed according to NACE Rev. 2,</w:t>
      </w:r>
      <w:r w:rsidR="004E3F59">
        <w:t xml:space="preserve">, but for </w:t>
      </w:r>
      <w:r w:rsidR="00183C63">
        <w:t xml:space="preserve">high aggregation levels, for the </w:t>
      </w:r>
      <w:r w:rsidR="004E3F59">
        <w:t xml:space="preserve">total economy. </w:t>
      </w:r>
      <w:r w:rsidR="00154A7C">
        <w:t xml:space="preserve">Foreign enterprises without production in Hungary do not belong the enterprise population and were excluded from the VAT data. </w:t>
      </w:r>
      <w:r w:rsidR="00EF5310">
        <w:t>The most enterprises declare VAT on a monthly or quarterly base. Extremely small enterprises may declare their VAT on a yearly base. However, taking into their low contribution to total output, their VAT data can be neglected.</w:t>
      </w:r>
      <w:r w:rsidR="00183C63">
        <w:t xml:space="preserve"> Using historical VAT data of all available VAT submission from the tax office to Hungarian Central Statistical Office, a vintage matrix is compiled in order to </w:t>
      </w:r>
      <w:r w:rsidR="003C3BA8" w:rsidRPr="00620059">
        <w:t>forecast the revision of VAT data.</w:t>
      </w:r>
      <w:r w:rsidR="003C3BA8">
        <w:t xml:space="preserve"> </w:t>
      </w:r>
    </w:p>
    <w:p w:rsidR="00BC6AFE" w:rsidRDefault="00BC6AFE" w:rsidP="00BC6AFE">
      <w:pPr>
        <w:pStyle w:val="Cmsor1"/>
      </w:pPr>
      <w:r>
        <w:t>Methods</w:t>
      </w:r>
    </w:p>
    <w:p w:rsidR="00742A5C" w:rsidRDefault="00742A5C" w:rsidP="00BC6AFE">
      <w:r>
        <w:t>There is used a state space model for forecasting of VAT revisions</w:t>
      </w:r>
      <w:r w:rsidR="00FE127F">
        <w:t xml:space="preserve"> using the model of Cunningham et al (2007)</w:t>
      </w:r>
      <w:r>
        <w:t xml:space="preserve">. </w:t>
      </w:r>
      <w:r w:rsidR="009E482F">
        <w:t>During the data preparation phases the outliers are detected and handled.</w:t>
      </w:r>
      <w:r w:rsidR="002175B0">
        <w:t xml:space="preserve"> </w:t>
      </w:r>
      <w:r w:rsidR="00665D40">
        <w:t>Then, a</w:t>
      </w:r>
      <w:r>
        <w:t xml:space="preserve">s first step is compiled a vintage matrix from the data submissions according to the </w:t>
      </w:r>
      <w:r w:rsidR="00764F19">
        <w:t>Table 1.</w:t>
      </w:r>
    </w:p>
    <w:p w:rsidR="009E482F" w:rsidRDefault="009E482F" w:rsidP="009E482F">
      <w:pPr>
        <w:pStyle w:val="Kpalrs"/>
      </w:pPr>
      <w:r w:rsidRPr="00764F19">
        <w:t xml:space="preserve">Table </w:t>
      </w:r>
      <w:r w:rsidRPr="00764F19">
        <w:fldChar w:fldCharType="begin"/>
      </w:r>
      <w:r w:rsidRPr="00764F19">
        <w:instrText xml:space="preserve"> SEQ Table \* ARABIC </w:instrText>
      </w:r>
      <w:r w:rsidRPr="00764F19">
        <w:fldChar w:fldCharType="separate"/>
      </w:r>
      <w:r w:rsidR="00CC242B">
        <w:rPr>
          <w:noProof/>
        </w:rPr>
        <w:t>1</w:t>
      </w:r>
      <w:r w:rsidRPr="00764F19">
        <w:fldChar w:fldCharType="end"/>
      </w:r>
      <w:r w:rsidRPr="00764F19">
        <w:t xml:space="preserve">. </w:t>
      </w:r>
      <w:r w:rsidR="00764F19">
        <w:t>Vintage matrix</w:t>
      </w:r>
    </w:p>
    <w:p w:rsidR="00764F19" w:rsidRPr="00764F19" w:rsidRDefault="00CC242B" w:rsidP="00764F19">
      <w:r w:rsidRPr="00764F19">
        <w:rPr>
          <w:noProof/>
          <w:lang w:val="hu-HU" w:eastAsia="hu-HU"/>
        </w:rPr>
        <w:drawing>
          <wp:inline distT="0" distB="0" distL="0" distR="0">
            <wp:extent cx="5467350" cy="128587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350" cy="1285875"/>
                    </a:xfrm>
                    <a:prstGeom prst="rect">
                      <a:avLst/>
                    </a:prstGeom>
                    <a:noFill/>
                    <a:ln>
                      <a:noFill/>
                    </a:ln>
                  </pic:spPr>
                </pic:pic>
              </a:graphicData>
            </a:graphic>
          </wp:inline>
        </w:drawing>
      </w:r>
    </w:p>
    <w:p w:rsidR="009E482F" w:rsidRPr="00BC6AFE" w:rsidRDefault="00764F19" w:rsidP="009E482F">
      <w:r>
        <w:t>Source: our compilation</w:t>
      </w:r>
    </w:p>
    <w:p w:rsidR="001A1767" w:rsidRDefault="001A1767" w:rsidP="00BC6AFE">
      <w:r>
        <w:t xml:space="preserve">The columns of the above table contain the reference month, and the rows include the </w:t>
      </w:r>
      <w:r w:rsidR="002175B0">
        <w:t xml:space="preserve">each </w:t>
      </w:r>
      <w:r>
        <w:t>data submissions.</w:t>
      </w:r>
      <w:r w:rsidR="00E12865">
        <w:t xml:space="preserve"> Using the vintage matrix the revisions for all data submissions are </w:t>
      </w:r>
      <w:r w:rsidR="00E12865">
        <w:lastRenderedPageBreak/>
        <w:t xml:space="preserve">calculated. The revision matrix (W) </w:t>
      </w:r>
      <w:r w:rsidR="001F1F2C">
        <w:t>contains VAT data revision from January 2015 to December 2019.</w:t>
      </w:r>
      <w:r w:rsidR="00665D40">
        <w:t xml:space="preserve"> The rows of the matrix contain</w:t>
      </w:r>
      <w:r w:rsidR="001F1F2C">
        <w:t xml:space="preserve"> the data revision relating to the last data submi</w:t>
      </w:r>
      <w:r w:rsidR="00A44AB1">
        <w:t>ssion.</w:t>
      </w:r>
    </w:p>
    <w:p w:rsidR="001A1767" w:rsidRDefault="00806384" w:rsidP="00BC6AFE">
      <w:r>
        <w:t xml:space="preserve">The applied model has two equations. </w:t>
      </w:r>
      <w:r w:rsidR="001F1F2C">
        <w:t xml:space="preserve">The following </w:t>
      </w:r>
      <w:r>
        <w:t xml:space="preserve">state </w:t>
      </w:r>
      <w:r w:rsidR="001F1F2C">
        <w:t xml:space="preserve">equation </w:t>
      </w:r>
      <w:r>
        <w:t>(1) is</w:t>
      </w:r>
      <w:r w:rsidR="001F1F2C">
        <w:t xml:space="preserve"> described for the estimation:</w:t>
      </w:r>
    </w:p>
    <w:p w:rsidR="001F1F2C" w:rsidRDefault="00CC242B" w:rsidP="00BC6AFE">
      <m:oMath>
        <m:sSub>
          <m:sSubPr>
            <m:ctrlPr>
              <w:rPr>
                <w:rFonts w:ascii="Cambria Math" w:hAnsi="Cambria Math"/>
                <w:i/>
                <w:szCs w:val="24"/>
                <w:lang w:val="hu-HU"/>
              </w:rPr>
            </m:ctrlPr>
          </m:sSubPr>
          <m:e>
            <m:r>
              <w:rPr>
                <w:rFonts w:ascii="Cambria Math" w:hAnsi="Cambria Math"/>
                <w:szCs w:val="24"/>
                <w:lang w:val="hu-HU"/>
              </w:rPr>
              <m:t>y</m:t>
            </m:r>
          </m:e>
          <m:sub>
            <m:r>
              <w:rPr>
                <w:rFonts w:ascii="Cambria Math" w:hAnsi="Cambria Math"/>
                <w:szCs w:val="24"/>
                <w:lang w:val="hu-HU"/>
              </w:rPr>
              <m:t>t</m:t>
            </m:r>
          </m:sub>
        </m:sSub>
        <m:r>
          <w:rPr>
            <w:rFonts w:ascii="Cambria Math" w:hAnsi="Cambria Math"/>
            <w:szCs w:val="24"/>
            <w:lang w:val="hu-HU"/>
          </w:rPr>
          <m:t>=μ+</m:t>
        </m:r>
        <m:nary>
          <m:naryPr>
            <m:chr m:val="∑"/>
            <m:limLoc m:val="subSup"/>
            <m:ctrlPr>
              <w:rPr>
                <w:rFonts w:ascii="Cambria Math" w:hAnsi="Cambria Math"/>
                <w:i/>
                <w:szCs w:val="24"/>
                <w:lang w:val="hu-HU"/>
              </w:rPr>
            </m:ctrlPr>
          </m:naryPr>
          <m:sub>
            <m:r>
              <w:rPr>
                <w:rFonts w:ascii="Cambria Math" w:hAnsi="Cambria Math"/>
                <w:szCs w:val="24"/>
                <w:lang w:val="hu-HU"/>
              </w:rPr>
              <m:t>i=1</m:t>
            </m:r>
          </m:sub>
          <m:sup>
            <m:r>
              <w:rPr>
                <w:rFonts w:ascii="Cambria Math" w:hAnsi="Cambria Math"/>
                <w:szCs w:val="24"/>
                <w:lang w:val="hu-HU"/>
              </w:rPr>
              <m:t>q</m:t>
            </m:r>
          </m:sup>
          <m:e>
            <m:sSub>
              <m:sSubPr>
                <m:ctrlPr>
                  <w:rPr>
                    <w:rFonts w:ascii="Cambria Math" w:hAnsi="Cambria Math"/>
                    <w:i/>
                    <w:szCs w:val="24"/>
                    <w:lang w:val="hu-HU"/>
                  </w:rPr>
                </m:ctrlPr>
              </m:sSubPr>
              <m:e>
                <m:r>
                  <w:rPr>
                    <w:rFonts w:ascii="Cambria Math" w:hAnsi="Cambria Math"/>
                    <w:szCs w:val="24"/>
                    <w:lang w:val="hu-HU"/>
                  </w:rPr>
                  <m:t>α</m:t>
                </m:r>
              </m:e>
              <m:sub>
                <m:r>
                  <w:rPr>
                    <w:rFonts w:ascii="Cambria Math" w:hAnsi="Cambria Math"/>
                    <w:szCs w:val="24"/>
                    <w:lang w:val="hu-HU"/>
                  </w:rPr>
                  <m:t>i</m:t>
                </m:r>
              </m:sub>
            </m:sSub>
            <m:sSub>
              <m:sSubPr>
                <m:ctrlPr>
                  <w:rPr>
                    <w:rFonts w:ascii="Cambria Math" w:hAnsi="Cambria Math"/>
                    <w:i/>
                    <w:szCs w:val="24"/>
                    <w:lang w:val="hu-HU"/>
                  </w:rPr>
                </m:ctrlPr>
              </m:sSubPr>
              <m:e>
                <m:r>
                  <w:rPr>
                    <w:rFonts w:ascii="Cambria Math" w:hAnsi="Cambria Math"/>
                    <w:szCs w:val="24"/>
                    <w:lang w:val="hu-HU"/>
                  </w:rPr>
                  <m:t>y</m:t>
                </m:r>
              </m:e>
              <m:sub>
                <m:r>
                  <w:rPr>
                    <w:rFonts w:ascii="Cambria Math" w:hAnsi="Cambria Math"/>
                    <w:szCs w:val="24"/>
                    <w:lang w:val="hu-HU"/>
                  </w:rPr>
                  <m:t>t-i</m:t>
                </m:r>
              </m:sub>
            </m:sSub>
            <m:r>
              <w:rPr>
                <w:rFonts w:ascii="Cambria Math" w:hAnsi="Cambria Math"/>
                <w:szCs w:val="24"/>
                <w:lang w:val="hu-HU"/>
              </w:rPr>
              <m:t>+</m:t>
            </m:r>
            <m:sSub>
              <m:sSubPr>
                <m:ctrlPr>
                  <w:rPr>
                    <w:rFonts w:ascii="Cambria Math" w:hAnsi="Cambria Math"/>
                    <w:i/>
                    <w:szCs w:val="24"/>
                    <w:lang w:val="hu-HU"/>
                  </w:rPr>
                </m:ctrlPr>
              </m:sSubPr>
              <m:e>
                <m:r>
                  <w:rPr>
                    <w:rFonts w:ascii="Cambria Math" w:hAnsi="Cambria Math"/>
                    <w:szCs w:val="24"/>
                    <w:lang w:val="hu-HU"/>
                  </w:rPr>
                  <m:t>η</m:t>
                </m:r>
              </m:e>
              <m:sub>
                <m:r>
                  <w:rPr>
                    <w:rFonts w:ascii="Cambria Math" w:hAnsi="Cambria Math"/>
                    <w:szCs w:val="24"/>
                    <w:lang w:val="hu-HU"/>
                  </w:rPr>
                  <m:t>t</m:t>
                </m:r>
              </m:sub>
            </m:sSub>
          </m:e>
        </m:nary>
      </m:oMath>
      <w:r w:rsidR="00806384">
        <w:tab/>
      </w:r>
      <w:r w:rsidR="00806384">
        <w:tab/>
      </w:r>
      <w:r w:rsidR="00806384">
        <w:tab/>
      </w:r>
      <w:r w:rsidR="00806384">
        <w:tab/>
      </w:r>
      <w:r w:rsidR="00806384">
        <w:tab/>
      </w:r>
      <w:r w:rsidR="00806384">
        <w:tab/>
      </w:r>
      <w:r w:rsidR="00806384">
        <w:tab/>
      </w:r>
      <w:r w:rsidR="00806384">
        <w:tab/>
        <w:t>(1)</w:t>
      </w:r>
    </w:p>
    <w:p w:rsidR="001F1F2C" w:rsidRDefault="001F1F2C" w:rsidP="00BC6AFE">
      <w:r>
        <w:t>where y</w:t>
      </w:r>
      <w:r>
        <w:rPr>
          <w:vertAlign w:val="subscript"/>
        </w:rPr>
        <w:t>t</w:t>
      </w:r>
      <w:r>
        <w:t xml:space="preserve"> is </w:t>
      </w:r>
      <w:r w:rsidR="00806384">
        <w:t xml:space="preserve">the final VAT data for reference month t, which cannot be observed. According to the state equation the final VAT data is a q ordered autoregressive process with expected value </w:t>
      </w:r>
      <m:oMath>
        <m:r>
          <w:rPr>
            <w:rFonts w:ascii="Cambria Math" w:hAnsi="Cambria Math"/>
            <w:szCs w:val="24"/>
            <w:lang w:val="hu-HU"/>
          </w:rPr>
          <m:t>μ</m:t>
        </m:r>
      </m:oMath>
      <w:r w:rsidR="00806384">
        <w:t xml:space="preserve"> and expected error </w:t>
      </w:r>
      <m:oMath>
        <m:sSub>
          <m:sSubPr>
            <m:ctrlPr>
              <w:rPr>
                <w:rFonts w:ascii="Cambria Math" w:hAnsi="Cambria Math"/>
                <w:i/>
                <w:szCs w:val="24"/>
                <w:lang w:val="hu-HU"/>
              </w:rPr>
            </m:ctrlPr>
          </m:sSubPr>
          <m:e>
            <m:r>
              <w:rPr>
                <w:rFonts w:ascii="Cambria Math" w:hAnsi="Cambria Math"/>
                <w:szCs w:val="24"/>
                <w:lang w:val="hu-HU"/>
              </w:rPr>
              <m:t>η</m:t>
            </m:r>
          </m:e>
          <m:sub>
            <m:r>
              <w:rPr>
                <w:rFonts w:ascii="Cambria Math" w:hAnsi="Cambria Math"/>
                <w:szCs w:val="24"/>
                <w:lang w:val="hu-HU"/>
              </w:rPr>
              <m:t>t</m:t>
            </m:r>
          </m:sub>
        </m:sSub>
      </m:oMath>
      <w:r w:rsidR="00806384">
        <w:t xml:space="preserve">. </w:t>
      </w:r>
    </w:p>
    <w:p w:rsidR="00806384" w:rsidRDefault="00806384" w:rsidP="00BC6AFE">
      <w:r>
        <w:t>The mea</w:t>
      </w:r>
      <w:r w:rsidR="00655861">
        <w:t xml:space="preserve">surement equation </w:t>
      </w:r>
      <w:r>
        <w:t>has be written by the formula</w:t>
      </w:r>
      <w:r w:rsidR="00655861">
        <w:t xml:space="preserve"> (2)</w:t>
      </w:r>
      <w:r>
        <w:t>:</w:t>
      </w:r>
    </w:p>
    <w:p w:rsidR="00806384" w:rsidRDefault="00CC242B" w:rsidP="00BC6AFE">
      <m:oMath>
        <m:sSubSup>
          <m:sSubSupPr>
            <m:ctrlPr>
              <w:rPr>
                <w:rFonts w:ascii="Cambria Math" w:hAnsi="Cambria Math"/>
                <w:i/>
                <w:szCs w:val="24"/>
                <w:lang w:val="hu-HU"/>
              </w:rPr>
            </m:ctrlPr>
          </m:sSubSupPr>
          <m:e>
            <m:r>
              <w:rPr>
                <w:rFonts w:ascii="Cambria Math" w:hAnsi="Cambria Math"/>
                <w:szCs w:val="24"/>
                <w:lang w:val="hu-HU"/>
              </w:rPr>
              <m:t>y</m:t>
            </m:r>
          </m:e>
          <m:sub>
            <m:r>
              <w:rPr>
                <w:rFonts w:ascii="Cambria Math" w:hAnsi="Cambria Math"/>
                <w:szCs w:val="24"/>
                <w:lang w:val="hu-HU"/>
              </w:rPr>
              <m:t>t</m:t>
            </m:r>
          </m:sub>
          <m:sup>
            <m:r>
              <w:rPr>
                <w:rFonts w:ascii="Cambria Math" w:hAnsi="Cambria Math"/>
                <w:szCs w:val="24"/>
                <w:lang w:val="hu-HU"/>
              </w:rPr>
              <m:t>T</m:t>
            </m:r>
          </m:sup>
        </m:sSubSup>
        <m:r>
          <w:rPr>
            <w:rFonts w:ascii="Cambria Math" w:hAnsi="Cambria Math"/>
            <w:szCs w:val="24"/>
            <w:lang w:val="hu-HU"/>
          </w:rPr>
          <m:t xml:space="preserve">= </m:t>
        </m:r>
        <m:sSub>
          <m:sSubPr>
            <m:ctrlPr>
              <w:rPr>
                <w:rFonts w:ascii="Cambria Math" w:hAnsi="Cambria Math"/>
                <w:i/>
                <w:szCs w:val="24"/>
                <w:lang w:val="hu-HU"/>
              </w:rPr>
            </m:ctrlPr>
          </m:sSubPr>
          <m:e>
            <m:r>
              <w:rPr>
                <w:rFonts w:ascii="Cambria Math" w:hAnsi="Cambria Math"/>
                <w:szCs w:val="24"/>
                <w:lang w:val="hu-HU"/>
              </w:rPr>
              <m:t>y</m:t>
            </m:r>
          </m:e>
          <m:sub>
            <m:r>
              <w:rPr>
                <w:rFonts w:ascii="Cambria Math" w:hAnsi="Cambria Math"/>
                <w:szCs w:val="24"/>
                <w:lang w:val="hu-HU"/>
              </w:rPr>
              <m:t>t</m:t>
            </m:r>
          </m:sub>
        </m:sSub>
        <m:r>
          <w:rPr>
            <w:rFonts w:ascii="Cambria Math" w:hAnsi="Cambria Math"/>
            <w:szCs w:val="24"/>
            <w:lang w:val="hu-HU"/>
          </w:rPr>
          <m:t>+</m:t>
        </m:r>
        <m:sSup>
          <m:sSupPr>
            <m:ctrlPr>
              <w:rPr>
                <w:rFonts w:ascii="Cambria Math" w:hAnsi="Cambria Math"/>
                <w:i/>
                <w:szCs w:val="24"/>
                <w:lang w:val="hu-HU"/>
              </w:rPr>
            </m:ctrlPr>
          </m:sSupPr>
          <m:e>
            <m:r>
              <w:rPr>
                <w:rFonts w:ascii="Cambria Math" w:hAnsi="Cambria Math"/>
                <w:szCs w:val="24"/>
                <w:lang w:val="hu-HU"/>
              </w:rPr>
              <m:t>c</m:t>
            </m:r>
          </m:e>
          <m:sup>
            <m:r>
              <w:rPr>
                <w:rFonts w:ascii="Cambria Math" w:hAnsi="Cambria Math"/>
                <w:szCs w:val="24"/>
                <w:lang w:val="hu-HU"/>
              </w:rPr>
              <m:t>T-t</m:t>
            </m:r>
          </m:sup>
        </m:sSup>
        <m:r>
          <w:rPr>
            <w:rFonts w:ascii="Cambria Math" w:hAnsi="Cambria Math"/>
            <w:szCs w:val="24"/>
            <w:lang w:val="hu-HU"/>
          </w:rPr>
          <m:t>+</m:t>
        </m:r>
        <m:sSubSup>
          <m:sSubSupPr>
            <m:ctrlPr>
              <w:rPr>
                <w:rFonts w:ascii="Cambria Math" w:hAnsi="Cambria Math"/>
                <w:i/>
                <w:szCs w:val="24"/>
                <w:lang w:val="hu-HU"/>
              </w:rPr>
            </m:ctrlPr>
          </m:sSubSupPr>
          <m:e>
            <m:r>
              <w:rPr>
                <w:rFonts w:ascii="Cambria Math" w:hAnsi="Cambria Math"/>
                <w:szCs w:val="24"/>
                <w:lang w:val="hu-HU"/>
              </w:rPr>
              <m:t>ε</m:t>
            </m:r>
          </m:e>
          <m:sub>
            <m:r>
              <w:rPr>
                <w:rFonts w:ascii="Cambria Math" w:hAnsi="Cambria Math"/>
                <w:szCs w:val="24"/>
                <w:lang w:val="hu-HU"/>
              </w:rPr>
              <m:t>t</m:t>
            </m:r>
          </m:sub>
          <m:sup>
            <m:r>
              <w:rPr>
                <w:rFonts w:ascii="Cambria Math" w:hAnsi="Cambria Math"/>
                <w:szCs w:val="24"/>
                <w:lang w:val="hu-HU"/>
              </w:rPr>
              <m:t>T</m:t>
            </m:r>
          </m:sup>
        </m:sSubSup>
      </m:oMath>
      <w:r w:rsidR="00806384">
        <w:tab/>
      </w:r>
      <w:r w:rsidR="00806384">
        <w:tab/>
      </w:r>
      <w:r w:rsidR="00806384">
        <w:tab/>
      </w:r>
      <w:r w:rsidR="00806384">
        <w:tab/>
      </w:r>
      <w:r w:rsidR="00806384">
        <w:tab/>
      </w:r>
      <w:r w:rsidR="00806384">
        <w:tab/>
      </w:r>
      <w:r w:rsidR="00806384">
        <w:tab/>
      </w:r>
      <w:r w:rsidR="00806384">
        <w:tab/>
      </w:r>
      <w:r w:rsidR="00806384">
        <w:tab/>
        <w:t>(2)</w:t>
      </w:r>
    </w:p>
    <w:p w:rsidR="00806384" w:rsidRDefault="00806384" w:rsidP="00BC6AFE">
      <w:r>
        <w:t xml:space="preserve">where </w:t>
      </w:r>
    </w:p>
    <w:p w:rsidR="00806384" w:rsidRPr="001F1F2C" w:rsidRDefault="00CC242B" w:rsidP="00BC6AFE">
      <m:oMath>
        <m:sSubSup>
          <m:sSubSupPr>
            <m:ctrlPr>
              <w:rPr>
                <w:rFonts w:ascii="Cambria Math" w:hAnsi="Cambria Math"/>
                <w:i/>
                <w:szCs w:val="24"/>
                <w:lang w:val="hu-HU"/>
              </w:rPr>
            </m:ctrlPr>
          </m:sSubSupPr>
          <m:e>
            <m:r>
              <w:rPr>
                <w:rFonts w:ascii="Cambria Math" w:hAnsi="Cambria Math"/>
                <w:szCs w:val="24"/>
                <w:lang w:val="hu-HU"/>
              </w:rPr>
              <m:t>y</m:t>
            </m:r>
          </m:e>
          <m:sub>
            <m:r>
              <w:rPr>
                <w:rFonts w:ascii="Cambria Math" w:hAnsi="Cambria Math"/>
                <w:szCs w:val="24"/>
                <w:lang w:val="hu-HU"/>
              </w:rPr>
              <m:t>t</m:t>
            </m:r>
          </m:sub>
          <m:sup>
            <m:r>
              <w:rPr>
                <w:rFonts w:ascii="Cambria Math" w:hAnsi="Cambria Math"/>
                <w:szCs w:val="24"/>
                <w:lang w:val="hu-HU"/>
              </w:rPr>
              <m:t>T</m:t>
            </m:r>
          </m:sup>
        </m:sSubSup>
      </m:oMath>
      <w:r w:rsidR="00806384">
        <w:t xml:space="preserve"> is the submitted VAT data in T month for the reference month t. </w:t>
      </w:r>
      <m:oMath>
        <m:sSup>
          <m:sSupPr>
            <m:ctrlPr>
              <w:rPr>
                <w:rFonts w:ascii="Cambria Math" w:hAnsi="Cambria Math"/>
                <w:i/>
                <w:szCs w:val="24"/>
                <w:lang w:val="hu-HU"/>
              </w:rPr>
            </m:ctrlPr>
          </m:sSupPr>
          <m:e>
            <m:r>
              <w:rPr>
                <w:rFonts w:ascii="Cambria Math" w:hAnsi="Cambria Math"/>
                <w:szCs w:val="24"/>
                <w:lang w:val="hu-HU"/>
              </w:rPr>
              <m:t>c</m:t>
            </m:r>
          </m:e>
          <m:sup>
            <m:r>
              <w:rPr>
                <w:rFonts w:ascii="Cambria Math" w:hAnsi="Cambria Math"/>
                <w:szCs w:val="24"/>
                <w:lang w:val="hu-HU"/>
              </w:rPr>
              <m:t>T-t</m:t>
            </m:r>
          </m:sup>
        </m:sSup>
      </m:oMath>
      <w:r w:rsidR="00806384">
        <w:t xml:space="preserve"> shows the revision bias and the measurement error </w:t>
      </w:r>
      <m:oMath>
        <m:sSubSup>
          <m:sSubSupPr>
            <m:ctrlPr>
              <w:rPr>
                <w:rFonts w:ascii="Cambria Math" w:hAnsi="Cambria Math"/>
                <w:i/>
                <w:szCs w:val="24"/>
                <w:lang w:val="hu-HU"/>
              </w:rPr>
            </m:ctrlPr>
          </m:sSubSupPr>
          <m:e>
            <m:r>
              <w:rPr>
                <w:rFonts w:ascii="Cambria Math" w:hAnsi="Cambria Math"/>
                <w:szCs w:val="24"/>
                <w:lang w:val="hu-HU"/>
              </w:rPr>
              <m:t>ε</m:t>
            </m:r>
          </m:e>
          <m:sub>
            <m:r>
              <w:rPr>
                <w:rFonts w:ascii="Cambria Math" w:hAnsi="Cambria Math"/>
                <w:szCs w:val="24"/>
                <w:lang w:val="hu-HU"/>
              </w:rPr>
              <m:t>t</m:t>
            </m:r>
          </m:sub>
          <m:sup>
            <m:r>
              <w:rPr>
                <w:rFonts w:ascii="Cambria Math" w:hAnsi="Cambria Math"/>
                <w:szCs w:val="24"/>
                <w:lang w:val="hu-HU"/>
              </w:rPr>
              <m:t>T</m:t>
            </m:r>
          </m:sup>
        </m:sSubSup>
      </m:oMath>
      <w:r w:rsidR="00806384">
        <w:t>.</w:t>
      </w:r>
    </w:p>
    <w:p w:rsidR="00BC6AFE" w:rsidRDefault="00BC6AFE" w:rsidP="00E35BCC">
      <w:pPr>
        <w:pStyle w:val="Cmsor1"/>
      </w:pPr>
      <w:r>
        <w:t>Results</w:t>
      </w:r>
    </w:p>
    <w:p w:rsidR="008847C3" w:rsidRPr="00E35BCC" w:rsidRDefault="009E482F" w:rsidP="00E35BCC">
      <w:r w:rsidRPr="00E35BCC">
        <w:t xml:space="preserve">The state space model </w:t>
      </w:r>
      <w:r w:rsidR="00520C7A">
        <w:t>is</w:t>
      </w:r>
      <w:r w:rsidRPr="00E35BCC">
        <w:t xml:space="preserve"> fitted and the revisions are forecasted. The model estimates the VAT revisions for the total economy. </w:t>
      </w:r>
      <w:r w:rsidR="00520C7A">
        <w:t xml:space="preserve">The growth rates calculated </w:t>
      </w:r>
      <w:r w:rsidR="00BA68F8">
        <w:t>in accordance with VAT revisions</w:t>
      </w:r>
      <w:r w:rsidR="00520C7A">
        <w:t xml:space="preserve"> </w:t>
      </w:r>
      <w:r w:rsidR="00EE14CF">
        <w:t>are suitable for GDP estimation.</w:t>
      </w:r>
      <w:r w:rsidR="00520C7A">
        <w:t xml:space="preserve"> </w:t>
      </w:r>
    </w:p>
    <w:p w:rsidR="00BC6AFE" w:rsidRDefault="00BC6AFE" w:rsidP="00BC6AFE">
      <w:pPr>
        <w:pStyle w:val="Cmsor1"/>
      </w:pPr>
      <w:r>
        <w:t>Conclusions</w:t>
      </w:r>
    </w:p>
    <w:p w:rsidR="005C58CE" w:rsidRPr="005C58CE" w:rsidRDefault="005C58CE" w:rsidP="005C58CE">
      <w:r>
        <w:t xml:space="preserve">This study presents a method to forecast VAT revision. The incomplete VAT-dataset consists of all monthly and quarterly VAT-declaration up to 27 days after the end of the corresponding month. To estimate VAT turnover growth rates, the expected revisions should be taken into account. Our model is able to forecast VAT revisions and so it provides better quality of growth rates causing smaller revisions in GDP volume index. </w:t>
      </w:r>
    </w:p>
    <w:p w:rsidR="00BC6AFE" w:rsidRDefault="00BC6AFE" w:rsidP="009B4EE0">
      <w:pPr>
        <w:pStyle w:val="Cmsor1"/>
        <w:numPr>
          <w:ilvl w:val="0"/>
          <w:numId w:val="0"/>
        </w:numPr>
        <w:ind w:left="480" w:hanging="480"/>
      </w:pPr>
      <w:r>
        <w:t>References</w:t>
      </w:r>
    </w:p>
    <w:p w:rsidR="00127067" w:rsidRPr="00E35BCC" w:rsidRDefault="00E35BCC" w:rsidP="00E35BCC">
      <w:pPr>
        <w:pStyle w:val="Text1"/>
        <w:numPr>
          <w:ilvl w:val="0"/>
          <w:numId w:val="20"/>
        </w:numPr>
      </w:pPr>
      <w:r w:rsidRPr="00E35BCC">
        <w:t>Vlag, P., van den Bergen, D.</w:t>
      </w:r>
      <w:r>
        <w:t xml:space="preserve"> (2010)</w:t>
      </w:r>
      <w:r w:rsidRPr="00E35BCC">
        <w:t xml:space="preserve"> : The use of VAT for short term statistics: some quality aspects </w:t>
      </w:r>
      <w:hyperlink r:id="rId12" w:history="1">
        <w:r w:rsidRPr="00E35BCC">
          <w:rPr>
            <w:rStyle w:val="Hiperhivatkozs"/>
          </w:rPr>
          <w:t>https://www.ine.pt/filme_inst/essnet/papers/Session1/Paper1.3.pdf</w:t>
        </w:r>
      </w:hyperlink>
    </w:p>
    <w:p w:rsidR="00E35BCC" w:rsidRPr="00CA1947" w:rsidRDefault="00CA1947" w:rsidP="00CA1947">
      <w:pPr>
        <w:pStyle w:val="Text1"/>
        <w:numPr>
          <w:ilvl w:val="0"/>
          <w:numId w:val="20"/>
        </w:numPr>
      </w:pPr>
      <w:r>
        <w:t>Cunningham, A., Eklund, J., Jeffery, C., Kapetanios, G. és Labhard, V. (2007): A state space approach to extracting the signal from uncertain data. Bank of England Working Paper, No. 336.</w:t>
      </w:r>
    </w:p>
    <w:sectPr w:rsidR="00E35BCC" w:rsidRPr="00CA1947" w:rsidSect="00BC6AFE">
      <w:footerReference w:type="default" r:id="rId13"/>
      <w:headerReference w:type="first" r:id="rId14"/>
      <w:footerReference w:type="first" r:id="rId15"/>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42B" w:rsidRDefault="00CC242B" w:rsidP="00BC6AFE">
      <w:pPr>
        <w:spacing w:after="0"/>
      </w:pPr>
      <w:r>
        <w:separator/>
      </w:r>
    </w:p>
  </w:endnote>
  <w:endnote w:type="continuationSeparator" w:id="0">
    <w:p w:rsidR="00CC242B" w:rsidRDefault="00CC242B"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27F" w:rsidRDefault="0043527F">
    <w:pPr>
      <w:pStyle w:val="llb"/>
      <w:jc w:val="center"/>
    </w:pPr>
    <w:r>
      <w:fldChar w:fldCharType="begin"/>
    </w:r>
    <w:r>
      <w:instrText>PAGE</w:instrText>
    </w:r>
    <w:r>
      <w:fldChar w:fldCharType="separate"/>
    </w:r>
    <w:r w:rsidR="00CC242B">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27F" w:rsidRDefault="0043527F">
    <w:pPr>
      <w:pStyle w:val="llb"/>
      <w:rPr>
        <w:sz w:val="24"/>
        <w:szCs w:val="24"/>
      </w:rPr>
    </w:pPr>
  </w:p>
  <w:p w:rsidR="0043527F" w:rsidRDefault="0043527F">
    <w:pPr>
      <w:pStyle w:val="llb"/>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43527F" w:rsidRDefault="0043527F">
    <w:pPr>
      <w:pStyle w:val="llb"/>
    </w:pPr>
  </w:p>
  <w:p w:rsidR="0043527F" w:rsidRDefault="0043527F">
    <w:pPr>
      <w:pStyle w:val="llb"/>
    </w:pPr>
    <w:r>
      <w:t>http://epp.eurostat.ec.europa.eu</w:t>
    </w:r>
  </w:p>
  <w:p w:rsidR="0043527F" w:rsidRDefault="0043527F">
    <w:pPr>
      <w:pStyle w:val="llb"/>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42B" w:rsidRDefault="00CC242B" w:rsidP="00BC6AFE">
      <w:pPr>
        <w:spacing w:after="0"/>
      </w:pPr>
      <w:r>
        <w:separator/>
      </w:r>
    </w:p>
  </w:footnote>
  <w:footnote w:type="continuationSeparator" w:id="0">
    <w:p w:rsidR="00CC242B" w:rsidRDefault="00CC242B"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27F" w:rsidRDefault="0043527F">
    <w:pPr>
      <w:pStyle w:val="lfej"/>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Szmozottlist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Felsorols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Felsorols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Felsorols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Szmozottlist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Szmozottlist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080"/>
        </w:tabs>
        <w:ind w:left="1080" w:hanging="600"/>
      </w:pPr>
    </w:lvl>
    <w:lvl w:ilvl="2">
      <w:start w:val="1"/>
      <w:numFmt w:val="decimal"/>
      <w:pStyle w:val="Cmsor3"/>
      <w:lvlText w:val="%1.%2.%3."/>
      <w:lvlJc w:val="left"/>
      <w:pPr>
        <w:tabs>
          <w:tab w:val="num" w:pos="1920"/>
        </w:tabs>
        <w:ind w:left="1920" w:hanging="840"/>
      </w:pPr>
    </w:lvl>
    <w:lvl w:ilvl="3">
      <w:start w:val="1"/>
      <w:numFmt w:val="decimal"/>
      <w:pStyle w:val="Cmsor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Felsorols"/>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CC242B"/>
    <w:rsid w:val="00037A32"/>
    <w:rsid w:val="000642A1"/>
    <w:rsid w:val="00072805"/>
    <w:rsid w:val="000F7438"/>
    <w:rsid w:val="00127067"/>
    <w:rsid w:val="00154A7C"/>
    <w:rsid w:val="00183C63"/>
    <w:rsid w:val="001857CF"/>
    <w:rsid w:val="001A1767"/>
    <w:rsid w:val="001B50CE"/>
    <w:rsid w:val="001F1F2C"/>
    <w:rsid w:val="002012A8"/>
    <w:rsid w:val="002175B0"/>
    <w:rsid w:val="00243A2C"/>
    <w:rsid w:val="00246DE5"/>
    <w:rsid w:val="002E0D97"/>
    <w:rsid w:val="00332D6F"/>
    <w:rsid w:val="00372FC1"/>
    <w:rsid w:val="003C3BA8"/>
    <w:rsid w:val="003D30B8"/>
    <w:rsid w:val="0043527F"/>
    <w:rsid w:val="00436342"/>
    <w:rsid w:val="004922D0"/>
    <w:rsid w:val="004E3F59"/>
    <w:rsid w:val="004F0AA5"/>
    <w:rsid w:val="00520C7A"/>
    <w:rsid w:val="00573E28"/>
    <w:rsid w:val="005B4EA5"/>
    <w:rsid w:val="005C58CE"/>
    <w:rsid w:val="00620059"/>
    <w:rsid w:val="006312AF"/>
    <w:rsid w:val="00655861"/>
    <w:rsid w:val="00665D40"/>
    <w:rsid w:val="006875D6"/>
    <w:rsid w:val="00741CF0"/>
    <w:rsid w:val="00742A5C"/>
    <w:rsid w:val="00764F19"/>
    <w:rsid w:val="007E5EA7"/>
    <w:rsid w:val="00806384"/>
    <w:rsid w:val="00820BDC"/>
    <w:rsid w:val="008847C3"/>
    <w:rsid w:val="008A75D0"/>
    <w:rsid w:val="008E29ED"/>
    <w:rsid w:val="00923850"/>
    <w:rsid w:val="009A41E5"/>
    <w:rsid w:val="009B4EE0"/>
    <w:rsid w:val="009C56B8"/>
    <w:rsid w:val="009E168B"/>
    <w:rsid w:val="009E482F"/>
    <w:rsid w:val="00A17E8C"/>
    <w:rsid w:val="00A42FA7"/>
    <w:rsid w:val="00A44AB1"/>
    <w:rsid w:val="00AB4423"/>
    <w:rsid w:val="00B3641F"/>
    <w:rsid w:val="00B9492F"/>
    <w:rsid w:val="00BA68F8"/>
    <w:rsid w:val="00BC17F5"/>
    <w:rsid w:val="00BC6AFE"/>
    <w:rsid w:val="00BF14F1"/>
    <w:rsid w:val="00CA1947"/>
    <w:rsid w:val="00CC242B"/>
    <w:rsid w:val="00CD74D7"/>
    <w:rsid w:val="00D24082"/>
    <w:rsid w:val="00D52EA1"/>
    <w:rsid w:val="00D862E0"/>
    <w:rsid w:val="00DB601E"/>
    <w:rsid w:val="00DE7CEE"/>
    <w:rsid w:val="00E12865"/>
    <w:rsid w:val="00E35BCC"/>
    <w:rsid w:val="00E455D7"/>
    <w:rsid w:val="00EE14CF"/>
    <w:rsid w:val="00EF5310"/>
    <w:rsid w:val="00FE12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41F46A-C889-41D0-AB87-373E8038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52EA1"/>
    <w:pPr>
      <w:spacing w:after="240"/>
      <w:jc w:val="both"/>
    </w:pPr>
    <w:rPr>
      <w:sz w:val="24"/>
      <w:lang w:val="en-GB" w:eastAsia="en-US"/>
    </w:rPr>
  </w:style>
  <w:style w:type="paragraph" w:styleId="Cmsor1">
    <w:name w:val="heading 1"/>
    <w:basedOn w:val="Norml"/>
    <w:next w:val="Text1"/>
    <w:link w:val="Cmsor1Char"/>
    <w:qFormat/>
    <w:pPr>
      <w:keepNext/>
      <w:numPr>
        <w:numId w:val="3"/>
      </w:numPr>
      <w:spacing w:before="240"/>
      <w:outlineLvl w:val="0"/>
    </w:pPr>
    <w:rPr>
      <w:b/>
      <w:smallCaps/>
    </w:rPr>
  </w:style>
  <w:style w:type="paragraph" w:styleId="Cmsor2">
    <w:name w:val="heading 2"/>
    <w:basedOn w:val="Norml"/>
    <w:next w:val="Text2"/>
    <w:link w:val="Cmsor2Char"/>
    <w:qFormat/>
    <w:pPr>
      <w:keepNext/>
      <w:numPr>
        <w:ilvl w:val="1"/>
        <w:numId w:val="3"/>
      </w:numPr>
      <w:outlineLvl w:val="1"/>
    </w:pPr>
    <w:rPr>
      <w:b/>
    </w:rPr>
  </w:style>
  <w:style w:type="paragraph" w:styleId="Cmsor3">
    <w:name w:val="heading 3"/>
    <w:basedOn w:val="Norml"/>
    <w:next w:val="Text3"/>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qFormat/>
    <w:pPr>
      <w:spacing w:before="240" w:after="60"/>
      <w:ind w:left="3332" w:hanging="708"/>
      <w:outlineLvl w:val="4"/>
    </w:pPr>
    <w:rPr>
      <w:rFonts w:ascii="Arial" w:hAnsi="Arial"/>
      <w:sz w:val="22"/>
    </w:rPr>
  </w:style>
  <w:style w:type="paragraph" w:styleId="Cmsor6">
    <w:name w:val="heading 6"/>
    <w:basedOn w:val="Norml"/>
    <w:next w:val="Norml"/>
    <w:qFormat/>
    <w:pPr>
      <w:spacing w:before="240" w:after="60"/>
      <w:ind w:left="4040" w:hanging="708"/>
      <w:outlineLvl w:val="5"/>
    </w:pPr>
    <w:rPr>
      <w:rFonts w:ascii="Arial" w:hAnsi="Arial"/>
      <w:i/>
      <w:sz w:val="22"/>
    </w:rPr>
  </w:style>
  <w:style w:type="paragraph" w:styleId="Cmsor7">
    <w:name w:val="heading 7"/>
    <w:basedOn w:val="Norml"/>
    <w:next w:val="Norml"/>
    <w:qFormat/>
    <w:pPr>
      <w:spacing w:before="240" w:after="60"/>
      <w:ind w:left="4748" w:hanging="708"/>
      <w:outlineLvl w:val="6"/>
    </w:pPr>
    <w:rPr>
      <w:rFonts w:ascii="Arial" w:hAnsi="Arial"/>
      <w:sz w:val="20"/>
    </w:rPr>
  </w:style>
  <w:style w:type="paragraph" w:styleId="Cmsor8">
    <w:name w:val="heading 8"/>
    <w:basedOn w:val="Norml"/>
    <w:next w:val="Norml"/>
    <w:qFormat/>
    <w:pPr>
      <w:spacing w:before="240" w:after="60"/>
      <w:ind w:left="5456" w:hanging="708"/>
      <w:outlineLvl w:val="7"/>
    </w:pPr>
    <w:rPr>
      <w:rFonts w:ascii="Arial" w:hAnsi="Arial"/>
      <w:i/>
      <w:sz w:val="20"/>
    </w:rPr>
  </w:style>
  <w:style w:type="paragraph" w:styleId="Cmsor9">
    <w:name w:val="heading 9"/>
    <w:basedOn w:val="Norml"/>
    <w:next w:val="Norml"/>
    <w:qFormat/>
    <w:pPr>
      <w:spacing w:before="240" w:after="60"/>
      <w:ind w:left="6164" w:hanging="708"/>
      <w:outlineLvl w:val="8"/>
    </w:pPr>
    <w:rPr>
      <w:rFonts w:ascii="Arial" w:hAnsi="Arial"/>
      <w:i/>
      <w:sz w:val="18"/>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customStyle="1" w:styleId="Text1">
    <w:name w:val="Text 1"/>
    <w:basedOn w:val="Norml"/>
    <w:pPr>
      <w:ind w:left="482"/>
    </w:pPr>
  </w:style>
  <w:style w:type="paragraph" w:customStyle="1" w:styleId="Text2">
    <w:name w:val="Text 2"/>
    <w:basedOn w:val="Norml"/>
    <w:pPr>
      <w:tabs>
        <w:tab w:val="left" w:pos="2160"/>
      </w:tabs>
      <w:ind w:left="1077"/>
    </w:pPr>
  </w:style>
  <w:style w:type="paragraph" w:customStyle="1" w:styleId="Text3">
    <w:name w:val="Text 3"/>
    <w:basedOn w:val="Norml"/>
    <w:pPr>
      <w:tabs>
        <w:tab w:val="left" w:pos="2302"/>
      </w:tabs>
      <w:ind w:left="1916"/>
    </w:pPr>
  </w:style>
  <w:style w:type="paragraph" w:customStyle="1" w:styleId="Text4">
    <w:name w:val="Text 4"/>
    <w:basedOn w:val="Norml"/>
    <w:pPr>
      <w:ind w:left="2880"/>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qFormat/>
    <w:pPr>
      <w:spacing w:before="120" w:after="120"/>
    </w:pPr>
    <w:rPr>
      <w:b/>
    </w:rPr>
  </w:style>
  <w:style w:type="paragraph" w:styleId="Befejezs">
    <w:name w:val="Closing"/>
    <w:basedOn w:val="Norml"/>
    <w:next w:val="Alrs"/>
    <w:pPr>
      <w:tabs>
        <w:tab w:val="left" w:pos="5103"/>
      </w:tabs>
      <w:spacing w:before="240"/>
      <w:ind w:left="5103"/>
      <w:jc w:val="left"/>
    </w:pPr>
  </w:style>
  <w:style w:type="paragraph" w:styleId="Alrs">
    <w:name w:val="Signature"/>
    <w:basedOn w:val="Norml"/>
    <w:next w:val="Contact"/>
    <w:link w:val="AlrsChar"/>
    <w:uiPriority w:val="99"/>
    <w:pPr>
      <w:tabs>
        <w:tab w:val="left" w:pos="5103"/>
      </w:tabs>
      <w:spacing w:before="1200" w:after="0"/>
      <w:ind w:left="5103"/>
      <w:jc w:val="center"/>
    </w:pPr>
  </w:style>
  <w:style w:type="paragraph" w:customStyle="1" w:styleId="Enclosures">
    <w:name w:val="Enclosures"/>
    <w:basedOn w:val="Norml"/>
    <w:next w:val="Participants"/>
    <w:pPr>
      <w:keepNext/>
      <w:keepLines/>
      <w:tabs>
        <w:tab w:val="left" w:pos="5670"/>
      </w:tabs>
      <w:spacing w:before="480" w:after="0"/>
      <w:ind w:left="1985" w:hanging="1985"/>
      <w:jc w:val="left"/>
    </w:pPr>
  </w:style>
  <w:style w:type="paragraph" w:customStyle="1" w:styleId="Participants">
    <w:name w:val="Participants"/>
    <w:basedOn w:val="Norm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l"/>
    <w:next w:val="Norml"/>
    <w:pPr>
      <w:tabs>
        <w:tab w:val="left" w:pos="2552"/>
        <w:tab w:val="left" w:pos="2835"/>
        <w:tab w:val="left" w:pos="5670"/>
        <w:tab w:val="left" w:pos="6379"/>
        <w:tab w:val="left" w:pos="6804"/>
      </w:tabs>
      <w:spacing w:before="480" w:after="0"/>
      <w:ind w:left="1985" w:hanging="1985"/>
      <w:jc w:val="left"/>
    </w:pPr>
  </w:style>
  <w:style w:type="paragraph" w:styleId="Jegyzetszveg">
    <w:name w:val="annotation text"/>
    <w:basedOn w:val="Norml"/>
    <w:semiHidden/>
    <w:rPr>
      <w:sz w:val="20"/>
    </w:rPr>
  </w:style>
  <w:style w:type="paragraph" w:styleId="Dtum">
    <w:name w:val="Date"/>
    <w:basedOn w:val="Norml"/>
    <w:next w:val="References"/>
    <w:link w:val="DtumChar"/>
    <w:uiPriority w:val="99"/>
    <w:pPr>
      <w:spacing w:after="0"/>
      <w:ind w:left="5103" w:right="-567"/>
      <w:jc w:val="left"/>
    </w:pPr>
  </w:style>
  <w:style w:type="paragraph" w:customStyle="1" w:styleId="References">
    <w:name w:val="References"/>
    <w:basedOn w:val="Norml"/>
    <w:next w:val="AddressTR"/>
    <w:uiPriority w:val="99"/>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Contact"/>
    <w:pPr>
      <w:tabs>
        <w:tab w:val="left" w:pos="5103"/>
      </w:tabs>
      <w:spacing w:before="1200" w:after="0"/>
      <w:jc w:val="left"/>
    </w:pPr>
  </w:style>
  <w:style w:type="paragraph" w:styleId="Vgjegyzetszvege">
    <w:name w:val="endnote text"/>
    <w:basedOn w:val="Norml"/>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rPr>
  </w:style>
  <w:style w:type="paragraph" w:styleId="Lbjegyzetszveg">
    <w:name w:val="footnote text"/>
    <w:basedOn w:val="Norml"/>
    <w:semiHidden/>
    <w:pPr>
      <w:ind w:left="357" w:hanging="357"/>
    </w:pPr>
    <w:rPr>
      <w:sz w:val="20"/>
    </w:rPr>
  </w:style>
  <w:style w:type="paragraph" w:styleId="lfej">
    <w:name w:val="header"/>
    <w:basedOn w:val="Norml"/>
    <w:link w:val="lfejChar"/>
    <w:uiPriority w:val="99"/>
    <w:pPr>
      <w:tabs>
        <w:tab w:val="center" w:pos="4153"/>
        <w:tab w:val="right" w:pos="8306"/>
      </w:tabs>
    </w:p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160"/>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160"/>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pPr>
      <w:ind w:left="720"/>
    </w:p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cm">
    <w:name w:val="Subtitle"/>
    <w:basedOn w:val="Norml"/>
    <w:qFormat/>
    <w:pPr>
      <w:spacing w:after="60"/>
      <w:jc w:val="center"/>
      <w:outlineLvl w:val="1"/>
    </w:pPr>
    <w:rPr>
      <w:rFonts w:ascii="Arial" w:hAnsi="Arial"/>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qFormat/>
    <w:pPr>
      <w:spacing w:before="240" w:after="60"/>
      <w:jc w:val="center"/>
      <w:outlineLvl w:val="0"/>
    </w:pPr>
    <w:rPr>
      <w:rFonts w:ascii="Arial" w:hAnsi="Arial"/>
      <w:b/>
      <w:kern w:val="28"/>
      <w:sz w:val="32"/>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artalomjegyzkcmsora">
    <w:name w:val="TOC Heading"/>
    <w:basedOn w:val="Norml"/>
    <w:next w:val="Norml"/>
    <w:qFormat/>
    <w:pPr>
      <w:keepNext/>
      <w:spacing w:before="240"/>
      <w:jc w:val="center"/>
    </w:pPr>
    <w:rPr>
      <w:b/>
    </w:rPr>
  </w:style>
  <w:style w:type="paragraph" w:customStyle="1" w:styleId="Contact">
    <w:name w:val="Contact"/>
    <w:basedOn w:val="Norml"/>
    <w:next w:val="Enclosures"/>
    <w:uiPriority w:val="99"/>
    <w:pPr>
      <w:spacing w:before="480" w:after="0"/>
      <w:ind w:left="567" w:hanging="567"/>
      <w:jc w:val="left"/>
    </w:pPr>
  </w:style>
  <w:style w:type="paragraph" w:customStyle="1" w:styleId="DisclaimerNotice">
    <w:name w:val="Disclaimer Notice"/>
    <w:basedOn w:val="Norml"/>
    <w:next w:val="AddressTR"/>
    <w:pPr>
      <w:ind w:left="5103"/>
      <w:jc w:val="left"/>
    </w:pPr>
    <w:rPr>
      <w:i/>
      <w:sz w:val="20"/>
    </w:rPr>
  </w:style>
  <w:style w:type="paragraph" w:customStyle="1" w:styleId="Disclaimer">
    <w:name w:val="Disclaimer"/>
    <w:basedOn w:val="Norml"/>
    <w:pPr>
      <w:keepLines/>
      <w:pBdr>
        <w:top w:val="single" w:sz="4" w:space="1" w:color="auto"/>
      </w:pBdr>
      <w:spacing w:before="480" w:after="0"/>
    </w:pPr>
    <w:rPr>
      <w:i/>
    </w:rPr>
  </w:style>
  <w:style w:type="character" w:styleId="Mrltotthiperhivatkozs">
    <w:name w:val="FollowedHyperlink"/>
    <w:rPr>
      <w:color w:val="800080"/>
      <w:u w:val="single"/>
    </w:rPr>
  </w:style>
  <w:style w:type="paragraph" w:customStyle="1" w:styleId="DisclaimerSJ">
    <w:name w:val="Disclaimer_SJ"/>
    <w:basedOn w:val="Norml"/>
    <w:next w:val="Norml"/>
    <w:pPr>
      <w:spacing w:after="0"/>
    </w:pPr>
    <w:rPr>
      <w:rFonts w:ascii="Arial" w:hAnsi="Arial"/>
      <w:b/>
      <w:sz w:val="16"/>
    </w:rPr>
  </w:style>
  <w:style w:type="paragraph" w:customStyle="1" w:styleId="Designator">
    <w:name w:val="Designator"/>
    <w:basedOn w:val="Norml"/>
    <w:pPr>
      <w:spacing w:after="0"/>
      <w:jc w:val="center"/>
    </w:pPr>
    <w:rPr>
      <w:b/>
      <w:caps/>
      <w:sz w:val="32"/>
    </w:rPr>
  </w:style>
  <w:style w:type="paragraph" w:customStyle="1" w:styleId="Releasable">
    <w:name w:val="Releasable"/>
    <w:basedOn w:val="Norml"/>
    <w:qFormat/>
    <w:pPr>
      <w:spacing w:after="0"/>
      <w:jc w:val="center"/>
    </w:pPr>
    <w:rPr>
      <w:b/>
      <w:caps/>
      <w:sz w:val="32"/>
      <w:lang w:val="de-DE"/>
    </w:rPr>
  </w:style>
  <w:style w:type="paragraph" w:customStyle="1" w:styleId="RUE">
    <w:name w:val="RUE"/>
    <w:basedOn w:val="Norml"/>
    <w:pPr>
      <w:spacing w:after="0"/>
      <w:jc w:val="center"/>
    </w:pPr>
    <w:rPr>
      <w:b/>
      <w:caps/>
      <w:sz w:val="32"/>
      <w:bdr w:val="single" w:sz="18" w:space="0" w:color="auto"/>
      <w:lang w:val="de-DE"/>
    </w:rPr>
  </w:style>
  <w:style w:type="paragraph" w:customStyle="1" w:styleId="ConfidentialUE">
    <w:name w:val="Confidential UE"/>
    <w:basedOn w:val="Norml"/>
    <w:pPr>
      <w:spacing w:after="0"/>
      <w:jc w:val="center"/>
    </w:pPr>
    <w:rPr>
      <w:b/>
      <w:caps/>
      <w:sz w:val="32"/>
      <w:bdr w:val="single" w:sz="18" w:space="0" w:color="auto"/>
    </w:rPr>
  </w:style>
  <w:style w:type="paragraph" w:customStyle="1" w:styleId="TrsSecretUE">
    <w:name w:val="Très Secret UE"/>
    <w:basedOn w:val="Norml"/>
    <w:pPr>
      <w:spacing w:after="0"/>
      <w:jc w:val="center"/>
    </w:pPr>
    <w:rPr>
      <w:b/>
      <w:caps/>
      <w:color w:val="FF0000"/>
      <w:sz w:val="32"/>
      <w:bdr w:val="single" w:sz="18" w:space="0" w:color="FF0000"/>
    </w:rPr>
  </w:style>
  <w:style w:type="paragraph" w:customStyle="1" w:styleId="SecretUE">
    <w:name w:val="Secret UE"/>
    <w:basedOn w:val="Norml"/>
    <w:pPr>
      <w:spacing w:after="0"/>
      <w:jc w:val="center"/>
    </w:pPr>
    <w:rPr>
      <w:b/>
      <w:caps/>
      <w:color w:val="FF0000"/>
      <w:sz w:val="32"/>
      <w:bdr w:val="single" w:sz="18" w:space="0" w:color="FF0000"/>
    </w:rPr>
  </w:style>
  <w:style w:type="character" w:customStyle="1" w:styleId="llbChar">
    <w:name w:val="Élőláb Char"/>
    <w:link w:val="llb"/>
    <w:uiPriority w:val="99"/>
    <w:rsid w:val="00BC6AFE"/>
    <w:rPr>
      <w:rFonts w:ascii="Arial" w:hAnsi="Arial"/>
      <w:sz w:val="16"/>
      <w:lang w:eastAsia="en-US"/>
    </w:rPr>
  </w:style>
  <w:style w:type="character" w:customStyle="1" w:styleId="DtumChar">
    <w:name w:val="Dátum Char"/>
    <w:link w:val="Dtum"/>
    <w:uiPriority w:val="99"/>
    <w:rsid w:val="00BC6AFE"/>
    <w:rPr>
      <w:sz w:val="24"/>
      <w:lang w:eastAsia="en-US"/>
    </w:rPr>
  </w:style>
  <w:style w:type="character" w:customStyle="1" w:styleId="AlrsChar">
    <w:name w:val="Aláírás Char"/>
    <w:link w:val="Alrs"/>
    <w:uiPriority w:val="99"/>
    <w:rsid w:val="00BC6AFE"/>
    <w:rPr>
      <w:sz w:val="24"/>
      <w:lang w:eastAsia="en-US"/>
    </w:rPr>
  </w:style>
  <w:style w:type="paragraph" w:customStyle="1" w:styleId="ZCom">
    <w:name w:val="Z_Com"/>
    <w:basedOn w:val="Norm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lfejChar">
    <w:name w:val="Élőfej Char"/>
    <w:link w:val="lfej"/>
    <w:uiPriority w:val="99"/>
    <w:rsid w:val="00BC6AFE"/>
    <w:rPr>
      <w:sz w:val="24"/>
      <w:lang w:eastAsia="en-US"/>
    </w:rPr>
  </w:style>
  <w:style w:type="character" w:customStyle="1" w:styleId="Cmsor2Char">
    <w:name w:val="Címsor 2 Char"/>
    <w:link w:val="Cmsor2"/>
    <w:rsid w:val="00BC6AFE"/>
    <w:rPr>
      <w:b/>
      <w:sz w:val="24"/>
      <w:lang w:eastAsia="en-US"/>
    </w:rPr>
  </w:style>
  <w:style w:type="character" w:customStyle="1" w:styleId="Cmsor1Char">
    <w:name w:val="Címsor 1 Char"/>
    <w:link w:val="Cmsor1"/>
    <w:rsid w:val="00BC6AFE"/>
    <w:rPr>
      <w:b/>
      <w:smallCaps/>
      <w:sz w:val="24"/>
      <w:lang w:eastAsia="en-US"/>
    </w:rPr>
  </w:style>
  <w:style w:type="table" w:styleId="Rcsostblzat">
    <w:name w:val="Table Grid"/>
    <w:basedOn w:val="Normltblzat"/>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E35BC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e.pt/filme_inst/essnet/papers/Session1/Paper1.3.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Feldolgozas\Termeles\FEJLESZTES\kutatasok\afa\Toltottseg\NTTS_2021\NTTS2021_VAT.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36923A4E-BDD5-4DD5-95BD-2E715AB8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NTTS2021_VAT.dot</Template>
  <TotalTime>1</TotalTime>
  <Pages>2</Pages>
  <Words>552</Words>
  <Characters>3812</Characters>
  <Application>Microsoft Office Word</Application>
  <DocSecurity>0</DocSecurity>
  <PresentationFormat>Microsoft Word 14.0</PresentationFormat>
  <Lines>31</Lines>
  <Paragraphs>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4356</CharactersWithSpaces>
  <SharedDoc>false</SharedDoc>
  <HLinks>
    <vt:vector size="6" baseType="variant">
      <vt:variant>
        <vt:i4>4980775</vt:i4>
      </vt:variant>
      <vt:variant>
        <vt:i4>15</vt:i4>
      </vt:variant>
      <vt:variant>
        <vt:i4>0</vt:i4>
      </vt:variant>
      <vt:variant>
        <vt:i4>5</vt:i4>
      </vt:variant>
      <vt:variant>
        <vt:lpwstr>https://www.ine.pt/filme_inst/essnet/papers/Session1/Paper1.3.pdf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Máténé Bella Klaudia</dc:creator>
  <cp:keywords>EL4</cp:keywords>
  <cp:lastModifiedBy>Máténé Bella Klaudia</cp:lastModifiedBy>
  <cp:revision>1</cp:revision>
  <cp:lastPrinted>2018-05-29T10:06:00Z</cp:lastPrinted>
  <dcterms:created xsi:type="dcterms:W3CDTF">2020-10-14T08:36:00Z</dcterms:created>
  <dcterms:modified xsi:type="dcterms:W3CDTF">2020-10-14T08:37:00Z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