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75" w:rsidRDefault="00AF2775" w:rsidP="00AF2775">
      <w:pPr>
        <w:pStyle w:val="Cm"/>
      </w:pPr>
      <w:r>
        <w:t>Survey Incentives and Recent Advances in Trust Theory</w:t>
      </w:r>
    </w:p>
    <w:p w:rsidR="00AF2775" w:rsidRDefault="00AF2775" w:rsidP="00AF2775"/>
    <w:p w:rsidR="00243A2C" w:rsidRDefault="00243A2C" w:rsidP="00243A2C">
      <w:r w:rsidRPr="00243A2C">
        <w:rPr>
          <w:b/>
          <w:u w:val="single"/>
        </w:rPr>
        <w:t>Keywords</w:t>
      </w:r>
      <w:r w:rsidRPr="00243A2C">
        <w:rPr>
          <w:b/>
        </w:rPr>
        <w:t>:</w:t>
      </w:r>
      <w:r>
        <w:t xml:space="preserve"> </w:t>
      </w:r>
      <w:r w:rsidR="00AF2775">
        <w:t>survey incentives, trust, social exchange theory, manipulation, autonomy</w:t>
      </w:r>
    </w:p>
    <w:p w:rsidR="002012A8" w:rsidRDefault="002012A8" w:rsidP="002012A8">
      <w:pPr>
        <w:pStyle w:val="Cmsor1"/>
      </w:pPr>
      <w:r>
        <w:t>Introduction</w:t>
      </w:r>
    </w:p>
    <w:p w:rsidR="00AF2775" w:rsidRDefault="00AF2775" w:rsidP="00AF2775">
      <w:r w:rsidRPr="00D15D67">
        <w:t>As the late Elean</w:t>
      </w:r>
      <w:r w:rsidR="00F77B3F">
        <w:t xml:space="preserve">or Singer </w:t>
      </w:r>
      <w:r w:rsidR="005B1F3D">
        <w:fldChar w:fldCharType="begin"/>
      </w:r>
      <w:r w:rsidR="005B1F3D">
        <w:instrText xml:space="preserve"> REF _Ref52890000 \r \h </w:instrText>
      </w:r>
      <w:r w:rsidR="005B1F3D">
        <w:fldChar w:fldCharType="separate"/>
      </w:r>
      <w:r w:rsidR="00FD6E29">
        <w:t>[1]</w:t>
      </w:r>
      <w:r w:rsidR="005B1F3D">
        <w:fldChar w:fldCharType="end"/>
      </w:r>
      <w:r w:rsidR="009B2DBB">
        <w:t xml:space="preserve"> warned us</w:t>
      </w:r>
      <w:r w:rsidR="008C494B">
        <w:t xml:space="preserve"> regarding the use of survey incentives</w:t>
      </w:r>
      <w:r w:rsidR="00721D50">
        <w:t xml:space="preserve">, </w:t>
      </w:r>
      <w:r w:rsidRPr="00D15D67">
        <w:t>we need ‘</w:t>
      </w:r>
      <w:r w:rsidRPr="00D15D67">
        <w:rPr>
          <w:i/>
        </w:rPr>
        <w:t xml:space="preserve">more theory </w:t>
      </w:r>
      <w:r w:rsidRPr="00D15D67">
        <w:t xml:space="preserve">instead of basing practice on </w:t>
      </w:r>
      <w:r w:rsidRPr="00D15D67">
        <w:rPr>
          <w:i/>
        </w:rPr>
        <w:t xml:space="preserve">past practice. </w:t>
      </w:r>
      <w:r w:rsidRPr="00D15D67">
        <w:t>(…) Because otherwise you are sort of flying by the seat of your pants</w:t>
      </w:r>
      <w:r>
        <w:t>. (…) [W]e can’t rely on hunches anymore.</w:t>
      </w:r>
      <w:r w:rsidRPr="00D15D67">
        <w:t>’</w:t>
      </w:r>
      <w:r>
        <w:t xml:space="preserve"> </w:t>
      </w:r>
      <w:r w:rsidR="008C494B">
        <w:t xml:space="preserve">Then </w:t>
      </w:r>
      <w:r>
        <w:t xml:space="preserve">she lamented on the generally declining survey response rates and the </w:t>
      </w:r>
      <w:r w:rsidR="00620783">
        <w:t xml:space="preserve">weakening </w:t>
      </w:r>
      <w:r>
        <w:t>willingness to cooperate</w:t>
      </w:r>
      <w:r w:rsidR="009B2DBB">
        <w:t>,</w:t>
      </w:r>
      <w:r>
        <w:t xml:space="preserve"> surmising that resistance to surveys should be related to the long-term effects of incentives used in </w:t>
      </w:r>
      <w:r w:rsidR="009B2DBB">
        <w:t xml:space="preserve">a </w:t>
      </w:r>
      <w:r>
        <w:t xml:space="preserve">careless manner. </w:t>
      </w:r>
      <w:r w:rsidRPr="00D15D67">
        <w:t>Th</w:t>
      </w:r>
      <w:r>
        <w:t>ese</w:t>
      </w:r>
      <w:r w:rsidRPr="00D15D67">
        <w:t xml:space="preserve"> comment</w:t>
      </w:r>
      <w:r>
        <w:t>s</w:t>
      </w:r>
      <w:r w:rsidRPr="00D15D67">
        <w:t xml:space="preserve"> </w:t>
      </w:r>
      <w:r>
        <w:t>are</w:t>
      </w:r>
      <w:r w:rsidR="00FD6E29">
        <w:t xml:space="preserve"> by all means true –</w:t>
      </w:r>
      <w:r w:rsidRPr="00D15D67">
        <w:t xml:space="preserve"> </w:t>
      </w:r>
      <w:r w:rsidR="00FD6E29">
        <w:t>alt</w:t>
      </w:r>
      <w:r w:rsidR="008C494B">
        <w:t xml:space="preserve">hough </w:t>
      </w:r>
      <w:r w:rsidR="00FD6E29">
        <w:t>t</w:t>
      </w:r>
      <w:r w:rsidRPr="00D15D67">
        <w:t xml:space="preserve">he use of survey incentives has at least </w:t>
      </w:r>
      <w:r w:rsidRPr="00D15D67">
        <w:rPr>
          <w:i/>
        </w:rPr>
        <w:t xml:space="preserve">some </w:t>
      </w:r>
      <w:r w:rsidRPr="00D15D67">
        <w:t xml:space="preserve">theory behind it, </w:t>
      </w:r>
      <w:r w:rsidR="00FD6E29">
        <w:t xml:space="preserve">but </w:t>
      </w:r>
      <w:r w:rsidR="009B2DBB">
        <w:t>far from being up to date</w:t>
      </w:r>
      <w:r w:rsidR="008C494B">
        <w:t>.</w:t>
      </w:r>
      <w:r w:rsidRPr="00D15D67">
        <w:t xml:space="preserve"> </w:t>
      </w:r>
      <w:r w:rsidR="009B2DBB">
        <w:t>R</w:t>
      </w:r>
      <w:r w:rsidR="009B2DBB" w:rsidRPr="00D15D67">
        <w:t xml:space="preserve">egarding </w:t>
      </w:r>
      <w:r w:rsidR="00D45891">
        <w:t xml:space="preserve">the </w:t>
      </w:r>
      <w:r w:rsidR="00D45891" w:rsidRPr="00D15D67">
        <w:t xml:space="preserve">concept of </w:t>
      </w:r>
      <w:r w:rsidR="00D45891">
        <w:t>their central notion</w:t>
      </w:r>
      <w:r w:rsidR="008C494B">
        <w:t>:</w:t>
      </w:r>
      <w:r w:rsidR="00D45891" w:rsidRPr="00D15D67">
        <w:t xml:space="preserve"> </w:t>
      </w:r>
      <w:r w:rsidR="009B2DBB" w:rsidRPr="00D15D67">
        <w:t>trust</w:t>
      </w:r>
      <w:r w:rsidR="009B2DBB">
        <w:t>,</w:t>
      </w:r>
      <w:r w:rsidR="009B2DBB" w:rsidRPr="00D15D67">
        <w:t xml:space="preserve"> </w:t>
      </w:r>
      <w:r w:rsidR="009B2DBB">
        <w:t>t</w:t>
      </w:r>
      <w:r w:rsidRPr="00D15D67">
        <w:t xml:space="preserve">hey were already </w:t>
      </w:r>
      <w:r w:rsidR="00FD6E29">
        <w:t>obsolete</w:t>
      </w:r>
      <w:r w:rsidRPr="00D15D67">
        <w:t xml:space="preserve"> at the </w:t>
      </w:r>
      <w:r w:rsidR="008C494B">
        <w:t>outset</w:t>
      </w:r>
      <w:r w:rsidRPr="00D15D67">
        <w:t>. Therefore, Singer’s calling for more theor</w:t>
      </w:r>
      <w:r w:rsidR="009B2DBB">
        <w:t>y</w:t>
      </w:r>
      <w:r w:rsidRPr="00D15D67">
        <w:t xml:space="preserve"> gets ever more pressing. </w:t>
      </w:r>
      <w:r w:rsidR="00D45891">
        <w:t>T</w:t>
      </w:r>
      <w:r w:rsidR="009B2DBB">
        <w:t>his</w:t>
      </w:r>
      <w:r w:rsidR="00620783">
        <w:t xml:space="preserve"> </w:t>
      </w:r>
      <w:r w:rsidR="00B54F06">
        <w:t>study</w:t>
      </w:r>
      <w:r w:rsidRPr="00D15D67">
        <w:t xml:space="preserve"> </w:t>
      </w:r>
      <w:r w:rsidR="00620783">
        <w:t>show</w:t>
      </w:r>
      <w:r w:rsidR="00D45891">
        <w:t>s</w:t>
      </w:r>
      <w:r w:rsidR="00620783">
        <w:t xml:space="preserve"> the background and consequences of the outdated understanding of </w:t>
      </w:r>
      <w:r w:rsidRPr="00D15D67">
        <w:t>trust</w:t>
      </w:r>
      <w:r w:rsidR="00620783">
        <w:t xml:space="preserve"> – </w:t>
      </w:r>
      <w:r w:rsidR="00620783" w:rsidRPr="00D15D67">
        <w:t>a factor of ultimate importance in survey response</w:t>
      </w:r>
      <w:r w:rsidR="00620783">
        <w:t xml:space="preserve"> – in survey nonresponse literature.</w:t>
      </w:r>
    </w:p>
    <w:p w:rsidR="00BC6AFE" w:rsidRDefault="00BC6AFE" w:rsidP="00BC6AFE">
      <w:pPr>
        <w:pStyle w:val="Cmsor1"/>
      </w:pPr>
      <w:r>
        <w:t>Methods</w:t>
      </w:r>
    </w:p>
    <w:p w:rsidR="00BC6AFE" w:rsidRPr="00BC6AFE" w:rsidRDefault="00B54F06" w:rsidP="00C01715">
      <w:r>
        <w:t xml:space="preserve">It is commonplace knowledge that incomplete or incorrect understanding of a phenomenon </w:t>
      </w:r>
      <w:r w:rsidR="00F77B3F">
        <w:t>result</w:t>
      </w:r>
      <w:r w:rsidR="00D752AA">
        <w:t>s</w:t>
      </w:r>
      <w:r w:rsidR="00F77B3F">
        <w:t xml:space="preserve"> in (1</w:t>
      </w:r>
      <w:r w:rsidR="00D752AA">
        <w:t>)</w:t>
      </w:r>
      <w:r w:rsidR="00F77B3F">
        <w:t xml:space="preserve"> operationalisation</w:t>
      </w:r>
      <w:r w:rsidR="00D752AA">
        <w:t xml:space="preserve"> issues</w:t>
      </w:r>
      <w:r w:rsidR="00F77B3F">
        <w:t xml:space="preserve">, (2) invalid data, (3) ineffective practice, </w:t>
      </w:r>
      <w:r w:rsidR="00D752AA">
        <w:t xml:space="preserve">and </w:t>
      </w:r>
      <w:r w:rsidR="00F77B3F">
        <w:t xml:space="preserve">(4) unintended (side-)effects. </w:t>
      </w:r>
      <w:r w:rsidR="00A82837">
        <w:t xml:space="preserve">Appropriate conceptualisation must </w:t>
      </w:r>
      <w:r w:rsidR="000B5C60">
        <w:t xml:space="preserve">be </w:t>
      </w:r>
      <w:r w:rsidR="00EC24B1">
        <w:t xml:space="preserve">the </w:t>
      </w:r>
      <w:r w:rsidR="000B5C60">
        <w:t xml:space="preserve">cornerstone of </w:t>
      </w:r>
      <w:r w:rsidR="00D752AA">
        <w:t xml:space="preserve">all </w:t>
      </w:r>
      <w:r w:rsidR="00A82837">
        <w:t xml:space="preserve">statistical work. </w:t>
      </w:r>
      <w:r w:rsidR="003F11BD">
        <w:t>Unlike</w:t>
      </w:r>
      <w:r w:rsidR="00A82837">
        <w:t xml:space="preserve"> many </w:t>
      </w:r>
      <w:r w:rsidR="003F11BD">
        <w:t xml:space="preserve">other types of </w:t>
      </w:r>
      <w:r w:rsidR="000B5C60">
        <w:t xml:space="preserve">error, the lack of </w:t>
      </w:r>
      <w:r w:rsidR="00D752AA">
        <w:t xml:space="preserve">proper </w:t>
      </w:r>
      <w:r w:rsidR="000B5C60">
        <w:t>conceptual foundations cannot be controlled for</w:t>
      </w:r>
      <w:r w:rsidR="003F11BD">
        <w:t xml:space="preserve"> in later phases</w:t>
      </w:r>
      <w:r w:rsidR="000B5C60">
        <w:t>.</w:t>
      </w:r>
      <w:r w:rsidR="003F11BD">
        <w:t xml:space="preserve"> </w:t>
      </w:r>
      <w:r w:rsidR="00D752AA">
        <w:t>V</w:t>
      </w:r>
      <w:r w:rsidR="000B5C60">
        <w:t xml:space="preserve">alue of all statistics is constrained by the quality and depth of </w:t>
      </w:r>
      <w:r w:rsidR="003F11BD">
        <w:t xml:space="preserve">underlying </w:t>
      </w:r>
      <w:r w:rsidR="000B5C60">
        <w:t>conceptual understanding.</w:t>
      </w:r>
      <w:r w:rsidR="00EC24B1">
        <w:t xml:space="preserve"> It applies to efforts unto nonresponse reduction as well. </w:t>
      </w:r>
      <w:r w:rsidR="00C01715">
        <w:t xml:space="preserve">Due to </w:t>
      </w:r>
      <w:r w:rsidR="00D752AA">
        <w:t xml:space="preserve">the </w:t>
      </w:r>
      <w:r>
        <w:t>conceptual</w:t>
      </w:r>
      <w:r w:rsidR="00C01715">
        <w:t xml:space="preserve"> focus,</w:t>
      </w:r>
      <w:r>
        <w:rPr>
          <w:rStyle w:val="Lbjegyzet-hivatkozs"/>
        </w:rPr>
        <w:footnoteReference w:id="1"/>
      </w:r>
      <w:r w:rsidR="00C01715">
        <w:t xml:space="preserve"> the </w:t>
      </w:r>
      <w:r w:rsidR="00A82837">
        <w:t xml:space="preserve">present </w:t>
      </w:r>
      <w:r>
        <w:t>study</w:t>
      </w:r>
      <w:r w:rsidR="00C01715">
        <w:t xml:space="preserve"> ap</w:t>
      </w:r>
      <w:bookmarkStart w:id="0" w:name="_GoBack"/>
      <w:bookmarkEnd w:id="0"/>
      <w:r w:rsidR="00C01715">
        <w:t xml:space="preserve">plies </w:t>
      </w:r>
      <w:r w:rsidR="008C494B">
        <w:t xml:space="preserve">a critical analysis of the relevant literature and </w:t>
      </w:r>
      <w:r w:rsidR="00C01715">
        <w:t>pure system</w:t>
      </w:r>
      <w:r w:rsidR="008C494B">
        <w:t>atic theoretical argumentation</w:t>
      </w:r>
      <w:r w:rsidR="00C01715">
        <w:t>.</w:t>
      </w:r>
    </w:p>
    <w:p w:rsidR="00BC6AFE" w:rsidRDefault="00BC6AFE" w:rsidP="00BC6AFE">
      <w:pPr>
        <w:pStyle w:val="Cmsor1"/>
      </w:pPr>
      <w:r>
        <w:t>Results</w:t>
      </w:r>
    </w:p>
    <w:p w:rsidR="00D52EA1" w:rsidRPr="00D52EA1" w:rsidRDefault="00EC24B1" w:rsidP="00EC24B1">
      <w:pPr>
        <w:rPr>
          <w:highlight w:val="green"/>
        </w:rPr>
      </w:pPr>
      <w:r>
        <w:t xml:space="preserve">Trust is an elusive concept surrounded by a permanent ‘conceptual confusion’ </w:t>
      </w:r>
      <w:r w:rsidR="005B1F3D">
        <w:fldChar w:fldCharType="begin"/>
      </w:r>
      <w:r w:rsidR="005B1F3D">
        <w:instrText xml:space="preserve"> REF _Ref52890091 \n \h </w:instrText>
      </w:r>
      <w:r w:rsidR="005B1F3D">
        <w:fldChar w:fldCharType="separate"/>
      </w:r>
      <w:r w:rsidR="00FD6E29">
        <w:t>[2]</w:t>
      </w:r>
      <w:r w:rsidR="005B1F3D">
        <w:fldChar w:fldCharType="end"/>
      </w:r>
      <w:r>
        <w:t xml:space="preserve"> </w:t>
      </w:r>
      <w:r w:rsidR="00FD6E29">
        <w:t>that</w:t>
      </w:r>
      <w:r>
        <w:t xml:space="preserve"> theorists of survey incentive us</w:t>
      </w:r>
      <w:r w:rsidR="009B2DBB">
        <w:t>e</w:t>
      </w:r>
      <w:r>
        <w:t xml:space="preserve"> seem to </w:t>
      </w:r>
      <w:r w:rsidR="008C494B">
        <w:t>ignore</w:t>
      </w:r>
      <w:r>
        <w:t xml:space="preserve">. </w:t>
      </w:r>
      <w:r w:rsidR="00721D50">
        <w:t xml:space="preserve">Some </w:t>
      </w:r>
      <w:r w:rsidR="00721D50">
        <w:fldChar w:fldCharType="begin"/>
      </w:r>
      <w:r w:rsidR="00721D50">
        <w:instrText xml:space="preserve"> REF _Ref52890202 \n \h </w:instrText>
      </w:r>
      <w:r w:rsidR="00721D50">
        <w:fldChar w:fldCharType="separate"/>
      </w:r>
      <w:r w:rsidR="00FD6E29">
        <w:t>[7]</w:t>
      </w:r>
      <w:r w:rsidR="00721D50">
        <w:fldChar w:fldCharType="end"/>
      </w:r>
      <w:r w:rsidR="00721D50">
        <w:t xml:space="preserve"> explicitly, others </w:t>
      </w:r>
      <w:r w:rsidR="00721D50">
        <w:fldChar w:fldCharType="begin"/>
      </w:r>
      <w:r w:rsidR="00721D50">
        <w:instrText xml:space="preserve"> REF _Ref52890208 \n \h </w:instrText>
      </w:r>
      <w:r w:rsidR="00721D50">
        <w:fldChar w:fldCharType="separate"/>
      </w:r>
      <w:r w:rsidR="00FD6E29">
        <w:t>[8]</w:t>
      </w:r>
      <w:r w:rsidR="00721D50">
        <w:fldChar w:fldCharType="end"/>
      </w:r>
      <w:r w:rsidR="00721D50">
        <w:t xml:space="preserve"> implicitly follow Dillman </w:t>
      </w:r>
      <w:r w:rsidR="00721D50">
        <w:fldChar w:fldCharType="begin"/>
      </w:r>
      <w:r w:rsidR="00721D50">
        <w:instrText xml:space="preserve"> REF _Ref52890191 \n \h </w:instrText>
      </w:r>
      <w:r w:rsidR="00721D50">
        <w:fldChar w:fldCharType="separate"/>
      </w:r>
      <w:r w:rsidR="00FD6E29">
        <w:t>[4]</w:t>
      </w:r>
      <w:r w:rsidR="00721D50">
        <w:fldChar w:fldCharType="end"/>
      </w:r>
      <w:r w:rsidR="00721D50">
        <w:fldChar w:fldCharType="begin"/>
      </w:r>
      <w:r w:rsidR="00721D50">
        <w:instrText xml:space="preserve"> REF _Ref52890194 \n \h </w:instrText>
      </w:r>
      <w:r w:rsidR="00721D50">
        <w:fldChar w:fldCharType="separate"/>
      </w:r>
      <w:r w:rsidR="00FD6E29">
        <w:t>[5]</w:t>
      </w:r>
      <w:r w:rsidR="00721D50">
        <w:fldChar w:fldCharType="end"/>
      </w:r>
      <w:r w:rsidR="00721D50">
        <w:fldChar w:fldCharType="begin"/>
      </w:r>
      <w:r w:rsidR="00721D50">
        <w:instrText xml:space="preserve"> REF _Ref52890196 \n \h </w:instrText>
      </w:r>
      <w:r w:rsidR="00721D50">
        <w:fldChar w:fldCharType="separate"/>
      </w:r>
      <w:r w:rsidR="00FD6E29">
        <w:t>[6]</w:t>
      </w:r>
      <w:r w:rsidR="00721D50">
        <w:fldChar w:fldCharType="end"/>
      </w:r>
      <w:r w:rsidR="00721D50">
        <w:t xml:space="preserve"> in using</w:t>
      </w:r>
      <w:r>
        <w:t xml:space="preserve"> </w:t>
      </w:r>
      <w:proofErr w:type="spellStart"/>
      <w:r w:rsidR="005B1F3D">
        <w:t>Blau’s</w:t>
      </w:r>
      <w:proofErr w:type="spellEnd"/>
      <w:r w:rsidR="005B1F3D">
        <w:t xml:space="preserve"> </w:t>
      </w:r>
      <w:r w:rsidR="005B1F3D">
        <w:fldChar w:fldCharType="begin"/>
      </w:r>
      <w:r w:rsidR="005B1F3D">
        <w:instrText xml:space="preserve"> REF _Ref52890180 \n \h </w:instrText>
      </w:r>
      <w:r w:rsidR="005B1F3D">
        <w:fldChar w:fldCharType="separate"/>
      </w:r>
      <w:r w:rsidR="00FD6E29">
        <w:t>[3]</w:t>
      </w:r>
      <w:r w:rsidR="005B1F3D">
        <w:fldChar w:fldCharType="end"/>
      </w:r>
      <w:r w:rsidR="005B1F3D">
        <w:t xml:space="preserve"> </w:t>
      </w:r>
      <w:r>
        <w:t>Social Exchange Theory</w:t>
      </w:r>
      <w:r w:rsidR="00323017">
        <w:t xml:space="preserve"> (SET)</w:t>
      </w:r>
      <w:r w:rsidR="002E703A">
        <w:t xml:space="preserve"> trust concept</w:t>
      </w:r>
      <w:r w:rsidR="008C494B">
        <w:t xml:space="preserve">: ‘the expectation that in the long run the rewards of doing something will outweigh the costs’ </w:t>
      </w:r>
      <w:r w:rsidR="008C494B">
        <w:fldChar w:fldCharType="begin"/>
      </w:r>
      <w:r w:rsidR="008C494B">
        <w:instrText xml:space="preserve"> REF _Ref52890194 \n \h </w:instrText>
      </w:r>
      <w:r w:rsidR="008C494B">
        <w:fldChar w:fldCharType="separate"/>
      </w:r>
      <w:r w:rsidR="00FD6E29">
        <w:t>[5]</w:t>
      </w:r>
      <w:r w:rsidR="008C494B">
        <w:fldChar w:fldCharType="end"/>
      </w:r>
      <w:r w:rsidR="00721D50">
        <w:t xml:space="preserve">. </w:t>
      </w:r>
      <w:r w:rsidR="00E345F2">
        <w:t>T</w:t>
      </w:r>
      <w:r>
        <w:t>here are but two limitations of the</w:t>
      </w:r>
      <w:r w:rsidR="00401886">
        <w:t>se</w:t>
      </w:r>
      <w:r>
        <w:t xml:space="preserve"> accounts. First, </w:t>
      </w:r>
      <w:r w:rsidR="00E345F2">
        <w:t xml:space="preserve">they seem to be </w:t>
      </w:r>
      <w:r>
        <w:t xml:space="preserve">unaware </w:t>
      </w:r>
      <w:r w:rsidR="00E345F2">
        <w:t>that</w:t>
      </w:r>
      <w:r>
        <w:t xml:space="preserve"> </w:t>
      </w:r>
      <w:proofErr w:type="spellStart"/>
      <w:r>
        <w:t>Luhmann’s</w:t>
      </w:r>
      <w:proofErr w:type="spellEnd"/>
      <w:r>
        <w:t xml:space="preserve"> </w:t>
      </w:r>
      <w:r w:rsidR="005B1F3D">
        <w:fldChar w:fldCharType="begin"/>
      </w:r>
      <w:r w:rsidR="005B1F3D">
        <w:instrText xml:space="preserve"> REF _Ref52890215 \n \h </w:instrText>
      </w:r>
      <w:r w:rsidR="005B1F3D">
        <w:fldChar w:fldCharType="separate"/>
      </w:r>
      <w:r w:rsidR="00FD6E29">
        <w:t>[9]</w:t>
      </w:r>
      <w:r w:rsidR="005B1F3D">
        <w:fldChar w:fldCharType="end"/>
      </w:r>
      <w:r>
        <w:t xml:space="preserve"> ground-breaking work on trust </w:t>
      </w:r>
      <w:r w:rsidR="00E345F2">
        <w:t>rendered</w:t>
      </w:r>
      <w:r>
        <w:t xml:space="preserve"> </w:t>
      </w:r>
      <w:proofErr w:type="spellStart"/>
      <w:r>
        <w:t>Blau’s</w:t>
      </w:r>
      <w:proofErr w:type="spellEnd"/>
      <w:r>
        <w:t xml:space="preserve"> </w:t>
      </w:r>
      <w:r w:rsidR="005B1F3D">
        <w:fldChar w:fldCharType="begin"/>
      </w:r>
      <w:r w:rsidR="005B1F3D">
        <w:instrText xml:space="preserve"> REF _Ref52890180 \n \h </w:instrText>
      </w:r>
      <w:r w:rsidR="005B1F3D">
        <w:fldChar w:fldCharType="separate"/>
      </w:r>
      <w:r w:rsidR="00FD6E29">
        <w:t>[3]</w:t>
      </w:r>
      <w:r w:rsidR="005B1F3D">
        <w:fldChar w:fldCharType="end"/>
      </w:r>
      <w:r>
        <w:t xml:space="preserve"> concept obsolete by clarifying</w:t>
      </w:r>
      <w:r w:rsidR="008C494B">
        <w:t>:</w:t>
      </w:r>
      <w:r>
        <w:t xml:space="preserve"> calculation and self-interest cannot be the bases for genuine trust. </w:t>
      </w:r>
      <w:proofErr w:type="spellStart"/>
      <w:r>
        <w:t>Luhmann’s</w:t>
      </w:r>
      <w:proofErr w:type="spellEnd"/>
      <w:r>
        <w:t xml:space="preserve"> theory </w:t>
      </w:r>
      <w:r w:rsidR="00D752AA">
        <w:t xml:space="preserve">in German </w:t>
      </w:r>
      <w:r>
        <w:t>was already out for more than a decade</w:t>
      </w:r>
      <w:r w:rsidR="00323017">
        <w:t xml:space="preserve"> when Dillman published his seminal book </w:t>
      </w:r>
      <w:r w:rsidR="00323017">
        <w:fldChar w:fldCharType="begin"/>
      </w:r>
      <w:r w:rsidR="00323017">
        <w:instrText xml:space="preserve"> REF _Ref52890191 \r \h </w:instrText>
      </w:r>
      <w:r w:rsidR="00323017">
        <w:fldChar w:fldCharType="separate"/>
      </w:r>
      <w:r w:rsidR="00FD6E29">
        <w:t>[4]</w:t>
      </w:r>
      <w:r w:rsidR="00323017">
        <w:fldChar w:fldCharType="end"/>
      </w:r>
      <w:r>
        <w:t xml:space="preserve">. </w:t>
      </w:r>
      <w:r w:rsidR="002E703A">
        <w:t xml:space="preserve">Second, </w:t>
      </w:r>
      <w:r w:rsidR="00EB6881">
        <w:t>n</w:t>
      </w:r>
      <w:r>
        <w:t xml:space="preserve">either Dillman, nor his followers </w:t>
      </w:r>
      <w:r w:rsidR="002E703A">
        <w:t>have</w:t>
      </w:r>
      <w:r w:rsidR="00323017">
        <w:t xml:space="preserve"> been </w:t>
      </w:r>
      <w:r>
        <w:t>reflect</w:t>
      </w:r>
      <w:r w:rsidR="00323017">
        <w:t>ing</w:t>
      </w:r>
      <w:r>
        <w:t xml:space="preserve"> at all on the advances </w:t>
      </w:r>
      <w:r w:rsidR="00323017">
        <w:t xml:space="preserve">in </w:t>
      </w:r>
      <w:r>
        <w:t>trust theory in the decades</w:t>
      </w:r>
      <w:r w:rsidR="009B2DBB">
        <w:t xml:space="preserve"> passed</w:t>
      </w:r>
      <w:r>
        <w:t xml:space="preserve">. The outdated trust concept of the ‘quite simple’ </w:t>
      </w:r>
      <w:r w:rsidR="005B1F3D">
        <w:fldChar w:fldCharType="begin"/>
      </w:r>
      <w:r w:rsidR="005B1F3D">
        <w:instrText xml:space="preserve"> REF _Ref52890196 \n \h </w:instrText>
      </w:r>
      <w:r w:rsidR="005B1F3D">
        <w:fldChar w:fldCharType="separate"/>
      </w:r>
      <w:r w:rsidR="00FD6E29">
        <w:t>[6]</w:t>
      </w:r>
      <w:r w:rsidR="005B1F3D">
        <w:fldChar w:fldCharType="end"/>
      </w:r>
      <w:r>
        <w:t xml:space="preserve"> </w:t>
      </w:r>
      <w:r w:rsidR="00323017">
        <w:t>SET</w:t>
      </w:r>
      <w:r>
        <w:t xml:space="preserve"> is still central </w:t>
      </w:r>
      <w:r w:rsidR="009B2DBB">
        <w:t xml:space="preserve">in </w:t>
      </w:r>
      <w:r w:rsidR="005B1F3D">
        <w:t>their later works</w:t>
      </w:r>
      <w:r w:rsidR="002E703A">
        <w:t>.</w:t>
      </w:r>
      <w:r>
        <w:t xml:space="preserve"> </w:t>
      </w:r>
      <w:proofErr w:type="spellStart"/>
      <w:r>
        <w:t>Dillman</w:t>
      </w:r>
      <w:r w:rsidR="002E703A">
        <w:t>’s</w:t>
      </w:r>
      <w:proofErr w:type="spellEnd"/>
      <w:r>
        <w:t xml:space="preserve"> </w:t>
      </w:r>
      <w:r w:rsidR="005B1F3D">
        <w:fldChar w:fldCharType="begin"/>
      </w:r>
      <w:r w:rsidR="005B1F3D">
        <w:instrText xml:space="preserve"> REF _Ref52890191 \n \h </w:instrText>
      </w:r>
      <w:r w:rsidR="005B1F3D">
        <w:fldChar w:fldCharType="separate"/>
      </w:r>
      <w:r w:rsidR="00FD6E29">
        <w:t>[4]</w:t>
      </w:r>
      <w:r w:rsidR="005B1F3D">
        <w:fldChar w:fldCharType="end"/>
      </w:r>
      <w:r w:rsidR="005B1F3D">
        <w:fldChar w:fldCharType="begin"/>
      </w:r>
      <w:r w:rsidR="005B1F3D">
        <w:instrText xml:space="preserve"> REF _Ref52890194 \n \h </w:instrText>
      </w:r>
      <w:r w:rsidR="005B1F3D">
        <w:fldChar w:fldCharType="separate"/>
      </w:r>
      <w:r w:rsidR="00FD6E29">
        <w:t>[5]</w:t>
      </w:r>
      <w:r w:rsidR="005B1F3D">
        <w:fldChar w:fldCharType="end"/>
      </w:r>
      <w:r w:rsidR="005B1F3D">
        <w:fldChar w:fldCharType="begin"/>
      </w:r>
      <w:r w:rsidR="005B1F3D">
        <w:instrText xml:space="preserve"> REF _Ref52890196 \n \h </w:instrText>
      </w:r>
      <w:r w:rsidR="005B1F3D">
        <w:fldChar w:fldCharType="separate"/>
      </w:r>
      <w:r w:rsidR="00FD6E29">
        <w:t>[6]</w:t>
      </w:r>
      <w:r w:rsidR="005B1F3D">
        <w:fldChar w:fldCharType="end"/>
      </w:r>
      <w:r>
        <w:t xml:space="preserve"> three </w:t>
      </w:r>
      <w:r w:rsidR="00323017">
        <w:t xml:space="preserve">critical </w:t>
      </w:r>
      <w:r>
        <w:t xml:space="preserve">elements </w:t>
      </w:r>
      <w:r w:rsidR="00323017">
        <w:t xml:space="preserve">of </w:t>
      </w:r>
      <w:proofErr w:type="spellStart"/>
      <w:r>
        <w:t>rejective</w:t>
      </w:r>
      <w:proofErr w:type="spellEnd"/>
      <w:r>
        <w:t xml:space="preserve"> or cooperative decision</w:t>
      </w:r>
      <w:r w:rsidR="00323017">
        <w:t xml:space="preserve"> are</w:t>
      </w:r>
      <w:r>
        <w:t xml:space="preserve"> costs, rewards, and trust. </w:t>
      </w:r>
      <w:r w:rsidR="00323017">
        <w:t>However, he seems to</w:t>
      </w:r>
      <w:r>
        <w:t xml:space="preserve"> </w:t>
      </w:r>
      <w:r w:rsidR="009B2DBB">
        <w:t>mis</w:t>
      </w:r>
      <w:r w:rsidR="00323017">
        <w:t>understand</w:t>
      </w:r>
      <w:r>
        <w:t xml:space="preserve"> the phenomenon of trust. </w:t>
      </w:r>
      <w:r w:rsidR="008C494B">
        <w:t>His</w:t>
      </w:r>
      <w:r w:rsidR="00323017">
        <w:t xml:space="preserve"> definition</w:t>
      </w:r>
      <w:r>
        <w:t xml:space="preserve"> </w:t>
      </w:r>
      <w:r w:rsidR="00323017">
        <w:t xml:space="preserve">was </w:t>
      </w:r>
      <w:r w:rsidR="00B717B4">
        <w:t xml:space="preserve">fairly </w:t>
      </w:r>
      <w:r>
        <w:t xml:space="preserve">up to date </w:t>
      </w:r>
      <w:r w:rsidR="005B1F3D">
        <w:t>in 1979,</w:t>
      </w:r>
      <w:r>
        <w:t xml:space="preserve"> but such calculative approaches have since been proven to be</w:t>
      </w:r>
      <w:r w:rsidR="00323017">
        <w:t xml:space="preserve"> mistaken</w:t>
      </w:r>
      <w:r>
        <w:t>.</w:t>
      </w:r>
      <w:r w:rsidR="00323017">
        <w:t xml:space="preserve"> </w:t>
      </w:r>
      <w:r w:rsidR="002E703A">
        <w:t>The SET</w:t>
      </w:r>
      <w:r>
        <w:t xml:space="preserve"> </w:t>
      </w:r>
      <w:r w:rsidR="005B1F3D">
        <w:t>i</w:t>
      </w:r>
      <w:r>
        <w:t xml:space="preserve">s </w:t>
      </w:r>
      <w:r w:rsidR="005B1F3D">
        <w:t xml:space="preserve">unable </w:t>
      </w:r>
      <w:r>
        <w:t xml:space="preserve">to </w:t>
      </w:r>
      <w:r w:rsidR="008C494B">
        <w:t>properly define trust</w:t>
      </w:r>
      <w:r>
        <w:t xml:space="preserve">, along with </w:t>
      </w:r>
      <w:r w:rsidR="00323017">
        <w:t xml:space="preserve">the entire </w:t>
      </w:r>
      <w:r>
        <w:t xml:space="preserve">branch of </w:t>
      </w:r>
      <w:r w:rsidR="00323017">
        <w:t xml:space="preserve">‘cognitive’ </w:t>
      </w:r>
      <w:r>
        <w:t xml:space="preserve">trust theories </w:t>
      </w:r>
      <w:r w:rsidR="005B1F3D">
        <w:lastRenderedPageBreak/>
        <w:fldChar w:fldCharType="begin"/>
      </w:r>
      <w:r w:rsidR="005B1F3D">
        <w:instrText xml:space="preserve"> REF _Ref52890612 \n \h </w:instrText>
      </w:r>
      <w:r w:rsidR="005B1F3D">
        <w:fldChar w:fldCharType="separate"/>
      </w:r>
      <w:r w:rsidR="00FD6E29">
        <w:t>[10]</w:t>
      </w:r>
      <w:r w:rsidR="005B1F3D">
        <w:fldChar w:fldCharType="end"/>
      </w:r>
      <w:r>
        <w:t xml:space="preserve">. Trust bound to risk-taking in social exchange relationships and defined as </w:t>
      </w:r>
      <w:r w:rsidR="005B1F3D">
        <w:t>it would emerge</w:t>
      </w:r>
      <w:r>
        <w:t xml:space="preserve"> gradually out of pure self-interest in the course of recurring cost–benefit calculations </w:t>
      </w:r>
      <w:r w:rsidR="005B1F3D">
        <w:fldChar w:fldCharType="begin"/>
      </w:r>
      <w:r w:rsidR="005B1F3D">
        <w:instrText xml:space="preserve"> REF _Ref52890180 \n \h </w:instrText>
      </w:r>
      <w:r w:rsidR="005B1F3D">
        <w:fldChar w:fldCharType="separate"/>
      </w:r>
      <w:r w:rsidR="00FD6E29">
        <w:t>[3]</w:t>
      </w:r>
      <w:r w:rsidR="005B1F3D">
        <w:fldChar w:fldCharType="end"/>
      </w:r>
      <w:r>
        <w:t xml:space="preserve"> is only different from a by-product of mere economic exchange in that prices and rewards cannot be exactly measured in social exchange relations.</w:t>
      </w:r>
    </w:p>
    <w:p w:rsidR="00E345F2" w:rsidRDefault="00C66A6C" w:rsidP="00E345F2">
      <w:r>
        <w:t>A</w:t>
      </w:r>
      <w:r w:rsidR="00E345F2">
        <w:t xml:space="preserve"> </w:t>
      </w:r>
      <w:r w:rsidR="00323017">
        <w:t>quick glance at</w:t>
      </w:r>
      <w:r w:rsidR="00E345F2">
        <w:t xml:space="preserve"> the two major branches of trust theories has to be given here. The better-known is the cognitive approach, </w:t>
      </w:r>
      <w:r w:rsidR="00323017">
        <w:t>incorporating</w:t>
      </w:r>
      <w:r w:rsidR="00E345F2">
        <w:t xml:space="preserve"> many schools </w:t>
      </w:r>
      <w:r w:rsidR="00323017">
        <w:t xml:space="preserve">with </w:t>
      </w:r>
      <w:r w:rsidR="00E345F2">
        <w:t xml:space="preserve">some common </w:t>
      </w:r>
      <w:r w:rsidR="001008EC">
        <w:t xml:space="preserve">basic </w:t>
      </w:r>
      <w:r w:rsidR="00E345F2">
        <w:t>characteristics.</w:t>
      </w:r>
      <w:r w:rsidR="00B717B4">
        <w:t xml:space="preserve"> They assume</w:t>
      </w:r>
      <w:r w:rsidR="00E345F2">
        <w:t xml:space="preserve"> trust to be a knowledge-, information, and experience-based, learnt capacity in the state of uncertainty and perception of risks. This three-place, purposive (A trusts B to do X) trust is extremely fragile: hard to build but easy to destroy </w:t>
      </w:r>
      <w:r w:rsidR="005B1F3D">
        <w:fldChar w:fldCharType="begin"/>
      </w:r>
      <w:r w:rsidR="005B1F3D">
        <w:instrText xml:space="preserve"> REF _Ref52891686 \n \h </w:instrText>
      </w:r>
      <w:r w:rsidR="005B1F3D">
        <w:fldChar w:fldCharType="separate"/>
      </w:r>
      <w:r w:rsidR="00FD6E29">
        <w:t>[11]</w:t>
      </w:r>
      <w:r w:rsidR="005B1F3D">
        <w:fldChar w:fldCharType="end"/>
      </w:r>
      <w:r w:rsidR="00E345F2">
        <w:t xml:space="preserve">. </w:t>
      </w:r>
      <w:r w:rsidR="005B1F3D">
        <w:t>T</w:t>
      </w:r>
      <w:r w:rsidR="00E345F2">
        <w:t xml:space="preserve">he </w:t>
      </w:r>
      <w:r w:rsidR="005B1F3D">
        <w:t xml:space="preserve">critique of the </w:t>
      </w:r>
      <w:r w:rsidR="00E345F2">
        <w:t xml:space="preserve">simplest </w:t>
      </w:r>
      <w:r w:rsidR="005B1F3D">
        <w:t>views treating trust as a rational decision</w:t>
      </w:r>
      <w:r w:rsidR="00E345F2">
        <w:t xml:space="preserve">, an assessment of costs and gains </w:t>
      </w:r>
      <w:r w:rsidR="005B1F3D">
        <w:fldChar w:fldCharType="begin"/>
      </w:r>
      <w:r w:rsidR="005B1F3D">
        <w:instrText xml:space="preserve"> REF _Ref52891870 \n \h </w:instrText>
      </w:r>
      <w:r w:rsidR="005B1F3D">
        <w:fldChar w:fldCharType="separate"/>
      </w:r>
      <w:r w:rsidR="00FD6E29">
        <w:t>[12]</w:t>
      </w:r>
      <w:r w:rsidR="005B1F3D">
        <w:fldChar w:fldCharType="end"/>
      </w:r>
      <w:r w:rsidR="005B1F3D">
        <w:fldChar w:fldCharType="begin"/>
      </w:r>
      <w:r w:rsidR="005B1F3D">
        <w:instrText xml:space="preserve"> REF _Ref52891876 \n \h </w:instrText>
      </w:r>
      <w:r w:rsidR="005B1F3D">
        <w:fldChar w:fldCharType="separate"/>
      </w:r>
      <w:r w:rsidR="00FD6E29">
        <w:t>[13]</w:t>
      </w:r>
      <w:r w:rsidR="005B1F3D">
        <w:fldChar w:fldCharType="end"/>
      </w:r>
      <w:r w:rsidR="005B1F3D">
        <w:fldChar w:fldCharType="begin"/>
      </w:r>
      <w:r w:rsidR="005B1F3D">
        <w:instrText xml:space="preserve"> REF _Ref52891878 \n \h </w:instrText>
      </w:r>
      <w:r w:rsidR="005B1F3D">
        <w:fldChar w:fldCharType="separate"/>
      </w:r>
      <w:r w:rsidR="00FD6E29">
        <w:t>[14]</w:t>
      </w:r>
      <w:r w:rsidR="005B1F3D">
        <w:fldChar w:fldCharType="end"/>
      </w:r>
      <w:r w:rsidR="00E345F2">
        <w:t xml:space="preserve"> lead to an even greater mis</w:t>
      </w:r>
      <w:r w:rsidR="001008EC">
        <w:t>understanding of the phenomenon:</w:t>
      </w:r>
      <w:r w:rsidR="00E345F2">
        <w:t xml:space="preserve"> </w:t>
      </w:r>
      <w:r w:rsidR="00323017">
        <w:t xml:space="preserve">the </w:t>
      </w:r>
      <w:r w:rsidR="00E345F2">
        <w:t>‘encapsulated interest’ theory</w:t>
      </w:r>
      <w:r w:rsidR="00323017">
        <w:t xml:space="preserve"> </w:t>
      </w:r>
      <w:r w:rsidR="00323017">
        <w:fldChar w:fldCharType="begin"/>
      </w:r>
      <w:r w:rsidR="00323017">
        <w:instrText xml:space="preserve"> REF _Ref52891986 \n \h </w:instrText>
      </w:r>
      <w:r w:rsidR="00323017">
        <w:fldChar w:fldCharType="separate"/>
      </w:r>
      <w:r w:rsidR="00FD6E29">
        <w:t>[15]</w:t>
      </w:r>
      <w:r w:rsidR="00323017">
        <w:fldChar w:fldCharType="end"/>
      </w:r>
      <w:r w:rsidR="00E345F2">
        <w:t>, which mistakes trust for a cunning, shrewd, manipulative</w:t>
      </w:r>
      <w:r w:rsidR="005B1F3D">
        <w:t>,</w:t>
      </w:r>
      <w:r w:rsidR="00E345F2">
        <w:t xml:space="preserve"> selfish relationship of interest </w:t>
      </w:r>
      <w:r w:rsidR="005B1F3D">
        <w:fldChar w:fldCharType="begin"/>
      </w:r>
      <w:r w:rsidR="005B1F3D">
        <w:instrText xml:space="preserve"> REF _Ref52892005 \n \h </w:instrText>
      </w:r>
      <w:r w:rsidR="005B1F3D">
        <w:fldChar w:fldCharType="separate"/>
      </w:r>
      <w:r w:rsidR="00FD6E29">
        <w:t>[16]</w:t>
      </w:r>
      <w:r w:rsidR="005B1F3D">
        <w:fldChar w:fldCharType="end"/>
      </w:r>
      <w:r w:rsidR="00E345F2">
        <w:t xml:space="preserve">. </w:t>
      </w:r>
      <w:r w:rsidR="00B717B4">
        <w:t xml:space="preserve">Others </w:t>
      </w:r>
      <w:r w:rsidR="005B1F3D">
        <w:fldChar w:fldCharType="begin"/>
      </w:r>
      <w:r w:rsidR="005B1F3D">
        <w:instrText xml:space="preserve"> REF _Ref52890215 \n \h </w:instrText>
      </w:r>
      <w:r w:rsidR="005B1F3D">
        <w:fldChar w:fldCharType="separate"/>
      </w:r>
      <w:r w:rsidR="00FD6E29">
        <w:t>[9]</w:t>
      </w:r>
      <w:r w:rsidR="005B1F3D">
        <w:fldChar w:fldCharType="end"/>
      </w:r>
      <w:r w:rsidR="005B1F3D">
        <w:fldChar w:fldCharType="begin"/>
      </w:r>
      <w:r w:rsidR="005B1F3D">
        <w:instrText xml:space="preserve"> REF _Ref52892140 \n \h </w:instrText>
      </w:r>
      <w:r w:rsidR="005B1F3D">
        <w:fldChar w:fldCharType="separate"/>
      </w:r>
      <w:r w:rsidR="00FD6E29">
        <w:t>[17]</w:t>
      </w:r>
      <w:r w:rsidR="005B1F3D">
        <w:fldChar w:fldCharType="end"/>
      </w:r>
      <w:r w:rsidR="002E703A">
        <w:fldChar w:fldCharType="begin"/>
      </w:r>
      <w:r w:rsidR="002E703A">
        <w:instrText xml:space="preserve"> REF _Ref52960441 \r \h </w:instrText>
      </w:r>
      <w:r w:rsidR="002E703A">
        <w:fldChar w:fldCharType="separate"/>
      </w:r>
      <w:r w:rsidR="00FD6E29">
        <w:t>[18]</w:t>
      </w:r>
      <w:r w:rsidR="002E703A">
        <w:fldChar w:fldCharType="end"/>
      </w:r>
      <w:r w:rsidR="005B1F3D">
        <w:fldChar w:fldCharType="begin"/>
      </w:r>
      <w:r w:rsidR="005B1F3D">
        <w:instrText xml:space="preserve"> REF _Ref52892142 \n \h </w:instrText>
      </w:r>
      <w:r w:rsidR="005B1F3D">
        <w:fldChar w:fldCharType="separate"/>
      </w:r>
      <w:r w:rsidR="00FD6E29">
        <w:t>[19]</w:t>
      </w:r>
      <w:r w:rsidR="005B1F3D">
        <w:fldChar w:fldCharType="end"/>
      </w:r>
      <w:r w:rsidR="00E345F2">
        <w:t xml:space="preserve"> </w:t>
      </w:r>
      <w:r w:rsidR="005B1F3D">
        <w:t xml:space="preserve">either </w:t>
      </w:r>
      <w:r w:rsidR="00E345F2">
        <w:t xml:space="preserve">adopt a stance </w:t>
      </w:r>
      <w:r w:rsidR="005B1F3D">
        <w:t xml:space="preserve">like </w:t>
      </w:r>
      <w:r w:rsidR="00E345F2">
        <w:t xml:space="preserve">the </w:t>
      </w:r>
      <w:r w:rsidR="002E703A">
        <w:t>SET</w:t>
      </w:r>
      <w:r>
        <w:t xml:space="preserve"> </w:t>
      </w:r>
      <w:r w:rsidR="005B1F3D">
        <w:fldChar w:fldCharType="begin"/>
      </w:r>
      <w:r w:rsidR="005B1F3D">
        <w:instrText xml:space="preserve"> REF _Ref52892140 \n \h </w:instrText>
      </w:r>
      <w:r w:rsidR="005B1F3D">
        <w:fldChar w:fldCharType="separate"/>
      </w:r>
      <w:r w:rsidR="00FD6E29">
        <w:t>[17]</w:t>
      </w:r>
      <w:r w:rsidR="005B1F3D">
        <w:fldChar w:fldCharType="end"/>
      </w:r>
      <w:r w:rsidR="005B1F3D">
        <w:t>, or develop a notion in which trust would ‘bracket’ risks</w:t>
      </w:r>
      <w:r w:rsidR="00B717B4">
        <w:t xml:space="preserve">, </w:t>
      </w:r>
      <w:r w:rsidR="00323017">
        <w:t xml:space="preserve">and </w:t>
      </w:r>
      <w:r w:rsidR="005B1F3D">
        <w:t xml:space="preserve">trustors </w:t>
      </w:r>
      <w:r w:rsidR="00B717B4">
        <w:t xml:space="preserve">take a ‘leap of faith’, </w:t>
      </w:r>
      <w:r w:rsidR="005B1F3D">
        <w:t>act</w:t>
      </w:r>
      <w:r w:rsidR="00B717B4">
        <w:t>ing</w:t>
      </w:r>
      <w:r w:rsidR="005B1F3D">
        <w:t xml:space="preserve"> </w:t>
      </w:r>
      <w:r w:rsidR="005B1F3D" w:rsidRPr="00B717B4">
        <w:rPr>
          <w:i/>
        </w:rPr>
        <w:t>as if</w:t>
      </w:r>
      <w:r w:rsidR="005B1F3D">
        <w:t xml:space="preserve"> </w:t>
      </w:r>
      <w:r w:rsidR="00B717B4">
        <w:t xml:space="preserve">risks were not present </w:t>
      </w:r>
      <w:r w:rsidR="002E703A">
        <w:fldChar w:fldCharType="begin"/>
      </w:r>
      <w:r w:rsidR="002E703A">
        <w:instrText xml:space="preserve"> REF _Ref52960441 \r \h </w:instrText>
      </w:r>
      <w:r w:rsidR="002E703A">
        <w:fldChar w:fldCharType="separate"/>
      </w:r>
      <w:r w:rsidR="00FD6E29">
        <w:t>[18]</w:t>
      </w:r>
      <w:r w:rsidR="002E703A">
        <w:fldChar w:fldCharType="end"/>
      </w:r>
      <w:r w:rsidR="005B1F3D">
        <w:fldChar w:fldCharType="begin"/>
      </w:r>
      <w:r w:rsidR="005B1F3D">
        <w:instrText xml:space="preserve"> REF _Ref52891878 \n \h </w:instrText>
      </w:r>
      <w:r w:rsidR="005B1F3D">
        <w:fldChar w:fldCharType="separate"/>
      </w:r>
      <w:r w:rsidR="00FD6E29">
        <w:t>[14]</w:t>
      </w:r>
      <w:r w:rsidR="005B1F3D">
        <w:fldChar w:fldCharType="end"/>
      </w:r>
      <w:r w:rsidR="005B1F3D">
        <w:fldChar w:fldCharType="begin"/>
      </w:r>
      <w:r w:rsidR="005B1F3D">
        <w:instrText xml:space="preserve"> REF _Ref52892142 \n \h </w:instrText>
      </w:r>
      <w:r w:rsidR="005B1F3D">
        <w:fldChar w:fldCharType="separate"/>
      </w:r>
      <w:r w:rsidR="00FD6E29">
        <w:t>[19]</w:t>
      </w:r>
      <w:r w:rsidR="005B1F3D">
        <w:fldChar w:fldCharType="end"/>
      </w:r>
      <w:r w:rsidR="005B1F3D">
        <w:t>.</w:t>
      </w:r>
      <w:r w:rsidR="00E345F2">
        <w:t xml:space="preserve"> </w:t>
      </w:r>
      <w:r w:rsidR="00323017">
        <w:t>T</w:t>
      </w:r>
      <w:r w:rsidR="00E345F2">
        <w:t xml:space="preserve">he rationalising, interest-based, calculative concepts </w:t>
      </w:r>
      <w:r w:rsidR="0008083A">
        <w:t>of</w:t>
      </w:r>
      <w:r w:rsidR="00E345F2">
        <w:t xml:space="preserve"> trust </w:t>
      </w:r>
      <w:r w:rsidR="005B1F3D">
        <w:t>(</w:t>
      </w:r>
      <w:r w:rsidR="002E703A">
        <w:t>SET</w:t>
      </w:r>
      <w:r w:rsidR="005B1F3D">
        <w:t xml:space="preserve"> included) mistake trust for </w:t>
      </w:r>
      <w:r w:rsidR="00E345F2">
        <w:t>reliance</w:t>
      </w:r>
      <w:r w:rsidR="005B1F3D">
        <w:t xml:space="preserve"> or manipulation</w:t>
      </w:r>
      <w:r>
        <w:t xml:space="preserve"> </w:t>
      </w:r>
      <w:r>
        <w:fldChar w:fldCharType="begin"/>
      </w:r>
      <w:r>
        <w:instrText xml:space="preserve"> REF _Ref52892410 \n \h </w:instrText>
      </w:r>
      <w:r>
        <w:fldChar w:fldCharType="separate"/>
      </w:r>
      <w:r w:rsidR="00FD6E29">
        <w:t>[20]</w:t>
      </w:r>
      <w:r>
        <w:fldChar w:fldCharType="end"/>
      </w:r>
      <w:r>
        <w:fldChar w:fldCharType="begin"/>
      </w:r>
      <w:r>
        <w:instrText xml:space="preserve"> REF _Ref52892413 \n \h </w:instrText>
      </w:r>
      <w:r>
        <w:fldChar w:fldCharType="separate"/>
      </w:r>
      <w:r w:rsidR="00FD6E29">
        <w:t>[21]</w:t>
      </w:r>
      <w:r>
        <w:fldChar w:fldCharType="end"/>
      </w:r>
      <w:r>
        <w:fldChar w:fldCharType="begin"/>
      </w:r>
      <w:r>
        <w:instrText xml:space="preserve"> REF _Ref52892005 \n \h </w:instrText>
      </w:r>
      <w:r>
        <w:fldChar w:fldCharType="separate"/>
      </w:r>
      <w:r w:rsidR="00FD6E29">
        <w:t>[16]</w:t>
      </w:r>
      <w:r>
        <w:fldChar w:fldCharType="end"/>
      </w:r>
      <w:r w:rsidR="00323017">
        <w:t>, and the others’</w:t>
      </w:r>
      <w:r w:rsidR="005B1F3D">
        <w:t xml:space="preserve"> unexplained black box of the ‘leap of faith’</w:t>
      </w:r>
      <w:r>
        <w:t xml:space="preserve"> </w:t>
      </w:r>
      <w:r w:rsidR="005B1F3D">
        <w:t>describe</w:t>
      </w:r>
      <w:r>
        <w:t>s</w:t>
      </w:r>
      <w:r w:rsidR="005B1F3D">
        <w:t xml:space="preserve"> an </w:t>
      </w:r>
      <w:r w:rsidR="005B1F3D" w:rsidRPr="00C66A6C">
        <w:rPr>
          <w:i/>
        </w:rPr>
        <w:t>imitation</w:t>
      </w:r>
      <w:r w:rsidR="005B1F3D">
        <w:t xml:space="preserve"> of trust</w:t>
      </w:r>
      <w:r>
        <w:t>:</w:t>
      </w:r>
      <w:r w:rsidR="005B1F3D">
        <w:t xml:space="preserve"> naïveté </w:t>
      </w:r>
      <w:r w:rsidR="0008083A">
        <w:fldChar w:fldCharType="begin"/>
      </w:r>
      <w:r w:rsidR="0008083A">
        <w:instrText xml:space="preserve"> REF _Ref52890979 \n \h </w:instrText>
      </w:r>
      <w:r w:rsidR="0008083A">
        <w:fldChar w:fldCharType="separate"/>
      </w:r>
      <w:r w:rsidR="00FD6E29">
        <w:t>[10]</w:t>
      </w:r>
      <w:r w:rsidR="0008083A">
        <w:fldChar w:fldCharType="end"/>
      </w:r>
      <w:r w:rsidR="00E345F2">
        <w:t>.</w:t>
      </w:r>
      <w:r w:rsidR="00FD6E29">
        <w:t xml:space="preserve"> </w:t>
      </w:r>
      <w:r w:rsidR="00E345F2">
        <w:t xml:space="preserve">The non-cognitive concepts </w:t>
      </w:r>
      <w:r w:rsidR="0008083A">
        <w:fldChar w:fldCharType="begin"/>
      </w:r>
      <w:r w:rsidR="0008083A">
        <w:instrText xml:space="preserve"> REF _Ref52892410 \n \h </w:instrText>
      </w:r>
      <w:r w:rsidR="0008083A">
        <w:fldChar w:fldCharType="separate"/>
      </w:r>
      <w:r w:rsidR="00FD6E29">
        <w:t>[20]</w:t>
      </w:r>
      <w:r w:rsidR="0008083A">
        <w:fldChar w:fldCharType="end"/>
      </w:r>
      <w:r w:rsidR="0008083A">
        <w:fldChar w:fldCharType="begin"/>
      </w:r>
      <w:r w:rsidR="0008083A">
        <w:instrText xml:space="preserve"> REF _Ref52892413 \n \h </w:instrText>
      </w:r>
      <w:r w:rsidR="0008083A">
        <w:fldChar w:fldCharType="separate"/>
      </w:r>
      <w:r w:rsidR="00FD6E29">
        <w:t>[21]</w:t>
      </w:r>
      <w:r w:rsidR="0008083A">
        <w:fldChar w:fldCharType="end"/>
      </w:r>
      <w:r w:rsidR="0008083A">
        <w:fldChar w:fldCharType="begin"/>
      </w:r>
      <w:r w:rsidR="0008083A">
        <w:instrText xml:space="preserve"> REF _Ref52892628 \n \h </w:instrText>
      </w:r>
      <w:r w:rsidR="0008083A">
        <w:fldChar w:fldCharType="separate"/>
      </w:r>
      <w:r w:rsidR="00FD6E29">
        <w:t>[22]</w:t>
      </w:r>
      <w:r w:rsidR="0008083A">
        <w:fldChar w:fldCharType="end"/>
      </w:r>
      <w:r w:rsidR="0008083A">
        <w:fldChar w:fldCharType="begin"/>
      </w:r>
      <w:r w:rsidR="0008083A">
        <w:instrText xml:space="preserve"> REF _Ref52892005 \n \h </w:instrText>
      </w:r>
      <w:r w:rsidR="0008083A">
        <w:fldChar w:fldCharType="separate"/>
      </w:r>
      <w:r w:rsidR="00FD6E29">
        <w:t>[16]</w:t>
      </w:r>
      <w:r w:rsidR="0008083A">
        <w:fldChar w:fldCharType="end"/>
      </w:r>
      <w:r w:rsidR="00E345F2">
        <w:t xml:space="preserve"> take a different approach. They assume a</w:t>
      </w:r>
      <w:r w:rsidR="0008083A">
        <w:t>n</w:t>
      </w:r>
      <w:r w:rsidR="00E345F2">
        <w:t xml:space="preserve"> optimistic expectation of benevolence, goodwill in trusting, </w:t>
      </w:r>
      <w:r w:rsidR="0008083A">
        <w:t>and some</w:t>
      </w:r>
      <w:r w:rsidR="001008EC">
        <w:t xml:space="preserve"> of them </w:t>
      </w:r>
      <w:r w:rsidR="0008083A">
        <w:t xml:space="preserve">an </w:t>
      </w:r>
      <w:r w:rsidR="00E345F2">
        <w:t>affective warmth</w:t>
      </w:r>
      <w:r w:rsidR="001008EC">
        <w:t xml:space="preserve"> as well</w:t>
      </w:r>
      <w:r w:rsidR="00E345F2">
        <w:t xml:space="preserve">. </w:t>
      </w:r>
      <w:r w:rsidR="0008083A">
        <w:t xml:space="preserve">It </w:t>
      </w:r>
      <w:r w:rsidR="00E345F2">
        <w:t xml:space="preserve">is not a purposive relationship, </w:t>
      </w:r>
      <w:r>
        <w:t xml:space="preserve">and may </w:t>
      </w:r>
      <w:r w:rsidR="00E345F2">
        <w:t>not even require an object</w:t>
      </w:r>
      <w:r>
        <w:t>,</w:t>
      </w:r>
      <w:r w:rsidR="00E345F2">
        <w:t xml:space="preserve"> formalised as ‘</w:t>
      </w:r>
      <w:r w:rsidR="00E345F2" w:rsidRPr="0008083A">
        <w:rPr>
          <w:i/>
        </w:rPr>
        <w:t>A</w:t>
      </w:r>
      <w:r w:rsidR="00E345F2">
        <w:t xml:space="preserve"> trusts’</w:t>
      </w:r>
      <w:r>
        <w:fldChar w:fldCharType="begin"/>
      </w:r>
      <w:r>
        <w:instrText xml:space="preserve"> REF _Ref52891686 \n \h </w:instrText>
      </w:r>
      <w:r>
        <w:fldChar w:fldCharType="separate"/>
      </w:r>
      <w:r w:rsidR="00FD6E29">
        <w:t>[11]</w:t>
      </w:r>
      <w:r>
        <w:fldChar w:fldCharType="end"/>
      </w:r>
      <w:r w:rsidR="00E345F2">
        <w:t xml:space="preserve">. Lagerspetz </w:t>
      </w:r>
      <w:r w:rsidR="0008083A">
        <w:fldChar w:fldCharType="begin"/>
      </w:r>
      <w:r w:rsidR="0008083A">
        <w:instrText xml:space="preserve"> REF _Ref52892005 \n \h </w:instrText>
      </w:r>
      <w:r w:rsidR="0008083A">
        <w:fldChar w:fldCharType="separate"/>
      </w:r>
      <w:r w:rsidR="00FD6E29">
        <w:t>[16]</w:t>
      </w:r>
      <w:r w:rsidR="0008083A">
        <w:fldChar w:fldCharType="end"/>
      </w:r>
      <w:r w:rsidR="00E345F2">
        <w:t xml:space="preserve"> </w:t>
      </w:r>
      <w:r w:rsidR="0008083A">
        <w:t>argues</w:t>
      </w:r>
      <w:r w:rsidR="00E345F2">
        <w:t xml:space="preserve"> for the omnipresence of trust: ‘a pattern in the weave of life’, which Luhmann </w:t>
      </w:r>
      <w:r w:rsidR="0008083A">
        <w:fldChar w:fldCharType="begin"/>
      </w:r>
      <w:r w:rsidR="0008083A">
        <w:instrText xml:space="preserve"> REF _Ref52890215 \n \h </w:instrText>
      </w:r>
      <w:r w:rsidR="0008083A">
        <w:fldChar w:fldCharType="separate"/>
      </w:r>
      <w:r w:rsidR="00FD6E29">
        <w:t>[9]</w:t>
      </w:r>
      <w:r w:rsidR="0008083A">
        <w:fldChar w:fldCharType="end"/>
      </w:r>
      <w:r w:rsidR="0008083A">
        <w:t xml:space="preserve"> </w:t>
      </w:r>
      <w:r w:rsidR="00E345F2">
        <w:t>assum</w:t>
      </w:r>
      <w:r w:rsidR="0008083A">
        <w:t>ed as well:</w:t>
      </w:r>
      <w:r w:rsidR="00E345F2">
        <w:t xml:space="preserve"> without trust, </w:t>
      </w:r>
      <w:r w:rsidR="0008083A">
        <w:t>one</w:t>
      </w:r>
      <w:r w:rsidR="00E345F2">
        <w:t xml:space="preserve"> could not even get out of </w:t>
      </w:r>
      <w:r w:rsidR="0008083A">
        <w:t xml:space="preserve">their </w:t>
      </w:r>
      <w:r w:rsidR="00E345F2">
        <w:t>bed in the morning</w:t>
      </w:r>
      <w:r w:rsidR="0008083A">
        <w:t xml:space="preserve"> </w:t>
      </w:r>
      <w:r>
        <w:t xml:space="preserve">due </w:t>
      </w:r>
      <w:r w:rsidR="00E345F2">
        <w:t>to all-encompassing anxieties. Non-cognitive trust concepts agree that trust is a</w:t>
      </w:r>
      <w:r>
        <w:t>n</w:t>
      </w:r>
      <w:r w:rsidR="00E345F2">
        <w:t xml:space="preserve"> </w:t>
      </w:r>
      <w:proofErr w:type="spellStart"/>
      <w:r w:rsidR="00E345F2">
        <w:t>irreflective</w:t>
      </w:r>
      <w:proofErr w:type="spellEnd"/>
      <w:r w:rsidR="00E345F2">
        <w:t xml:space="preserve">, unconscious disposition, </w:t>
      </w:r>
      <w:r>
        <w:t xml:space="preserve">which reaches </w:t>
      </w:r>
      <w:r w:rsidR="00E345F2">
        <w:t>aware</w:t>
      </w:r>
      <w:r>
        <w:t>ness</w:t>
      </w:r>
      <w:r w:rsidR="00E345F2">
        <w:t xml:space="preserve"> only when already damaged or lost.</w:t>
      </w:r>
      <w:r>
        <w:t xml:space="preserve"> It is,</w:t>
      </w:r>
      <w:r w:rsidR="00E345F2">
        <w:t xml:space="preserve"> however, highly robust and resistant to conflicting information, for it acts as an interpretive filter: </w:t>
      </w:r>
      <w:r>
        <w:t xml:space="preserve">it </w:t>
      </w:r>
      <w:r w:rsidR="00E345F2">
        <w:t>distort</w:t>
      </w:r>
      <w:r>
        <w:t>s</w:t>
      </w:r>
      <w:r w:rsidR="00E345F2">
        <w:t xml:space="preserve"> our interpretatio</w:t>
      </w:r>
      <w:r w:rsidR="001008EC">
        <w:t>n of experiences on the trusted</w:t>
      </w:r>
      <w:r w:rsidR="00E345F2">
        <w:t xml:space="preserve"> </w:t>
      </w:r>
      <w:r w:rsidR="001008EC">
        <w:fldChar w:fldCharType="begin"/>
      </w:r>
      <w:r w:rsidR="001008EC">
        <w:instrText xml:space="preserve"> REF _Ref52892628 \r \h </w:instrText>
      </w:r>
      <w:r w:rsidR="001008EC">
        <w:fldChar w:fldCharType="separate"/>
      </w:r>
      <w:r w:rsidR="001008EC">
        <w:t>[22]</w:t>
      </w:r>
      <w:r w:rsidR="001008EC">
        <w:fldChar w:fldCharType="end"/>
      </w:r>
      <w:r>
        <w:fldChar w:fldCharType="begin"/>
      </w:r>
      <w:r>
        <w:instrText xml:space="preserve"> REF _Ref52892005 \n \h </w:instrText>
      </w:r>
      <w:r>
        <w:fldChar w:fldCharType="separate"/>
      </w:r>
      <w:r w:rsidR="00FD6E29">
        <w:t>[16]</w:t>
      </w:r>
      <w:r>
        <w:fldChar w:fldCharType="end"/>
      </w:r>
      <w:r w:rsidR="00E345F2">
        <w:t xml:space="preserve">. Using Wittgenstein’s </w:t>
      </w:r>
      <w:r w:rsidR="0008083A">
        <w:fldChar w:fldCharType="begin"/>
      </w:r>
      <w:r w:rsidR="0008083A">
        <w:instrText xml:space="preserve"> REF _Ref52893093 \n \h </w:instrText>
      </w:r>
      <w:r w:rsidR="0008083A">
        <w:fldChar w:fldCharType="separate"/>
      </w:r>
      <w:r w:rsidR="00FD6E29">
        <w:t>[23]</w:t>
      </w:r>
      <w:r w:rsidR="0008083A">
        <w:fldChar w:fldCharType="end"/>
      </w:r>
      <w:r w:rsidR="00E345F2">
        <w:t xml:space="preserve"> note: ‘Doubt comes </w:t>
      </w:r>
      <w:r w:rsidR="00E345F2" w:rsidRPr="0008083A">
        <w:rPr>
          <w:i/>
        </w:rPr>
        <w:t>after</w:t>
      </w:r>
      <w:r w:rsidR="00E345F2">
        <w:t xml:space="preserve"> belief’, Lagerspetz </w:t>
      </w:r>
      <w:r w:rsidR="0008083A">
        <w:fldChar w:fldCharType="begin"/>
      </w:r>
      <w:r w:rsidR="0008083A">
        <w:instrText xml:space="preserve"> REF _Ref52892005 \n \h </w:instrText>
      </w:r>
      <w:r w:rsidR="0008083A">
        <w:fldChar w:fldCharType="separate"/>
      </w:r>
      <w:r w:rsidR="00FD6E29">
        <w:t>[16]</w:t>
      </w:r>
      <w:r w:rsidR="0008083A">
        <w:fldChar w:fldCharType="end"/>
      </w:r>
      <w:r w:rsidR="0008083A">
        <w:t xml:space="preserve"> </w:t>
      </w:r>
      <w:r w:rsidR="00E345F2">
        <w:t xml:space="preserve">shows that trusting is a prerequisite for learning, therefore trust cannot be a learnt capacity. Rather, </w:t>
      </w:r>
      <w:r w:rsidR="0061734D">
        <w:t xml:space="preserve">ability </w:t>
      </w:r>
      <w:r w:rsidR="00E345F2">
        <w:t xml:space="preserve">to trust is an innate, built-in faculty, </w:t>
      </w:r>
      <w:r w:rsidR="0061734D">
        <w:t>which</w:t>
      </w:r>
      <w:r w:rsidR="00E345F2">
        <w:t xml:space="preserve"> hypothesis </w:t>
      </w:r>
      <w:r w:rsidR="0061734D">
        <w:t xml:space="preserve">is </w:t>
      </w:r>
      <w:r w:rsidR="00E345F2">
        <w:t xml:space="preserve">supported by </w:t>
      </w:r>
      <w:r w:rsidR="0008083A">
        <w:t xml:space="preserve">recent </w:t>
      </w:r>
      <w:r w:rsidR="00E345F2">
        <w:t xml:space="preserve">life sciences </w:t>
      </w:r>
      <w:r w:rsidR="0008083A">
        <w:t xml:space="preserve">research </w:t>
      </w:r>
      <w:r w:rsidR="0008083A">
        <w:fldChar w:fldCharType="begin"/>
      </w:r>
      <w:r w:rsidR="0008083A">
        <w:instrText xml:space="preserve"> REF _Ref52890979 \n \h </w:instrText>
      </w:r>
      <w:r w:rsidR="0008083A">
        <w:fldChar w:fldCharType="separate"/>
      </w:r>
      <w:r w:rsidR="00FD6E29">
        <w:t>[10]</w:t>
      </w:r>
      <w:r w:rsidR="0008083A">
        <w:fldChar w:fldCharType="end"/>
      </w:r>
      <w:r w:rsidR="00E345F2">
        <w:t xml:space="preserve">. </w:t>
      </w:r>
      <w:r w:rsidR="0008083A">
        <w:t>Although t</w:t>
      </w:r>
      <w:r w:rsidR="00E345F2">
        <w:t xml:space="preserve">he non-cognitive concepts are </w:t>
      </w:r>
      <w:r w:rsidR="0061734D">
        <w:t xml:space="preserve">more </w:t>
      </w:r>
      <w:r w:rsidR="00E345F2">
        <w:t>convincing</w:t>
      </w:r>
      <w:r w:rsidR="0008083A">
        <w:t>,</w:t>
      </w:r>
      <w:r w:rsidR="00E345F2">
        <w:t xml:space="preserve"> they </w:t>
      </w:r>
      <w:r w:rsidR="0008083A">
        <w:t>are unable</w:t>
      </w:r>
      <w:r w:rsidR="00E345F2">
        <w:t xml:space="preserve"> to explain conscious trust, </w:t>
      </w:r>
      <w:r w:rsidR="0008083A">
        <w:t>and do not differentiate</w:t>
      </w:r>
      <w:r w:rsidR="00E345F2">
        <w:t xml:space="preserve"> naïveté and trust.</w:t>
      </w:r>
    </w:p>
    <w:p w:rsidR="00D52EA1" w:rsidRPr="00D52EA1" w:rsidRDefault="0061734D" w:rsidP="00E345F2">
      <w:pPr>
        <w:rPr>
          <w:highlight w:val="green"/>
        </w:rPr>
      </w:pPr>
      <w:r>
        <w:t>This raises the need for a</w:t>
      </w:r>
      <w:r w:rsidR="0008083A">
        <w:t xml:space="preserve"> novel</w:t>
      </w:r>
      <w:r>
        <w:t>, integrative</w:t>
      </w:r>
      <w:r w:rsidR="00E345F2">
        <w:t xml:space="preserve"> trust concept</w:t>
      </w:r>
      <w:r>
        <w:t xml:space="preserve">, built </w:t>
      </w:r>
      <w:r w:rsidR="00E345F2">
        <w:t>on t</w:t>
      </w:r>
      <w:r>
        <w:t>he base</w:t>
      </w:r>
      <w:r w:rsidR="00E345F2">
        <w:t>s of the dynamic relationship between trust and existential anxiety</w:t>
      </w:r>
      <w:r>
        <w:t xml:space="preserve"> and </w:t>
      </w:r>
      <w:r w:rsidR="0008083A">
        <w:t xml:space="preserve">Tillich’s </w:t>
      </w:r>
      <w:r w:rsidR="0008083A">
        <w:fldChar w:fldCharType="begin"/>
      </w:r>
      <w:r w:rsidR="0008083A">
        <w:instrText xml:space="preserve"> REF _Ref52893755 \n \h </w:instrText>
      </w:r>
      <w:r w:rsidR="0008083A">
        <w:fldChar w:fldCharType="separate"/>
      </w:r>
      <w:r w:rsidR="00FD6E29">
        <w:t>[24]</w:t>
      </w:r>
      <w:r w:rsidR="0008083A">
        <w:fldChar w:fldCharType="end"/>
      </w:r>
      <w:r w:rsidR="0008083A">
        <w:t xml:space="preserve"> concept of </w:t>
      </w:r>
      <w:r>
        <w:t xml:space="preserve">the </w:t>
      </w:r>
      <w:r w:rsidR="0008083A">
        <w:rPr>
          <w:i/>
        </w:rPr>
        <w:t>courage to be</w:t>
      </w:r>
      <w:r w:rsidR="001008EC">
        <w:rPr>
          <w:i/>
        </w:rPr>
        <w:t xml:space="preserve"> </w:t>
      </w:r>
      <w:r w:rsidR="001008EC" w:rsidRPr="001008EC">
        <w:fldChar w:fldCharType="begin"/>
      </w:r>
      <w:r w:rsidR="001008EC" w:rsidRPr="001008EC">
        <w:instrText xml:space="preserve"> REF _Ref52960441 \r \h  \* MERGEFORMAT </w:instrText>
      </w:r>
      <w:r w:rsidR="001008EC" w:rsidRPr="001008EC">
        <w:fldChar w:fldCharType="separate"/>
      </w:r>
      <w:r w:rsidR="001008EC" w:rsidRPr="001008EC">
        <w:t>[18]</w:t>
      </w:r>
      <w:r w:rsidR="001008EC" w:rsidRPr="001008EC">
        <w:fldChar w:fldCharType="end"/>
      </w:r>
      <w:r>
        <w:rPr>
          <w:i/>
        </w:rPr>
        <w:t>.</w:t>
      </w:r>
      <w:r w:rsidR="0008083A">
        <w:t xml:space="preserve"> The </w:t>
      </w:r>
      <w:r w:rsidR="00E345F2">
        <w:t xml:space="preserve">PhD dissertation </w:t>
      </w:r>
      <w:r w:rsidR="0008083A">
        <w:t xml:space="preserve">of the Author </w:t>
      </w:r>
      <w:r w:rsidR="00E345F2">
        <w:t>(submitted for</w:t>
      </w:r>
      <w:r w:rsidR="0008083A">
        <w:t xml:space="preserve"> defence</w:t>
      </w:r>
      <w:r w:rsidR="00E345F2">
        <w:t xml:space="preserve">) outlines </w:t>
      </w:r>
      <w:r>
        <w:t>such a</w:t>
      </w:r>
      <w:r w:rsidR="00E345F2">
        <w:t xml:space="preserve"> novel definition</w:t>
      </w:r>
      <w:r w:rsidR="001008EC">
        <w:t>,</w:t>
      </w:r>
      <w:r w:rsidR="00E345F2">
        <w:t xml:space="preserve"> defin</w:t>
      </w:r>
      <w:r w:rsidR="001008EC">
        <w:t>ing</w:t>
      </w:r>
      <w:r w:rsidR="00E345F2">
        <w:t xml:space="preserve"> trust as a </w:t>
      </w:r>
      <w:r>
        <w:t xml:space="preserve">basically </w:t>
      </w:r>
      <w:r w:rsidR="00E345F2">
        <w:t xml:space="preserve">non-cognitive phenomenon in the presence but in spite of the threat </w:t>
      </w:r>
      <w:r>
        <w:t xml:space="preserve">of </w:t>
      </w:r>
      <w:r w:rsidR="007252FA">
        <w:t xml:space="preserve">the </w:t>
      </w:r>
      <w:proofErr w:type="spellStart"/>
      <w:r w:rsidR="00E345F2">
        <w:t>trusted</w:t>
      </w:r>
      <w:r>
        <w:t>’s</w:t>
      </w:r>
      <w:proofErr w:type="spellEnd"/>
      <w:r w:rsidR="00E345F2">
        <w:t xml:space="preserve"> </w:t>
      </w:r>
      <w:r>
        <w:t xml:space="preserve">possible </w:t>
      </w:r>
      <w:r w:rsidR="00E345F2">
        <w:t xml:space="preserve">betrayal. It is an </w:t>
      </w:r>
      <w:r w:rsidR="0008083A">
        <w:t>‘</w:t>
      </w:r>
      <w:r w:rsidR="00E345F2">
        <w:t>emanation</w:t>
      </w:r>
      <w:r w:rsidR="0008083A">
        <w:t>’</w:t>
      </w:r>
      <w:r w:rsidR="00E345F2">
        <w:t xml:space="preserve"> of our own courage towards the world, and the other (the trusted) in it, manifested in a general </w:t>
      </w:r>
      <w:proofErr w:type="spellStart"/>
      <w:r w:rsidR="00E345F2">
        <w:t>expec</w:t>
      </w:r>
      <w:r w:rsidR="001008EC">
        <w:t>-</w:t>
      </w:r>
      <w:r w:rsidR="00E345F2">
        <w:t>tation</w:t>
      </w:r>
      <w:proofErr w:type="spellEnd"/>
      <w:r w:rsidR="00E345F2">
        <w:t xml:space="preserve"> of good. The self-affirmation </w:t>
      </w:r>
      <w:r>
        <w:t xml:space="preserve">of </w:t>
      </w:r>
      <w:r w:rsidR="00E345F2">
        <w:t>courage projected outwards</w:t>
      </w:r>
      <w:r>
        <w:t xml:space="preserve"> affirms the trusted and supports</w:t>
      </w:r>
      <w:r w:rsidR="00E345F2">
        <w:t xml:space="preserve"> them in their own existential struggles, enabl</w:t>
      </w:r>
      <w:r w:rsidR="001008EC">
        <w:t>ing</w:t>
      </w:r>
      <w:r w:rsidR="00E345F2">
        <w:t xml:space="preserve"> (but not forc</w:t>
      </w:r>
      <w:r w:rsidR="001008EC">
        <w:t>ing</w:t>
      </w:r>
      <w:r w:rsidR="00E345F2">
        <w:t xml:space="preserve">) the appearance of their trusting towards us. </w:t>
      </w:r>
      <w:r>
        <w:t>E</w:t>
      </w:r>
      <w:r w:rsidR="00E345F2">
        <w:t>motions</w:t>
      </w:r>
      <w:r>
        <w:t xml:space="preserve"> can strengthen or weaken</w:t>
      </w:r>
      <w:r w:rsidR="00E345F2">
        <w:t>, and reliance</w:t>
      </w:r>
      <w:r>
        <w:t xml:space="preserve"> can support trust</w:t>
      </w:r>
      <w:r w:rsidR="00E345F2">
        <w:t>, but neither</w:t>
      </w:r>
      <w:r w:rsidR="007252FA">
        <w:t xml:space="preserve"> constitutes it</w:t>
      </w:r>
      <w:r w:rsidR="00E345F2">
        <w:t xml:space="preserve">. </w:t>
      </w:r>
      <w:r w:rsidR="000A3E53">
        <w:t>This theory</w:t>
      </w:r>
      <w:r w:rsidR="00E345F2">
        <w:t xml:space="preserve"> </w:t>
      </w:r>
      <w:r w:rsidR="007252FA">
        <w:t xml:space="preserve">also </w:t>
      </w:r>
      <w:r w:rsidR="00E345F2">
        <w:t>explains the cumulative nature of trust</w:t>
      </w:r>
      <w:r w:rsidR="0008083A">
        <w:t xml:space="preserve"> </w:t>
      </w:r>
      <w:r w:rsidR="0008083A">
        <w:fldChar w:fldCharType="begin"/>
      </w:r>
      <w:r w:rsidR="0008083A">
        <w:instrText xml:space="preserve"> REF _Ref52891870 \n \h </w:instrText>
      </w:r>
      <w:r w:rsidR="0008083A">
        <w:fldChar w:fldCharType="separate"/>
      </w:r>
      <w:r w:rsidR="00FD6E29">
        <w:t>[12]</w:t>
      </w:r>
      <w:r w:rsidR="0008083A">
        <w:fldChar w:fldCharType="end"/>
      </w:r>
      <w:r w:rsidR="0008083A">
        <w:t>.</w:t>
      </w:r>
    </w:p>
    <w:p w:rsidR="00BC6AFE" w:rsidRDefault="00BC6AFE" w:rsidP="00BC6AFE">
      <w:pPr>
        <w:pStyle w:val="Cmsor1"/>
      </w:pPr>
      <w:r>
        <w:t>Conclusions</w:t>
      </w:r>
    </w:p>
    <w:p w:rsidR="00BC6AFE" w:rsidRPr="00BC6AFE" w:rsidRDefault="000A3E53" w:rsidP="00E345F2">
      <w:r>
        <w:t>To sum up, t</w:t>
      </w:r>
      <w:r w:rsidR="007252FA">
        <w:t>he</w:t>
      </w:r>
      <w:r w:rsidR="00E345F2">
        <w:t xml:space="preserve"> </w:t>
      </w:r>
      <w:r w:rsidR="00BE1FD1">
        <w:t>SET</w:t>
      </w:r>
      <w:r w:rsidR="00E345F2">
        <w:t xml:space="preserve"> </w:t>
      </w:r>
      <w:r>
        <w:t xml:space="preserve">trust </w:t>
      </w:r>
      <w:r w:rsidR="00E345F2">
        <w:t>approach</w:t>
      </w:r>
      <w:r w:rsidR="0008083A">
        <w:t xml:space="preserve"> </w:t>
      </w:r>
      <w:r w:rsidR="007252FA">
        <w:t xml:space="preserve">of the survey (non)response literature </w:t>
      </w:r>
      <w:r>
        <w:t xml:space="preserve">is </w:t>
      </w:r>
      <w:r w:rsidR="00E345F2">
        <w:t xml:space="preserve">a conceptual dead end. </w:t>
      </w:r>
      <w:r w:rsidR="00BE1FD1">
        <w:t>I</w:t>
      </w:r>
      <w:r w:rsidR="007252FA">
        <w:t>t</w:t>
      </w:r>
      <w:r w:rsidR="00BE1FD1">
        <w:t xml:space="preserve"> suggests</w:t>
      </w:r>
      <w:r w:rsidR="007252FA">
        <w:t xml:space="preserve"> </w:t>
      </w:r>
      <w:r w:rsidR="00BE1FD1">
        <w:t xml:space="preserve">that </w:t>
      </w:r>
      <w:r w:rsidR="007252FA">
        <w:t>incentives</w:t>
      </w:r>
      <w:r w:rsidR="00E345F2">
        <w:t xml:space="preserve"> be used to evoke the norm of reciprocity</w:t>
      </w:r>
      <w:r w:rsidR="00BE1FD1">
        <w:t xml:space="preserve"> and</w:t>
      </w:r>
      <w:r w:rsidR="00E345F2">
        <w:t xml:space="preserve"> trigger trust and willingness to respond in prospective respondents </w:t>
      </w:r>
      <w:r w:rsidR="0008083A">
        <w:fldChar w:fldCharType="begin"/>
      </w:r>
      <w:r w:rsidR="0008083A">
        <w:instrText xml:space="preserve"> REF _Ref52890191 \n \h </w:instrText>
      </w:r>
      <w:r w:rsidR="0008083A">
        <w:fldChar w:fldCharType="separate"/>
      </w:r>
      <w:r w:rsidR="00FD6E29">
        <w:t>[4]</w:t>
      </w:r>
      <w:r w:rsidR="0008083A">
        <w:fldChar w:fldCharType="end"/>
      </w:r>
      <w:r w:rsidR="0008083A">
        <w:fldChar w:fldCharType="begin"/>
      </w:r>
      <w:r w:rsidR="0008083A">
        <w:instrText xml:space="preserve"> REF _Ref52890194 \n \h </w:instrText>
      </w:r>
      <w:r w:rsidR="0008083A">
        <w:fldChar w:fldCharType="separate"/>
      </w:r>
      <w:r w:rsidR="00FD6E29">
        <w:t>[5]</w:t>
      </w:r>
      <w:r w:rsidR="0008083A">
        <w:fldChar w:fldCharType="end"/>
      </w:r>
      <w:r w:rsidR="0008083A">
        <w:fldChar w:fldCharType="begin"/>
      </w:r>
      <w:r w:rsidR="0008083A">
        <w:instrText xml:space="preserve"> REF _Ref52890208 \n \h </w:instrText>
      </w:r>
      <w:r w:rsidR="0008083A">
        <w:fldChar w:fldCharType="separate"/>
      </w:r>
      <w:r w:rsidR="00FD6E29">
        <w:t>[8]</w:t>
      </w:r>
      <w:r w:rsidR="0008083A">
        <w:fldChar w:fldCharType="end"/>
      </w:r>
      <w:r w:rsidR="0008083A">
        <w:fldChar w:fldCharType="begin"/>
      </w:r>
      <w:r w:rsidR="0008083A">
        <w:instrText xml:space="preserve"> REF _Ref52890202 \n \h </w:instrText>
      </w:r>
      <w:r w:rsidR="0008083A">
        <w:fldChar w:fldCharType="separate"/>
      </w:r>
      <w:r w:rsidR="00FD6E29">
        <w:t>[7]</w:t>
      </w:r>
      <w:r w:rsidR="0008083A">
        <w:fldChar w:fldCharType="end"/>
      </w:r>
      <w:r w:rsidR="0008083A">
        <w:fldChar w:fldCharType="begin"/>
      </w:r>
      <w:r w:rsidR="0008083A">
        <w:instrText xml:space="preserve"> REF _Ref52890196 \n \h </w:instrText>
      </w:r>
      <w:r w:rsidR="0008083A">
        <w:fldChar w:fldCharType="separate"/>
      </w:r>
      <w:r w:rsidR="00FD6E29">
        <w:t>[6]</w:t>
      </w:r>
      <w:r w:rsidR="0008083A">
        <w:fldChar w:fldCharType="end"/>
      </w:r>
      <w:r w:rsidR="00E345F2">
        <w:t xml:space="preserve">. </w:t>
      </w:r>
      <w:r w:rsidR="00BE1FD1">
        <w:t>To this end, u</w:t>
      </w:r>
      <w:r w:rsidR="007252FA">
        <w:t xml:space="preserve">nconditional, prepaid </w:t>
      </w:r>
      <w:r w:rsidR="00E345F2">
        <w:t>incentives</w:t>
      </w:r>
      <w:r w:rsidR="007252FA">
        <w:t xml:space="preserve"> </w:t>
      </w:r>
      <w:r w:rsidR="00BE1FD1">
        <w:t xml:space="preserve">are recommended </w:t>
      </w:r>
      <w:r w:rsidR="007252FA">
        <w:t xml:space="preserve">as </w:t>
      </w:r>
      <w:r w:rsidR="00E345F2">
        <w:t>‘token</w:t>
      </w:r>
      <w:r w:rsidR="007252FA">
        <w:t>s</w:t>
      </w:r>
      <w:r w:rsidR="00E345F2">
        <w:t xml:space="preserve">’ of trust and respect </w:t>
      </w:r>
      <w:r w:rsidR="0008083A">
        <w:fldChar w:fldCharType="begin"/>
      </w:r>
      <w:r w:rsidR="0008083A">
        <w:instrText xml:space="preserve"> REF _Ref52890191 \n \h </w:instrText>
      </w:r>
      <w:r w:rsidR="0008083A">
        <w:fldChar w:fldCharType="separate"/>
      </w:r>
      <w:r w:rsidR="00FD6E29">
        <w:t>[4]</w:t>
      </w:r>
      <w:r w:rsidR="0008083A">
        <w:fldChar w:fldCharType="end"/>
      </w:r>
      <w:r w:rsidR="0008083A">
        <w:fldChar w:fldCharType="begin"/>
      </w:r>
      <w:r w:rsidR="0008083A">
        <w:instrText xml:space="preserve"> REF _Ref52890194 \n \h </w:instrText>
      </w:r>
      <w:r w:rsidR="0008083A">
        <w:fldChar w:fldCharType="separate"/>
      </w:r>
      <w:r w:rsidR="00FD6E29">
        <w:t>[5]</w:t>
      </w:r>
      <w:r w:rsidR="0008083A">
        <w:fldChar w:fldCharType="end"/>
      </w:r>
      <w:r w:rsidR="0008083A">
        <w:fldChar w:fldCharType="begin"/>
      </w:r>
      <w:r w:rsidR="0008083A">
        <w:instrText xml:space="preserve"> REF _Ref52890196 \n \h </w:instrText>
      </w:r>
      <w:r w:rsidR="0008083A">
        <w:fldChar w:fldCharType="separate"/>
      </w:r>
      <w:r w:rsidR="00FD6E29">
        <w:t>[6]</w:t>
      </w:r>
      <w:r w:rsidR="0008083A">
        <w:fldChar w:fldCharType="end"/>
      </w:r>
      <w:r w:rsidR="00E345F2">
        <w:t xml:space="preserve">. </w:t>
      </w:r>
      <w:r w:rsidR="007252FA">
        <w:t>T</w:t>
      </w:r>
      <w:r w:rsidR="00E345F2">
        <w:t xml:space="preserve">here are serious limitations </w:t>
      </w:r>
      <w:r w:rsidR="007252FA">
        <w:t xml:space="preserve">to </w:t>
      </w:r>
      <w:r w:rsidR="00E345F2">
        <w:t xml:space="preserve">this practice. First, it seems to be suspiciously manipulative: we act </w:t>
      </w:r>
      <w:r w:rsidR="00E345F2" w:rsidRPr="003F11BD">
        <w:rPr>
          <w:i/>
        </w:rPr>
        <w:t>as if</w:t>
      </w:r>
      <w:r w:rsidR="00E345F2">
        <w:t xml:space="preserve"> we trusted the respondent in order to gain their trust, so as to get </w:t>
      </w:r>
      <w:r w:rsidR="00E345F2">
        <w:lastRenderedPageBreak/>
        <w:t>their response.</w:t>
      </w:r>
      <w:r w:rsidR="007252FA">
        <w:t xml:space="preserve"> </w:t>
      </w:r>
      <w:r w:rsidR="00BE1FD1">
        <w:t>Instead, it</w:t>
      </w:r>
      <w:r w:rsidR="007252FA">
        <w:t xml:space="preserve"> is </w:t>
      </w:r>
      <w:r w:rsidR="00E345F2">
        <w:t xml:space="preserve">a manifestation of </w:t>
      </w:r>
      <w:r w:rsidR="00E345F2" w:rsidRPr="00BE1FD1">
        <w:rPr>
          <w:i/>
        </w:rPr>
        <w:t>distrust</w:t>
      </w:r>
      <w:r w:rsidR="00BE1FD1">
        <w:t xml:space="preserve"> or</w:t>
      </w:r>
      <w:r w:rsidR="00E345F2">
        <w:t xml:space="preserve"> </w:t>
      </w:r>
      <w:r w:rsidR="007252FA">
        <w:t xml:space="preserve">the lack of </w:t>
      </w:r>
      <w:r w:rsidR="00E345F2">
        <w:t xml:space="preserve">trust </w:t>
      </w:r>
      <w:r w:rsidR="007252FA">
        <w:t xml:space="preserve">in </w:t>
      </w:r>
      <w:r w:rsidR="00E345F2">
        <w:t>sample members</w:t>
      </w:r>
      <w:r w:rsidR="007252FA">
        <w:t>’</w:t>
      </w:r>
      <w:r w:rsidR="00E345F2">
        <w:t xml:space="preserve"> responsive</w:t>
      </w:r>
      <w:r w:rsidR="007252FA">
        <w:t>ness.</w:t>
      </w:r>
      <w:r w:rsidR="00E345F2">
        <w:t xml:space="preserve"> </w:t>
      </w:r>
      <w:r w:rsidR="00BE1FD1">
        <w:t>The purpose of incentives</w:t>
      </w:r>
      <w:r w:rsidR="007252FA">
        <w:t xml:space="preserve"> </w:t>
      </w:r>
      <w:r w:rsidR="00BE1FD1">
        <w:t xml:space="preserve">is </w:t>
      </w:r>
      <w:r w:rsidR="00E345F2">
        <w:t>to force out reciprocal attitude and cooperation.</w:t>
      </w:r>
      <w:r w:rsidR="00B14676">
        <w:t xml:space="preserve"> </w:t>
      </w:r>
      <w:r w:rsidR="00BE1FD1">
        <w:t xml:space="preserve">Therefore, they </w:t>
      </w:r>
      <w:r w:rsidR="00B14676">
        <w:t xml:space="preserve">are not at all </w:t>
      </w:r>
      <w:r w:rsidR="00E345F2">
        <w:t>symbol</w:t>
      </w:r>
      <w:r w:rsidR="00B14676">
        <w:t>s</w:t>
      </w:r>
      <w:r w:rsidR="00E345F2">
        <w:t xml:space="preserve"> of respect, or </w:t>
      </w:r>
      <w:r w:rsidR="00BE1FD1">
        <w:t xml:space="preserve">of </w:t>
      </w:r>
      <w:r w:rsidR="00E345F2">
        <w:t>trust.</w:t>
      </w:r>
      <w:r w:rsidR="003F11BD">
        <w:t xml:space="preserve"> </w:t>
      </w:r>
      <w:r w:rsidR="00B14676">
        <w:t>Furthermore, i</w:t>
      </w:r>
      <w:r w:rsidR="003F11BD">
        <w:t xml:space="preserve">t may </w:t>
      </w:r>
      <w:r w:rsidR="00B14676">
        <w:t xml:space="preserve">well </w:t>
      </w:r>
      <w:r w:rsidR="003F11BD">
        <w:t xml:space="preserve">lead to a ‘vicious circle’ </w:t>
      </w:r>
      <w:r w:rsidR="003F11BD">
        <w:fldChar w:fldCharType="begin"/>
      </w:r>
      <w:r w:rsidR="003F11BD">
        <w:instrText xml:space="preserve"> REF _Ref52892140 \n \h </w:instrText>
      </w:r>
      <w:r w:rsidR="003F11BD">
        <w:fldChar w:fldCharType="separate"/>
      </w:r>
      <w:r w:rsidR="00FD6E29">
        <w:t>[17]</w:t>
      </w:r>
      <w:r w:rsidR="003F11BD">
        <w:fldChar w:fldCharType="end"/>
      </w:r>
      <w:r w:rsidR="003F11BD">
        <w:t>, promoting distrust instead of trust.</w:t>
      </w:r>
      <w:r w:rsidR="0008083A">
        <w:t xml:space="preserve"> </w:t>
      </w:r>
      <w:r w:rsidR="00B14676">
        <w:t xml:space="preserve">Although empirical </w:t>
      </w:r>
      <w:r w:rsidR="00BE1FD1">
        <w:t xml:space="preserve">results </w:t>
      </w:r>
      <w:r w:rsidR="00B14676">
        <w:t xml:space="preserve">generally </w:t>
      </w:r>
      <w:r w:rsidR="00BE1FD1">
        <w:t xml:space="preserve">support </w:t>
      </w:r>
      <w:r w:rsidR="00B14676">
        <w:t>this</w:t>
      </w:r>
      <w:r w:rsidR="00BE1FD1">
        <w:t xml:space="preserve"> practice</w:t>
      </w:r>
      <w:r w:rsidR="00B14676">
        <w:t xml:space="preserve">, there are </w:t>
      </w:r>
      <w:r w:rsidR="00BE1FD1">
        <w:t xml:space="preserve">evidences that </w:t>
      </w:r>
      <w:r w:rsidR="00B14676">
        <w:t xml:space="preserve">incentives </w:t>
      </w:r>
      <w:r w:rsidR="00BE1FD1">
        <w:t xml:space="preserve">can also </w:t>
      </w:r>
      <w:r w:rsidR="00E345F2" w:rsidRPr="00B14676">
        <w:rPr>
          <w:i/>
        </w:rPr>
        <w:t>decrease</w:t>
      </w:r>
      <w:r w:rsidR="00E345F2">
        <w:t xml:space="preserve"> response rates</w:t>
      </w:r>
      <w:r w:rsidR="00B14676">
        <w:t xml:space="preserve"> </w:t>
      </w:r>
      <w:r w:rsidR="00B14676">
        <w:fldChar w:fldCharType="begin"/>
      </w:r>
      <w:r w:rsidR="00B14676">
        <w:instrText xml:space="preserve"> REF _Ref52894245 \n \h </w:instrText>
      </w:r>
      <w:r w:rsidR="00B14676">
        <w:fldChar w:fldCharType="separate"/>
      </w:r>
      <w:r w:rsidR="00FD6E29">
        <w:t>[25]</w:t>
      </w:r>
      <w:r w:rsidR="00B14676">
        <w:fldChar w:fldCharType="end"/>
      </w:r>
      <w:r w:rsidR="00E345F2">
        <w:t xml:space="preserve">. </w:t>
      </w:r>
      <w:r w:rsidR="00BE1FD1">
        <w:t>S</w:t>
      </w:r>
      <w:r w:rsidR="00B14676">
        <w:t>uch incentive designs</w:t>
      </w:r>
      <w:r w:rsidR="00D026AE">
        <w:t xml:space="preserve"> </w:t>
      </w:r>
      <w:r w:rsidR="00E345F2">
        <w:t>can trigger reactance</w:t>
      </w:r>
      <w:r w:rsidR="00B14676">
        <w:t>: perce</w:t>
      </w:r>
      <w:r w:rsidR="00BE1FD1">
        <w:t>iving</w:t>
      </w:r>
      <w:r w:rsidR="00B14676">
        <w:t xml:space="preserve"> the incentive</w:t>
      </w:r>
      <w:r w:rsidR="003F11BD">
        <w:t xml:space="preserve"> </w:t>
      </w:r>
      <w:r w:rsidR="00E345F2">
        <w:t>as a threat to the freedom of choice</w:t>
      </w:r>
      <w:r w:rsidR="00D026AE">
        <w:t xml:space="preserve"> </w:t>
      </w:r>
      <w:r w:rsidR="00D026AE">
        <w:fldChar w:fldCharType="begin"/>
      </w:r>
      <w:r w:rsidR="00D026AE">
        <w:instrText xml:space="preserve"> REF _Ref52895053 \n \h </w:instrText>
      </w:r>
      <w:r w:rsidR="00D026AE">
        <w:fldChar w:fldCharType="separate"/>
      </w:r>
      <w:r w:rsidR="00FD6E29">
        <w:t>[26]</w:t>
      </w:r>
      <w:r w:rsidR="00D026AE">
        <w:fldChar w:fldCharType="end"/>
      </w:r>
      <w:r w:rsidR="00D026AE">
        <w:t>.</w:t>
      </w:r>
      <w:r w:rsidR="00E345F2">
        <w:t xml:space="preserve"> </w:t>
      </w:r>
      <w:r w:rsidR="00B14676">
        <w:t>P</w:t>
      </w:r>
      <w:r w:rsidR="00E345F2">
        <w:t>erception of manipulative intent can lead</w:t>
      </w:r>
      <w:r w:rsidR="00B14676">
        <w:t xml:space="preserve"> to</w:t>
      </w:r>
      <w:r w:rsidR="00E345F2">
        <w:t xml:space="preserve"> alienation, and the feeling of exploitation</w:t>
      </w:r>
      <w:r w:rsidR="001653A5">
        <w:t xml:space="preserve"> as well</w:t>
      </w:r>
      <w:r w:rsidR="00B14676">
        <w:t>,</w:t>
      </w:r>
      <w:r w:rsidR="00E345F2">
        <w:t xml:space="preserve"> result</w:t>
      </w:r>
      <w:r w:rsidR="00B14676">
        <w:t>ing</w:t>
      </w:r>
      <w:r w:rsidR="00E345F2">
        <w:t xml:space="preserve"> in subjective isolation </w:t>
      </w:r>
      <w:r w:rsidR="00D026AE">
        <w:fldChar w:fldCharType="begin"/>
      </w:r>
      <w:r w:rsidR="00D026AE">
        <w:instrText xml:space="preserve"> REF _Ref52890202 \n \h </w:instrText>
      </w:r>
      <w:r w:rsidR="00D026AE">
        <w:fldChar w:fldCharType="separate"/>
      </w:r>
      <w:r w:rsidR="00FD6E29">
        <w:t>[7]</w:t>
      </w:r>
      <w:r w:rsidR="00D026AE">
        <w:fldChar w:fldCharType="end"/>
      </w:r>
      <w:r w:rsidR="00D026AE">
        <w:t xml:space="preserve"> </w:t>
      </w:r>
      <w:r w:rsidR="00E345F2">
        <w:t xml:space="preserve">from </w:t>
      </w:r>
      <w:r w:rsidR="00B14676">
        <w:t xml:space="preserve">the </w:t>
      </w:r>
      <w:r w:rsidR="00E345F2">
        <w:t>manipulator</w:t>
      </w:r>
      <w:r w:rsidR="003F11BD">
        <w:t xml:space="preserve">: </w:t>
      </w:r>
      <w:r w:rsidR="00E345F2">
        <w:t xml:space="preserve">the survey institution. </w:t>
      </w:r>
      <w:r w:rsidR="003F11BD">
        <w:t>This</w:t>
      </w:r>
      <w:r w:rsidR="00D026AE">
        <w:t xml:space="preserve"> applies to b</w:t>
      </w:r>
      <w:r w:rsidR="00B14676">
        <w:t>ehavioural economics</w:t>
      </w:r>
      <w:r w:rsidR="00E345F2">
        <w:t xml:space="preserve"> </w:t>
      </w:r>
      <w:r w:rsidR="00D026AE">
        <w:t>practices as well</w:t>
      </w:r>
      <w:r w:rsidR="00E345F2">
        <w:t xml:space="preserve">. </w:t>
      </w:r>
      <w:r w:rsidR="00B14676">
        <w:t xml:space="preserve">Subliminal ‘nudges’ are to reduce subjective relevance of objective alternatives, </w:t>
      </w:r>
      <w:r w:rsidR="001653A5">
        <w:t xml:space="preserve">thus </w:t>
      </w:r>
      <w:r w:rsidR="00B14676">
        <w:t>harming the prospective respondents</w:t>
      </w:r>
      <w:r>
        <w:t>’ freedom of choice</w:t>
      </w:r>
      <w:r w:rsidR="00B14676">
        <w:t>.</w:t>
      </w:r>
    </w:p>
    <w:p w:rsidR="00D52EA1" w:rsidRPr="00D52EA1" w:rsidRDefault="00064AB0" w:rsidP="00D52EA1">
      <w:pPr>
        <w:rPr>
          <w:highlight w:val="green"/>
        </w:rPr>
      </w:pPr>
      <w:r>
        <w:t xml:space="preserve">Elaborating on Singer’s </w:t>
      </w:r>
      <w:r>
        <w:fldChar w:fldCharType="begin"/>
      </w:r>
      <w:r>
        <w:instrText xml:space="preserve"> REF _Ref52890000 \r \h </w:instrText>
      </w:r>
      <w:r>
        <w:fldChar w:fldCharType="separate"/>
      </w:r>
      <w:r w:rsidR="00FD6E29">
        <w:t>[1]</w:t>
      </w:r>
      <w:r>
        <w:fldChar w:fldCharType="end"/>
      </w:r>
      <w:r>
        <w:t xml:space="preserve"> suspicion, this decades-long</w:t>
      </w:r>
      <w:r w:rsidR="00FD6E29">
        <w:t>,</w:t>
      </w:r>
      <w:r>
        <w:t xml:space="preserve"> manipulative </w:t>
      </w:r>
      <w:proofErr w:type="spellStart"/>
      <w:r>
        <w:t>incentivisation</w:t>
      </w:r>
      <w:proofErr w:type="spellEnd"/>
      <w:r>
        <w:t xml:space="preserve"> may well be a </w:t>
      </w:r>
      <w:r w:rsidR="000A3E53">
        <w:t xml:space="preserve">significant </w:t>
      </w:r>
      <w:r>
        <w:t xml:space="preserve">factor in the general downward trend </w:t>
      </w:r>
      <w:r w:rsidR="00FD6E29">
        <w:t>in</w:t>
      </w:r>
      <w:r>
        <w:t xml:space="preserve"> survey response. </w:t>
      </w:r>
      <w:r w:rsidR="00721D50">
        <w:t>Therefore, i</w:t>
      </w:r>
      <w:r w:rsidR="00E345F2" w:rsidRPr="00E345F2">
        <w:t xml:space="preserve">nstead of counting on ill-assumed </w:t>
      </w:r>
      <w:r w:rsidR="00B14676">
        <w:t xml:space="preserve">social exchange </w:t>
      </w:r>
      <w:r w:rsidR="00E345F2" w:rsidRPr="00E345F2">
        <w:t>trust-mechanisms, our</w:t>
      </w:r>
      <w:r w:rsidR="00B14676">
        <w:t xml:space="preserve"> </w:t>
      </w:r>
      <w:r w:rsidR="00E345F2" w:rsidRPr="00E345F2">
        <w:t xml:space="preserve">designs should be based on </w:t>
      </w:r>
      <w:r>
        <w:t>the</w:t>
      </w:r>
      <w:r w:rsidR="003F11BD">
        <w:t xml:space="preserve"> </w:t>
      </w:r>
      <w:r w:rsidR="00E345F2" w:rsidRPr="00E345F2">
        <w:t xml:space="preserve">‘built-in’, affirmative trust concept. </w:t>
      </w:r>
      <w:r>
        <w:t>As d</w:t>
      </w:r>
      <w:r w:rsidR="00E345F2" w:rsidRPr="00E345F2">
        <w:t xml:space="preserve">istrust can keep trust in latency, survey </w:t>
      </w:r>
      <w:r>
        <w:t>(</w:t>
      </w:r>
      <w:r w:rsidR="00E345F2" w:rsidRPr="00E345F2">
        <w:t>incentive</w:t>
      </w:r>
      <w:r>
        <w:t>)</w:t>
      </w:r>
      <w:r w:rsidR="00E345F2" w:rsidRPr="00E345F2">
        <w:t xml:space="preserve"> practices should be shifted from m</w:t>
      </w:r>
      <w:r>
        <w:t xml:space="preserve">anipulative ‘trust-triggering’ </w:t>
      </w:r>
      <w:r w:rsidR="00E345F2" w:rsidRPr="00E345F2">
        <w:t xml:space="preserve">designs to fight learnt distrust. </w:t>
      </w:r>
      <w:r w:rsidR="001653A5">
        <w:t>Incentives might still have a role in m</w:t>
      </w:r>
      <w:r>
        <w:t>aking distrust irrelevant</w:t>
      </w:r>
      <w:r w:rsidR="00E345F2" w:rsidRPr="00E345F2">
        <w:t xml:space="preserve"> </w:t>
      </w:r>
      <w:r w:rsidR="00D45891">
        <w:t xml:space="preserve">in </w:t>
      </w:r>
      <w:r w:rsidR="00E345F2" w:rsidRPr="00E345F2">
        <w:t xml:space="preserve">the response situation. </w:t>
      </w:r>
      <w:r w:rsidR="00D45891">
        <w:t xml:space="preserve">Showing </w:t>
      </w:r>
      <w:r w:rsidR="00E345F2" w:rsidRPr="00D45891">
        <w:t>actual</w:t>
      </w:r>
      <w:r w:rsidR="00E345F2" w:rsidRPr="00E345F2">
        <w:t xml:space="preserve"> trust along with it empowers the respondent, leaves their autonomy unharmed</w:t>
      </w:r>
      <w:r w:rsidR="001653A5">
        <w:t>.</w:t>
      </w:r>
      <w:r w:rsidR="00E345F2" w:rsidRPr="00E345F2">
        <w:t xml:space="preserve"> </w:t>
      </w:r>
      <w:r w:rsidR="001653A5">
        <w:t>Thus,</w:t>
      </w:r>
      <w:r w:rsidR="00E345F2" w:rsidRPr="00E345F2">
        <w:t xml:space="preserve"> </w:t>
      </w:r>
      <w:r w:rsidR="001653A5">
        <w:t>i</w:t>
      </w:r>
      <w:r w:rsidR="00E345F2" w:rsidRPr="00E345F2">
        <w:t xml:space="preserve">nstead of forced out </w:t>
      </w:r>
      <w:r w:rsidR="003F11BD">
        <w:t>‘</w:t>
      </w:r>
      <w:r w:rsidR="00E345F2" w:rsidRPr="00E345F2">
        <w:t>reciprocity</w:t>
      </w:r>
      <w:r w:rsidR="003F11BD">
        <w:t>’</w:t>
      </w:r>
      <w:r w:rsidR="00E345F2" w:rsidRPr="00E345F2">
        <w:t xml:space="preserve">, respondents </w:t>
      </w:r>
      <w:r w:rsidR="003F11BD">
        <w:t xml:space="preserve">may </w:t>
      </w:r>
      <w:r w:rsidR="00E345F2" w:rsidRPr="00064AB0">
        <w:rPr>
          <w:i/>
        </w:rPr>
        <w:t>relax</w:t>
      </w:r>
      <w:r w:rsidR="00E345F2" w:rsidRPr="00E345F2">
        <w:t xml:space="preserve"> in</w:t>
      </w:r>
      <w:r w:rsidR="001653A5">
        <w:t>t</w:t>
      </w:r>
      <w:r w:rsidR="00E345F2" w:rsidRPr="00E345F2">
        <w:t xml:space="preserve">o the basic human trusting attitude, affirmed by the trust shown towards them. </w:t>
      </w:r>
      <w:r w:rsidR="001653A5">
        <w:t>But t</w:t>
      </w:r>
      <w:r w:rsidR="00E345F2" w:rsidRPr="00E345F2">
        <w:t xml:space="preserve">here is a catch: if </w:t>
      </w:r>
      <w:r w:rsidR="001653A5">
        <w:t xml:space="preserve">the </w:t>
      </w:r>
      <w:r w:rsidR="00E345F2" w:rsidRPr="00E345F2">
        <w:t xml:space="preserve">purpose </w:t>
      </w:r>
      <w:r>
        <w:t xml:space="preserve">is </w:t>
      </w:r>
      <w:r w:rsidR="001653A5">
        <w:t xml:space="preserve">to </w:t>
      </w:r>
      <w:r w:rsidR="001653A5" w:rsidRPr="001653A5">
        <w:t>gain</w:t>
      </w:r>
      <w:r w:rsidR="00E345F2" w:rsidRPr="00E345F2">
        <w:t xml:space="preserve"> trust, it instantly turns into manipulation</w:t>
      </w:r>
      <w:r w:rsidR="001653A5">
        <w:t>.</w:t>
      </w:r>
      <w:r w:rsidR="00E345F2" w:rsidRPr="00E345F2">
        <w:t xml:space="preserve"> Trust </w:t>
      </w:r>
      <w:r>
        <w:t xml:space="preserve">must </w:t>
      </w:r>
      <w:r w:rsidR="00E345F2" w:rsidRPr="00E345F2">
        <w:t xml:space="preserve">be </w:t>
      </w:r>
      <w:r w:rsidR="00E345F2" w:rsidRPr="00064AB0">
        <w:rPr>
          <w:i/>
        </w:rPr>
        <w:t>truly unconditional</w:t>
      </w:r>
      <w:r w:rsidR="00E345F2" w:rsidRPr="00E345F2">
        <w:t>. The distrust survey institutions demonstrate towards respondents through the use of incentives in order to gain cooperat</w:t>
      </w:r>
      <w:r w:rsidR="000A3E53">
        <w:t>ion has to be dealt with first. T</w:t>
      </w:r>
      <w:r w:rsidR="00E345F2" w:rsidRPr="00E345F2">
        <w:t xml:space="preserve">hen </w:t>
      </w:r>
      <w:r w:rsidR="001653A5">
        <w:t xml:space="preserve">come </w:t>
      </w:r>
      <w:r w:rsidR="00E345F2" w:rsidRPr="00E345F2">
        <w:t xml:space="preserve">the next steps towards </w:t>
      </w:r>
      <w:r w:rsidR="000A3E53">
        <w:t>a use</w:t>
      </w:r>
      <w:r w:rsidR="001653A5">
        <w:t xml:space="preserve"> </w:t>
      </w:r>
      <w:r w:rsidR="000A3E53">
        <w:t xml:space="preserve">of </w:t>
      </w:r>
      <w:r w:rsidR="00E345F2" w:rsidRPr="00E345F2">
        <w:t xml:space="preserve">incentives </w:t>
      </w:r>
      <w:r w:rsidR="001653A5">
        <w:t xml:space="preserve">to tear </w:t>
      </w:r>
      <w:r w:rsidR="00E345F2" w:rsidRPr="00E345F2">
        <w:t>down learn</w:t>
      </w:r>
      <w:r w:rsidR="000A3E53">
        <w:t>t distrust. A properly tailored and</w:t>
      </w:r>
      <w:r w:rsidR="00E345F2" w:rsidRPr="00E345F2">
        <w:t xml:space="preserve"> </w:t>
      </w:r>
      <w:r w:rsidR="00E345F2" w:rsidRPr="00064AB0">
        <w:rPr>
          <w:i/>
        </w:rPr>
        <w:t>honest</w:t>
      </w:r>
      <w:r w:rsidR="00E345F2" w:rsidRPr="00E345F2">
        <w:t xml:space="preserve"> leverage–saliency design </w:t>
      </w:r>
      <w:r w:rsidR="003F11BD">
        <w:fldChar w:fldCharType="begin"/>
      </w:r>
      <w:r w:rsidR="003F11BD">
        <w:instrText xml:space="preserve"> REF _Ref52896685 \n \h </w:instrText>
      </w:r>
      <w:r w:rsidR="003F11BD">
        <w:fldChar w:fldCharType="separate"/>
      </w:r>
      <w:r w:rsidR="00FD6E29">
        <w:t>[</w:t>
      </w:r>
      <w:r w:rsidR="00FD6E29">
        <w:t>2</w:t>
      </w:r>
      <w:r w:rsidR="00FD6E29">
        <w:t>7]</w:t>
      </w:r>
      <w:r w:rsidR="003F11BD">
        <w:fldChar w:fldCharType="end"/>
      </w:r>
      <w:r w:rsidR="00E345F2" w:rsidRPr="00E345F2">
        <w:t xml:space="preserve"> may serve this purpose well, but only </w:t>
      </w:r>
      <w:r w:rsidR="001653A5">
        <w:t xml:space="preserve">as a </w:t>
      </w:r>
      <w:r w:rsidR="00E345F2" w:rsidRPr="00E345F2">
        <w:t>framework. The content</w:t>
      </w:r>
      <w:r w:rsidR="003F11BD">
        <w:t>s</w:t>
      </w:r>
      <w:r w:rsidR="00E345F2" w:rsidRPr="00E345F2">
        <w:t xml:space="preserve"> are the attitude and actions of the survey institute throughout the entire lifetime of a survey</w:t>
      </w:r>
      <w:r w:rsidR="001653A5">
        <w:t>:</w:t>
      </w:r>
      <w:r w:rsidR="00E345F2" w:rsidRPr="00E345F2">
        <w:t xml:space="preserve"> from the earliest design phase through data collection to the processing, </w:t>
      </w:r>
      <w:r w:rsidR="003D6019">
        <w:t xml:space="preserve">the </w:t>
      </w:r>
      <w:r w:rsidR="00E345F2" w:rsidRPr="00E345F2">
        <w:t xml:space="preserve">dissemination, and </w:t>
      </w:r>
      <w:r w:rsidR="003D6019">
        <w:t xml:space="preserve">the </w:t>
      </w:r>
      <w:r w:rsidR="00E345F2" w:rsidRPr="00E345F2">
        <w:t xml:space="preserve">use of the data and </w:t>
      </w:r>
      <w:r w:rsidR="00D45891">
        <w:t>statistics produced</w:t>
      </w:r>
      <w:r>
        <w:t xml:space="preserve"> thereof</w:t>
      </w:r>
      <w:r w:rsidR="00E345F2" w:rsidRPr="00E345F2">
        <w:t>.</w:t>
      </w:r>
    </w:p>
    <w:p w:rsidR="00BC6AFE" w:rsidRDefault="00BC6AFE" w:rsidP="009B4EE0">
      <w:pPr>
        <w:pStyle w:val="Cmsor1"/>
        <w:numPr>
          <w:ilvl w:val="0"/>
          <w:numId w:val="0"/>
        </w:numPr>
        <w:ind w:left="480" w:hanging="480"/>
      </w:pPr>
      <w:r>
        <w:t>References</w:t>
      </w:r>
    </w:p>
    <w:p w:rsidR="00F77B3F" w:rsidRPr="009718FF" w:rsidRDefault="00F77B3F" w:rsidP="00F77B3F">
      <w:pPr>
        <w:pStyle w:val="Text1"/>
        <w:numPr>
          <w:ilvl w:val="0"/>
          <w:numId w:val="20"/>
        </w:numPr>
        <w:rPr>
          <w:rStyle w:val="Finomhivatkozs"/>
        </w:rPr>
      </w:pPr>
      <w:bookmarkStart w:id="1" w:name="_Ref52890000"/>
      <w:r w:rsidRPr="009718FF">
        <w:rPr>
          <w:rStyle w:val="Finomhivatkozs"/>
        </w:rPr>
        <w:t>E. Singer, Survey Incentives</w:t>
      </w:r>
      <w:r w:rsidR="00A82837" w:rsidRPr="009718FF">
        <w:rPr>
          <w:rStyle w:val="Finomhivatkozs"/>
        </w:rPr>
        <w:t>.</w:t>
      </w:r>
      <w:r w:rsidRPr="009718FF">
        <w:rPr>
          <w:rStyle w:val="Finomhivatkozs"/>
        </w:rPr>
        <w:t xml:space="preserve"> In D. L. </w:t>
      </w:r>
      <w:proofErr w:type="spellStart"/>
      <w:r w:rsidRPr="009718FF">
        <w:rPr>
          <w:rStyle w:val="Finomhivatkozs"/>
        </w:rPr>
        <w:t>Vannette</w:t>
      </w:r>
      <w:proofErr w:type="spellEnd"/>
      <w:r w:rsidRPr="009718FF">
        <w:rPr>
          <w:rStyle w:val="Finomhivatkozs"/>
        </w:rPr>
        <w:t xml:space="preserve"> and J. A. </w:t>
      </w:r>
      <w:proofErr w:type="spellStart"/>
      <w:r w:rsidRPr="009718FF">
        <w:rPr>
          <w:rStyle w:val="Finomhivatkozs"/>
        </w:rPr>
        <w:t>Krosnick</w:t>
      </w:r>
      <w:proofErr w:type="spellEnd"/>
      <w:r w:rsidRPr="009718FF">
        <w:rPr>
          <w:rStyle w:val="Finomhivatkozs"/>
        </w:rPr>
        <w:t xml:space="preserve"> (eds.): The Palgrave Handbook of Survey Research</w:t>
      </w:r>
      <w:r w:rsidR="00A82837" w:rsidRPr="009718FF">
        <w:rPr>
          <w:rStyle w:val="Finomhivatkozs"/>
        </w:rPr>
        <w:t>.</w:t>
      </w:r>
      <w:r w:rsidRPr="009718FF">
        <w:rPr>
          <w:rStyle w:val="Finomhivatkozs"/>
        </w:rPr>
        <w:t xml:space="preserve"> Cham: </w:t>
      </w:r>
      <w:proofErr w:type="spellStart"/>
      <w:r w:rsidRPr="009718FF">
        <w:rPr>
          <w:rStyle w:val="Finomhivatkozs"/>
        </w:rPr>
        <w:t>Plagrave</w:t>
      </w:r>
      <w:proofErr w:type="spellEnd"/>
      <w:r w:rsidRPr="009718FF">
        <w:rPr>
          <w:rStyle w:val="Finomhivatkozs"/>
        </w:rPr>
        <w:t xml:space="preserve"> Macmillan (2018), 405-415.</w:t>
      </w:r>
      <w:bookmarkEnd w:id="1"/>
    </w:p>
    <w:p w:rsidR="00EB6881" w:rsidRPr="009718FF" w:rsidRDefault="00EB6881" w:rsidP="005B1F3D">
      <w:pPr>
        <w:pStyle w:val="Text1"/>
        <w:numPr>
          <w:ilvl w:val="0"/>
          <w:numId w:val="20"/>
        </w:numPr>
        <w:rPr>
          <w:rStyle w:val="Finomhivatkozs"/>
        </w:rPr>
      </w:pPr>
      <w:bookmarkStart w:id="2" w:name="_Ref52890091"/>
      <w:r w:rsidRPr="009718FF">
        <w:rPr>
          <w:rStyle w:val="Finomhivatkozs"/>
        </w:rPr>
        <w:t xml:space="preserve">B. </w:t>
      </w:r>
      <w:proofErr w:type="spellStart"/>
      <w:r w:rsidRPr="009718FF">
        <w:rPr>
          <w:rStyle w:val="Finomhivatkozs"/>
        </w:rPr>
        <w:t>Misztal</w:t>
      </w:r>
      <w:proofErr w:type="spellEnd"/>
      <w:r w:rsidRPr="009718FF">
        <w:rPr>
          <w:rStyle w:val="Finomhivatkozs"/>
        </w:rPr>
        <w:t>, Trust in Modern Societies. Cambridge: Polity Press (1996).</w:t>
      </w:r>
      <w:bookmarkEnd w:id="2"/>
    </w:p>
    <w:p w:rsidR="005B1F3D" w:rsidRPr="009718FF" w:rsidRDefault="005B1F3D" w:rsidP="005B1F3D">
      <w:pPr>
        <w:pStyle w:val="Listaszerbekezds"/>
        <w:numPr>
          <w:ilvl w:val="0"/>
          <w:numId w:val="20"/>
        </w:numPr>
        <w:rPr>
          <w:rStyle w:val="Finomhivatkozs"/>
        </w:rPr>
      </w:pPr>
      <w:bookmarkStart w:id="3" w:name="_Ref52890180"/>
      <w:r w:rsidRPr="009718FF">
        <w:rPr>
          <w:rStyle w:val="Finomhivatkozs"/>
        </w:rPr>
        <w:t xml:space="preserve">P. M. </w:t>
      </w:r>
      <w:proofErr w:type="spellStart"/>
      <w:r w:rsidRPr="009718FF">
        <w:rPr>
          <w:rStyle w:val="Finomhivatkozs"/>
        </w:rPr>
        <w:t>Blau</w:t>
      </w:r>
      <w:proofErr w:type="spellEnd"/>
      <w:r w:rsidRPr="009718FF">
        <w:rPr>
          <w:rStyle w:val="Finomhivatkozs"/>
        </w:rPr>
        <w:t>, Exchange and Power in Social Life. New York: Wiley (1964).</w:t>
      </w:r>
      <w:bookmarkEnd w:id="3"/>
    </w:p>
    <w:p w:rsidR="00EB6881" w:rsidRPr="009718FF" w:rsidRDefault="00EB6881" w:rsidP="00EB6881">
      <w:pPr>
        <w:pStyle w:val="Text1"/>
        <w:numPr>
          <w:ilvl w:val="0"/>
          <w:numId w:val="20"/>
        </w:numPr>
        <w:rPr>
          <w:rStyle w:val="Finomhivatkozs"/>
        </w:rPr>
      </w:pPr>
      <w:bookmarkStart w:id="4" w:name="_Ref52890191"/>
      <w:r w:rsidRPr="009718FF">
        <w:rPr>
          <w:rStyle w:val="Finomhivatkozs"/>
        </w:rPr>
        <w:t>D. A. Dillman, Mail and Telephone Surveys. The Total Design Method. New York: John Wiley &amp; Sons (1978).</w:t>
      </w:r>
      <w:bookmarkEnd w:id="4"/>
    </w:p>
    <w:p w:rsidR="00EB6881" w:rsidRPr="009718FF" w:rsidRDefault="00EB6881" w:rsidP="00EB6881">
      <w:pPr>
        <w:pStyle w:val="Text1"/>
        <w:numPr>
          <w:ilvl w:val="0"/>
          <w:numId w:val="20"/>
        </w:numPr>
        <w:rPr>
          <w:rStyle w:val="Finomhivatkozs"/>
        </w:rPr>
      </w:pPr>
      <w:bookmarkStart w:id="5" w:name="_Ref52890194"/>
      <w:r w:rsidRPr="009718FF">
        <w:rPr>
          <w:rStyle w:val="Finomhivatkozs"/>
        </w:rPr>
        <w:t>D. A. Dillman, Mail and Internet Surveys. The Tailored Design Method. Second Edition. 2007 Update with New Internet, Visual, and Mixed-Mode Guide. Hoboken, NJ: John Wiley &amp; Sons (2007).</w:t>
      </w:r>
      <w:bookmarkEnd w:id="5"/>
    </w:p>
    <w:p w:rsidR="00EB6881" w:rsidRPr="009718FF" w:rsidRDefault="00EB6881" w:rsidP="00EB6881">
      <w:pPr>
        <w:pStyle w:val="Text1"/>
        <w:numPr>
          <w:ilvl w:val="0"/>
          <w:numId w:val="20"/>
        </w:numPr>
        <w:rPr>
          <w:rStyle w:val="Finomhivatkozs"/>
        </w:rPr>
      </w:pPr>
      <w:bookmarkStart w:id="6" w:name="_Ref52890196"/>
      <w:r w:rsidRPr="009718FF">
        <w:rPr>
          <w:rStyle w:val="Finomhivatkozs"/>
        </w:rPr>
        <w:t>D. A. Dillman, J. D. Smyth and L. M. Christian, Internet, Phone, Mail, and Mixed-Mode Surveys. The Tailored Design Method. Hoboken, NJ: John Wiley &amp; Sons (2014).</w:t>
      </w:r>
      <w:bookmarkEnd w:id="6"/>
    </w:p>
    <w:p w:rsidR="00EB6881" w:rsidRPr="009718FF" w:rsidRDefault="005B1F3D" w:rsidP="00EB6881">
      <w:pPr>
        <w:pStyle w:val="Text1"/>
        <w:numPr>
          <w:ilvl w:val="0"/>
          <w:numId w:val="20"/>
        </w:numPr>
        <w:rPr>
          <w:rStyle w:val="Finomhivatkozs"/>
        </w:rPr>
      </w:pPr>
      <w:bookmarkStart w:id="7" w:name="_Ref52890202"/>
      <w:r w:rsidRPr="009718FF">
        <w:rPr>
          <w:rStyle w:val="Finomhivatkozs"/>
        </w:rPr>
        <w:t xml:space="preserve">D. </w:t>
      </w:r>
      <w:proofErr w:type="spellStart"/>
      <w:r w:rsidR="00EB6881" w:rsidRPr="009718FF">
        <w:rPr>
          <w:rStyle w:val="Finomhivatkozs"/>
        </w:rPr>
        <w:t>Saßenroth</w:t>
      </w:r>
      <w:proofErr w:type="spellEnd"/>
      <w:r w:rsidR="00EB6881" w:rsidRPr="009718FF">
        <w:rPr>
          <w:rStyle w:val="Finomhivatkozs"/>
        </w:rPr>
        <w:t>, The Impact of Personality on Participation Decisions in Surveys. A Contribution to the Discussion on Unit Nonresponse. Wiesbaden: Springer VS</w:t>
      </w:r>
      <w:r w:rsidRPr="009718FF">
        <w:rPr>
          <w:rStyle w:val="Finomhivatkozs"/>
        </w:rPr>
        <w:t xml:space="preserve"> (2013)</w:t>
      </w:r>
      <w:r w:rsidR="00EB6881" w:rsidRPr="009718FF">
        <w:rPr>
          <w:rStyle w:val="Finomhivatkozs"/>
        </w:rPr>
        <w:t>.</w:t>
      </w:r>
      <w:bookmarkEnd w:id="7"/>
    </w:p>
    <w:p w:rsidR="00EB6881" w:rsidRPr="009718FF" w:rsidRDefault="00EB6881" w:rsidP="00EB6881">
      <w:pPr>
        <w:pStyle w:val="Text1"/>
        <w:numPr>
          <w:ilvl w:val="0"/>
          <w:numId w:val="20"/>
        </w:numPr>
        <w:rPr>
          <w:rStyle w:val="Finomhivatkozs"/>
        </w:rPr>
      </w:pPr>
      <w:bookmarkStart w:id="8" w:name="_Ref52890208"/>
      <w:r w:rsidRPr="009718FF">
        <w:rPr>
          <w:rStyle w:val="Finomhivatkozs"/>
        </w:rPr>
        <w:lastRenderedPageBreak/>
        <w:t>R. M. Groves and M. P. Couper, Nonresponse in Household Interview Surveys. New York: John Wiley &amp; Sons (1998).</w:t>
      </w:r>
      <w:bookmarkEnd w:id="8"/>
    </w:p>
    <w:p w:rsidR="005B1F3D" w:rsidRPr="009718FF" w:rsidRDefault="005B1F3D" w:rsidP="005B1F3D">
      <w:pPr>
        <w:pStyle w:val="Text1"/>
        <w:numPr>
          <w:ilvl w:val="0"/>
          <w:numId w:val="20"/>
        </w:numPr>
        <w:rPr>
          <w:rStyle w:val="Finomhivatkozs"/>
        </w:rPr>
      </w:pPr>
      <w:bookmarkStart w:id="9" w:name="_Ref52890215"/>
      <w:r w:rsidRPr="009718FF">
        <w:rPr>
          <w:rStyle w:val="Finomhivatkozs"/>
        </w:rPr>
        <w:t>N. Luhmann, Trust and Power. Chichester: John Wiley and Sons (1979).</w:t>
      </w:r>
      <w:bookmarkEnd w:id="9"/>
    </w:p>
    <w:p w:rsidR="005B1F3D" w:rsidRPr="009718FF" w:rsidRDefault="005B1F3D" w:rsidP="005B1F3D">
      <w:pPr>
        <w:pStyle w:val="Listaszerbekezds"/>
        <w:numPr>
          <w:ilvl w:val="0"/>
          <w:numId w:val="20"/>
        </w:numPr>
        <w:rPr>
          <w:rStyle w:val="Finomhivatkozs"/>
        </w:rPr>
      </w:pPr>
      <w:bookmarkStart w:id="10" w:name="_Ref52890979"/>
      <w:bookmarkStart w:id="11" w:name="_Ref52890612"/>
      <w:r w:rsidRPr="009718FF">
        <w:rPr>
          <w:rStyle w:val="Finomhivatkozs"/>
        </w:rPr>
        <w:t>Mújdricza F, The Roots of Trust, European Journal of Mental Health, 14(1) (2019), 109-142.</w:t>
      </w:r>
      <w:bookmarkEnd w:id="10"/>
    </w:p>
    <w:p w:rsidR="00A82837" w:rsidRPr="009718FF" w:rsidRDefault="005B1F3D" w:rsidP="00EB6881">
      <w:pPr>
        <w:pStyle w:val="Text1"/>
        <w:numPr>
          <w:ilvl w:val="0"/>
          <w:numId w:val="20"/>
        </w:numPr>
        <w:rPr>
          <w:rStyle w:val="Finomhivatkozs"/>
        </w:rPr>
      </w:pPr>
      <w:bookmarkStart w:id="12" w:name="_Ref52891686"/>
      <w:r w:rsidRPr="009718FF">
        <w:rPr>
          <w:rStyle w:val="Finomhivatkozs"/>
        </w:rPr>
        <w:t xml:space="preserve">E. M. </w:t>
      </w:r>
      <w:proofErr w:type="spellStart"/>
      <w:r w:rsidRPr="009718FF">
        <w:rPr>
          <w:rStyle w:val="Finomhivatkozs"/>
        </w:rPr>
        <w:t>Uslaner</w:t>
      </w:r>
      <w:proofErr w:type="spellEnd"/>
      <w:r w:rsidRPr="009718FF">
        <w:rPr>
          <w:rStyle w:val="Finomhivatkozs"/>
        </w:rPr>
        <w:t>, The Moral Foundations of Trust. New York: Cambridge University Press (2002).</w:t>
      </w:r>
      <w:bookmarkEnd w:id="12"/>
    </w:p>
    <w:p w:rsidR="005B1F3D" w:rsidRPr="009718FF" w:rsidRDefault="005B1F3D" w:rsidP="005B1F3D">
      <w:pPr>
        <w:pStyle w:val="Text1"/>
        <w:numPr>
          <w:ilvl w:val="0"/>
          <w:numId w:val="20"/>
        </w:numPr>
        <w:ind w:left="357" w:hanging="357"/>
        <w:rPr>
          <w:rStyle w:val="Finomhivatkozs"/>
        </w:rPr>
      </w:pPr>
      <w:bookmarkStart w:id="13" w:name="_Ref52891870"/>
      <w:bookmarkEnd w:id="11"/>
      <w:r w:rsidRPr="009718FF">
        <w:rPr>
          <w:rStyle w:val="Finomhivatkozs"/>
        </w:rPr>
        <w:t xml:space="preserve">P. </w:t>
      </w:r>
      <w:proofErr w:type="spellStart"/>
      <w:r w:rsidRPr="009718FF">
        <w:rPr>
          <w:rStyle w:val="Finomhivatkozs"/>
        </w:rPr>
        <w:t>Dasgupta</w:t>
      </w:r>
      <w:proofErr w:type="spellEnd"/>
      <w:r w:rsidRPr="009718FF">
        <w:rPr>
          <w:rStyle w:val="Finomhivatkozs"/>
        </w:rPr>
        <w:t>, Trust as a Commodity. In D. Gambetta (ed.), Trust. Making and Breaking Cooperative Relations. Oxford: Basil Blackwell (1988), 49-72.</w:t>
      </w:r>
      <w:bookmarkEnd w:id="13"/>
    </w:p>
    <w:p w:rsidR="005B1F3D" w:rsidRPr="009718FF" w:rsidRDefault="005B1F3D" w:rsidP="005B1F3D">
      <w:pPr>
        <w:pStyle w:val="Text1"/>
        <w:numPr>
          <w:ilvl w:val="0"/>
          <w:numId w:val="20"/>
        </w:numPr>
        <w:ind w:left="357" w:hanging="357"/>
        <w:rPr>
          <w:rStyle w:val="Finomhivatkozs"/>
        </w:rPr>
      </w:pPr>
      <w:bookmarkStart w:id="14" w:name="_Ref52891876"/>
      <w:r w:rsidRPr="009718FF">
        <w:rPr>
          <w:rStyle w:val="Finomhivatkozs"/>
        </w:rPr>
        <w:t>J. S. Coleman, Foundations of Social Theory. Cambridge, MA &amp; London: Harvard University Press (1990).</w:t>
      </w:r>
      <w:bookmarkEnd w:id="14"/>
    </w:p>
    <w:p w:rsidR="005B1F3D" w:rsidRPr="009718FF" w:rsidRDefault="005B1F3D" w:rsidP="005B1F3D">
      <w:pPr>
        <w:pStyle w:val="Text1"/>
        <w:numPr>
          <w:ilvl w:val="0"/>
          <w:numId w:val="20"/>
        </w:numPr>
        <w:ind w:left="357" w:hanging="357"/>
        <w:rPr>
          <w:rStyle w:val="Finomhivatkozs"/>
        </w:rPr>
      </w:pPr>
      <w:bookmarkStart w:id="15" w:name="_Ref52891878"/>
      <w:r w:rsidRPr="009718FF">
        <w:rPr>
          <w:rStyle w:val="Finomhivatkozs"/>
        </w:rPr>
        <w:t xml:space="preserve">P. </w:t>
      </w:r>
      <w:proofErr w:type="spellStart"/>
      <w:r w:rsidRPr="009718FF">
        <w:rPr>
          <w:rStyle w:val="Finomhivatkozs"/>
        </w:rPr>
        <w:t>Sztompka</w:t>
      </w:r>
      <w:proofErr w:type="spellEnd"/>
      <w:r w:rsidRPr="009718FF">
        <w:rPr>
          <w:rStyle w:val="Finomhivatkozs"/>
        </w:rPr>
        <w:t>, Trust. A Sociological Theory. New York: Cambridge University Press (1999).</w:t>
      </w:r>
      <w:bookmarkEnd w:id="15"/>
    </w:p>
    <w:p w:rsidR="005B1F3D" w:rsidRPr="009718FF" w:rsidRDefault="005B1F3D" w:rsidP="005B1F3D">
      <w:pPr>
        <w:pStyle w:val="Text1"/>
        <w:numPr>
          <w:ilvl w:val="0"/>
          <w:numId w:val="20"/>
        </w:numPr>
        <w:ind w:left="357" w:hanging="357"/>
        <w:rPr>
          <w:rStyle w:val="Finomhivatkozs"/>
        </w:rPr>
      </w:pPr>
      <w:bookmarkStart w:id="16" w:name="_Ref52891986"/>
      <w:r w:rsidRPr="009718FF">
        <w:rPr>
          <w:rStyle w:val="Finomhivatkozs"/>
        </w:rPr>
        <w:t>R. Hardin, Trust. Cambridge: Polity Press (2006).</w:t>
      </w:r>
      <w:bookmarkEnd w:id="16"/>
    </w:p>
    <w:p w:rsidR="005B1F3D" w:rsidRPr="009718FF" w:rsidRDefault="005B1F3D" w:rsidP="005B1F3D">
      <w:pPr>
        <w:pStyle w:val="Text1"/>
        <w:numPr>
          <w:ilvl w:val="0"/>
          <w:numId w:val="20"/>
        </w:numPr>
        <w:ind w:left="357" w:hanging="357"/>
        <w:rPr>
          <w:rStyle w:val="Finomhivatkozs"/>
        </w:rPr>
      </w:pPr>
      <w:bookmarkStart w:id="17" w:name="_Ref52892005"/>
      <w:r w:rsidRPr="009718FF">
        <w:rPr>
          <w:rStyle w:val="Finomhivatkozs"/>
        </w:rPr>
        <w:t>O. Lagerspetz, Trust, Ethics and Human Reason. London: Bloomsbury Academic (2015).</w:t>
      </w:r>
      <w:bookmarkEnd w:id="17"/>
    </w:p>
    <w:p w:rsidR="005B1F3D" w:rsidRPr="009718FF" w:rsidRDefault="005B1F3D" w:rsidP="005B1F3D">
      <w:pPr>
        <w:pStyle w:val="Text1"/>
        <w:numPr>
          <w:ilvl w:val="0"/>
          <w:numId w:val="20"/>
        </w:numPr>
        <w:ind w:left="357" w:hanging="357"/>
        <w:rPr>
          <w:rStyle w:val="Finomhivatkozs"/>
        </w:rPr>
      </w:pPr>
      <w:bookmarkStart w:id="18" w:name="_Ref52892140"/>
      <w:r w:rsidRPr="009718FF">
        <w:rPr>
          <w:rStyle w:val="Finomhivatkozs"/>
        </w:rPr>
        <w:t>R. D. Putnam, Bowling Alone. The Collapse and Revival of American Community. New York: Simon &amp; Schuster (2000).</w:t>
      </w:r>
      <w:bookmarkEnd w:id="18"/>
    </w:p>
    <w:p w:rsidR="005B1F3D" w:rsidRPr="009718FF" w:rsidRDefault="002E703A" w:rsidP="005B1F3D">
      <w:pPr>
        <w:pStyle w:val="Text1"/>
        <w:numPr>
          <w:ilvl w:val="0"/>
          <w:numId w:val="20"/>
        </w:numPr>
        <w:ind w:left="357" w:hanging="357"/>
        <w:rPr>
          <w:rStyle w:val="Finomhivatkozs"/>
        </w:rPr>
      </w:pPr>
      <w:bookmarkStart w:id="19" w:name="_Ref52960441"/>
      <w:r w:rsidRPr="009718FF">
        <w:rPr>
          <w:rStyle w:val="Finomhivatkozs"/>
        </w:rPr>
        <w:t>A. Giddens, Modernity and Self-Identity. Self and Society in the Late Modern Age. Cambridge: Polity Press (1991).</w:t>
      </w:r>
      <w:bookmarkEnd w:id="19"/>
    </w:p>
    <w:p w:rsidR="005B1F3D" w:rsidRPr="009718FF" w:rsidRDefault="005B1F3D" w:rsidP="005B1F3D">
      <w:pPr>
        <w:pStyle w:val="Text1"/>
        <w:numPr>
          <w:ilvl w:val="0"/>
          <w:numId w:val="20"/>
        </w:numPr>
        <w:ind w:left="357" w:hanging="357"/>
        <w:rPr>
          <w:rStyle w:val="Finomhivatkozs"/>
        </w:rPr>
      </w:pPr>
      <w:bookmarkStart w:id="20" w:name="_Ref52892142"/>
      <w:r w:rsidRPr="009718FF">
        <w:rPr>
          <w:rStyle w:val="Finomhivatkozs"/>
        </w:rPr>
        <w:t>G. Möllering, Trust: Reason, Routine, Reflexivity. Oxford: Elsevier (2006).</w:t>
      </w:r>
      <w:bookmarkEnd w:id="20"/>
    </w:p>
    <w:p w:rsidR="005B1F3D" w:rsidRPr="009718FF" w:rsidRDefault="005B1F3D" w:rsidP="005B1F3D">
      <w:pPr>
        <w:pStyle w:val="Text1"/>
        <w:numPr>
          <w:ilvl w:val="0"/>
          <w:numId w:val="20"/>
        </w:numPr>
        <w:ind w:left="357" w:hanging="357"/>
        <w:rPr>
          <w:rStyle w:val="Finomhivatkozs"/>
        </w:rPr>
      </w:pPr>
      <w:bookmarkStart w:id="21" w:name="_Ref52892410"/>
      <w:r w:rsidRPr="009718FF">
        <w:rPr>
          <w:rStyle w:val="Finomhivatkozs"/>
        </w:rPr>
        <w:t>A. Baier, Trust and Antitrust, Ethics, 96(2) (1986), 231-260.</w:t>
      </w:r>
      <w:bookmarkEnd w:id="21"/>
    </w:p>
    <w:p w:rsidR="005B1F3D" w:rsidRPr="009718FF" w:rsidRDefault="00D026AE" w:rsidP="005B1F3D">
      <w:pPr>
        <w:pStyle w:val="Text1"/>
        <w:numPr>
          <w:ilvl w:val="0"/>
          <w:numId w:val="20"/>
        </w:numPr>
        <w:ind w:left="357" w:hanging="357"/>
        <w:rPr>
          <w:rStyle w:val="Finomhivatkozs"/>
        </w:rPr>
      </w:pPr>
      <w:bookmarkStart w:id="22" w:name="_Ref52892413"/>
      <w:r w:rsidRPr="009718FF">
        <w:rPr>
          <w:rStyle w:val="Finomhivatkozs"/>
        </w:rPr>
        <w:t xml:space="preserve">L. C. </w:t>
      </w:r>
      <w:r w:rsidR="005B1F3D" w:rsidRPr="009718FF">
        <w:rPr>
          <w:rStyle w:val="Finomhivatkozs"/>
        </w:rPr>
        <w:t xml:space="preserve">Becker, Trust as </w:t>
      </w:r>
      <w:proofErr w:type="spellStart"/>
      <w:r w:rsidR="005B1F3D" w:rsidRPr="009718FF">
        <w:rPr>
          <w:rStyle w:val="Finomhivatkozs"/>
        </w:rPr>
        <w:t>Noncognitive</w:t>
      </w:r>
      <w:proofErr w:type="spellEnd"/>
      <w:r w:rsidR="005B1F3D" w:rsidRPr="009718FF">
        <w:rPr>
          <w:rStyle w:val="Finomhivatkozs"/>
        </w:rPr>
        <w:t xml:space="preserve"> Security about Motives</w:t>
      </w:r>
      <w:r w:rsidRPr="009718FF">
        <w:rPr>
          <w:rStyle w:val="Finomhivatkozs"/>
        </w:rPr>
        <w:t>,</w:t>
      </w:r>
      <w:r w:rsidR="005B1F3D" w:rsidRPr="009718FF">
        <w:rPr>
          <w:rStyle w:val="Finomhivatkozs"/>
        </w:rPr>
        <w:t xml:space="preserve"> Ethics, 107(1)</w:t>
      </w:r>
      <w:r w:rsidRPr="009718FF">
        <w:rPr>
          <w:rStyle w:val="Finomhivatkozs"/>
        </w:rPr>
        <w:t xml:space="preserve"> (1996), </w:t>
      </w:r>
      <w:r w:rsidR="005B1F3D" w:rsidRPr="009718FF">
        <w:rPr>
          <w:rStyle w:val="Finomhivatkozs"/>
        </w:rPr>
        <w:t>43-61.</w:t>
      </w:r>
      <w:bookmarkEnd w:id="22"/>
    </w:p>
    <w:p w:rsidR="0008083A" w:rsidRPr="009718FF" w:rsidRDefault="00D026AE" w:rsidP="0008083A">
      <w:pPr>
        <w:pStyle w:val="Text1"/>
        <w:numPr>
          <w:ilvl w:val="0"/>
          <w:numId w:val="20"/>
        </w:numPr>
        <w:ind w:left="357" w:hanging="357"/>
        <w:rPr>
          <w:rStyle w:val="Finomhivatkozs"/>
        </w:rPr>
      </w:pPr>
      <w:bookmarkStart w:id="23" w:name="_Ref52892628"/>
      <w:r w:rsidRPr="009718FF">
        <w:rPr>
          <w:rStyle w:val="Finomhivatkozs"/>
        </w:rPr>
        <w:t xml:space="preserve">K. </w:t>
      </w:r>
      <w:r w:rsidR="0008083A" w:rsidRPr="009718FF">
        <w:rPr>
          <w:rStyle w:val="Finomhivatkozs"/>
        </w:rPr>
        <w:t>Jones</w:t>
      </w:r>
      <w:r w:rsidRPr="009718FF">
        <w:rPr>
          <w:rStyle w:val="Finomhivatkozs"/>
        </w:rPr>
        <w:t>,</w:t>
      </w:r>
      <w:r w:rsidR="0008083A" w:rsidRPr="009718FF">
        <w:rPr>
          <w:rStyle w:val="Finomhivatkozs"/>
        </w:rPr>
        <w:t xml:space="preserve"> Trust as an Affective Attitude</w:t>
      </w:r>
      <w:r w:rsidRPr="009718FF">
        <w:rPr>
          <w:rStyle w:val="Finomhivatkozs"/>
        </w:rPr>
        <w:t>,</w:t>
      </w:r>
      <w:r w:rsidR="0008083A" w:rsidRPr="009718FF">
        <w:rPr>
          <w:rStyle w:val="Finomhivatkozs"/>
        </w:rPr>
        <w:t xml:space="preserve"> Ethics, 107(1)</w:t>
      </w:r>
      <w:r w:rsidRPr="009718FF">
        <w:rPr>
          <w:rStyle w:val="Finomhivatkozs"/>
        </w:rPr>
        <w:t xml:space="preserve"> (1996),</w:t>
      </w:r>
      <w:r w:rsidR="0008083A" w:rsidRPr="009718FF">
        <w:rPr>
          <w:rStyle w:val="Finomhivatkozs"/>
        </w:rPr>
        <w:t xml:space="preserve"> 4-25.</w:t>
      </w:r>
      <w:bookmarkEnd w:id="23"/>
    </w:p>
    <w:p w:rsidR="0008083A" w:rsidRPr="009718FF" w:rsidRDefault="0008083A" w:rsidP="0008083A">
      <w:pPr>
        <w:pStyle w:val="Text1"/>
        <w:numPr>
          <w:ilvl w:val="0"/>
          <w:numId w:val="20"/>
        </w:numPr>
        <w:ind w:left="357" w:hanging="357"/>
        <w:rPr>
          <w:rStyle w:val="Finomhivatkozs"/>
        </w:rPr>
      </w:pPr>
      <w:bookmarkStart w:id="24" w:name="_Ref52893093"/>
      <w:r w:rsidRPr="009718FF">
        <w:rPr>
          <w:rStyle w:val="Finomhivatkozs"/>
        </w:rPr>
        <w:t>L. Wittgenstein, On Certainty. Oxford: Basil Blackwell (1969).</w:t>
      </w:r>
      <w:bookmarkEnd w:id="24"/>
    </w:p>
    <w:p w:rsidR="0008083A" w:rsidRPr="009718FF" w:rsidRDefault="0008083A" w:rsidP="0008083A">
      <w:pPr>
        <w:pStyle w:val="Text1"/>
        <w:numPr>
          <w:ilvl w:val="0"/>
          <w:numId w:val="20"/>
        </w:numPr>
        <w:ind w:left="357" w:hanging="357"/>
        <w:rPr>
          <w:rStyle w:val="Finomhivatkozs"/>
        </w:rPr>
      </w:pPr>
      <w:bookmarkStart w:id="25" w:name="_Ref52893755"/>
      <w:bookmarkStart w:id="26" w:name="_Ref52893644"/>
      <w:r w:rsidRPr="009718FF">
        <w:rPr>
          <w:rStyle w:val="Finomhivatkozs"/>
        </w:rPr>
        <w:t>P. Tillich, The Courage to Be. New Haven &amp; London: Yale University Press (1952).</w:t>
      </w:r>
      <w:bookmarkEnd w:id="25"/>
    </w:p>
    <w:p w:rsidR="0008083A" w:rsidRPr="009718FF" w:rsidRDefault="0008083A" w:rsidP="0008083A">
      <w:pPr>
        <w:pStyle w:val="Text1"/>
        <w:numPr>
          <w:ilvl w:val="0"/>
          <w:numId w:val="20"/>
        </w:numPr>
        <w:ind w:left="357" w:hanging="357"/>
        <w:rPr>
          <w:rStyle w:val="Finomhivatkozs"/>
        </w:rPr>
      </w:pPr>
      <w:bookmarkStart w:id="27" w:name="_Ref52894245"/>
      <w:r w:rsidRPr="009718FF">
        <w:rPr>
          <w:rStyle w:val="Finomhivatkozs"/>
        </w:rPr>
        <w:t xml:space="preserve">A. H. Church, Estimating the Effect of Incentives </w:t>
      </w:r>
      <w:r w:rsidR="00721D50" w:rsidRPr="009718FF">
        <w:rPr>
          <w:rStyle w:val="Finomhivatkozs"/>
        </w:rPr>
        <w:t>on Mail Survey Response Rates: A</w:t>
      </w:r>
      <w:r w:rsidRPr="009718FF">
        <w:rPr>
          <w:rStyle w:val="Finomhivatkozs"/>
        </w:rPr>
        <w:t xml:space="preserve"> Meta-Analysis, Public Opinion Quarterly, 57 (1993), 62-79.</w:t>
      </w:r>
      <w:bookmarkEnd w:id="27"/>
    </w:p>
    <w:p w:rsidR="00D026AE" w:rsidRPr="009718FF" w:rsidRDefault="00D026AE" w:rsidP="00D026AE">
      <w:pPr>
        <w:pStyle w:val="Text1"/>
        <w:numPr>
          <w:ilvl w:val="0"/>
          <w:numId w:val="20"/>
        </w:numPr>
        <w:ind w:left="357" w:hanging="357"/>
        <w:rPr>
          <w:rStyle w:val="Finomhivatkozs"/>
        </w:rPr>
      </w:pPr>
      <w:bookmarkStart w:id="28" w:name="_Ref52895053"/>
      <w:r w:rsidRPr="009718FF">
        <w:rPr>
          <w:rStyle w:val="Finomhivatkozs"/>
        </w:rPr>
        <w:t xml:space="preserve">P. M. </w:t>
      </w:r>
      <w:proofErr w:type="spellStart"/>
      <w:r w:rsidRPr="009718FF">
        <w:rPr>
          <w:rStyle w:val="Finomhivatkozs"/>
        </w:rPr>
        <w:t>Biner</w:t>
      </w:r>
      <w:proofErr w:type="spellEnd"/>
      <w:r w:rsidRPr="009718FF">
        <w:rPr>
          <w:rStyle w:val="Finomhivatkozs"/>
        </w:rPr>
        <w:t xml:space="preserve"> and D. L. Barton, Justifying the Enclosure of Monetary Incentives in Mail Survey Cover Letters, Psychology &amp; Marketing, 7(3) (1990), 153-162.</w:t>
      </w:r>
      <w:bookmarkEnd w:id="28"/>
    </w:p>
    <w:p w:rsidR="003F11BD" w:rsidRPr="009718FF" w:rsidRDefault="003F11BD" w:rsidP="003F11BD">
      <w:pPr>
        <w:pStyle w:val="Text1"/>
        <w:numPr>
          <w:ilvl w:val="0"/>
          <w:numId w:val="20"/>
        </w:numPr>
        <w:ind w:left="357" w:hanging="357"/>
        <w:rPr>
          <w:rStyle w:val="Finomhivatkozs"/>
        </w:rPr>
      </w:pPr>
      <w:bookmarkStart w:id="29" w:name="_Ref52896685"/>
      <w:r w:rsidRPr="009718FF">
        <w:rPr>
          <w:rStyle w:val="Finomhivatkozs"/>
        </w:rPr>
        <w:t>R. M. Groves, E. Singer and A. Corning, Leverage-Saliency Theory of Survey Participation. Description and an Illustration, Public Opinion Quarterly, 64 (2000), 299-308.</w:t>
      </w:r>
      <w:bookmarkEnd w:id="29"/>
      <w:bookmarkEnd w:id="26"/>
    </w:p>
    <w:sectPr w:rsidR="003F11BD" w:rsidRPr="009718FF"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AA" w:rsidRDefault="00D752AA" w:rsidP="00BC6AFE">
      <w:pPr>
        <w:spacing w:after="0"/>
      </w:pPr>
      <w:r>
        <w:separator/>
      </w:r>
    </w:p>
  </w:endnote>
  <w:endnote w:type="continuationSeparator" w:id="0">
    <w:p w:rsidR="00D752AA" w:rsidRDefault="00D752A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AA" w:rsidRDefault="00D752AA">
    <w:pPr>
      <w:pStyle w:val="llb"/>
      <w:jc w:val="center"/>
    </w:pPr>
    <w:r>
      <w:fldChar w:fldCharType="begin"/>
    </w:r>
    <w:r>
      <w:instrText>PAGE</w:instrText>
    </w:r>
    <w:r>
      <w:fldChar w:fldCharType="separate"/>
    </w:r>
    <w:r w:rsidR="009718FF">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AA" w:rsidRDefault="00D752AA">
    <w:pPr>
      <w:pStyle w:val="llb"/>
      <w:rPr>
        <w:sz w:val="24"/>
        <w:szCs w:val="24"/>
      </w:rPr>
    </w:pPr>
  </w:p>
  <w:p w:rsidR="00D752AA" w:rsidRDefault="00D752AA">
    <w:pPr>
      <w:pStyle w:val="llb"/>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752AA" w:rsidRDefault="00D752AA">
    <w:pPr>
      <w:pStyle w:val="llb"/>
    </w:pPr>
  </w:p>
  <w:p w:rsidR="00D752AA" w:rsidRDefault="00D752AA">
    <w:pPr>
      <w:pStyle w:val="llb"/>
    </w:pPr>
    <w:r>
      <w:t>http://epp.eurostat.ec.europa.eu</w:t>
    </w:r>
  </w:p>
  <w:p w:rsidR="00D752AA" w:rsidRDefault="00D752AA">
    <w:pPr>
      <w:pStyle w:val="llb"/>
    </w:pPr>
    <w:r>
      <w:t>Martin.Karlberg@ec.europa.eu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AA" w:rsidRDefault="00D752AA" w:rsidP="00BC6AFE">
      <w:pPr>
        <w:spacing w:after="0"/>
      </w:pPr>
      <w:r>
        <w:separator/>
      </w:r>
    </w:p>
  </w:footnote>
  <w:footnote w:type="continuationSeparator" w:id="0">
    <w:p w:rsidR="00D752AA" w:rsidRDefault="00D752AA" w:rsidP="00BC6AFE">
      <w:pPr>
        <w:spacing w:after="0"/>
      </w:pPr>
      <w:r>
        <w:continuationSeparator/>
      </w:r>
    </w:p>
  </w:footnote>
  <w:footnote w:id="1">
    <w:p w:rsidR="00D752AA" w:rsidRPr="00B54F06" w:rsidRDefault="00D752AA">
      <w:pPr>
        <w:pStyle w:val="Lbjegyzetszveg"/>
        <w:rPr>
          <w:lang w:val="hu-HU"/>
        </w:rPr>
      </w:pPr>
      <w:r>
        <w:rPr>
          <w:rStyle w:val="Lbjegyzet-hivatkozs"/>
        </w:rPr>
        <w:footnoteRef/>
      </w:r>
      <w:r>
        <w:t xml:space="preserve"> The </w:t>
      </w:r>
      <w:r w:rsidR="001653A5">
        <w:t xml:space="preserve">structure and format of the template does not fit to the </w:t>
      </w:r>
      <w:r>
        <w:t>conceptual nature of the study</w:t>
      </w:r>
      <w:r w:rsidR="001653A5">
        <w:t>.</w:t>
      </w:r>
      <w:r>
        <w:t xml:space="preserve"> </w:t>
      </w:r>
      <w:r w:rsidR="001653A5">
        <w:t>F</w:t>
      </w:r>
      <w:r>
        <w:t>ollowing the warning in the instructions, th</w:t>
      </w:r>
      <w:r w:rsidR="001653A5">
        <w:t>is</w:t>
      </w:r>
      <w:r>
        <w:t xml:space="preserve"> abstract ‘respect</w:t>
      </w:r>
      <w:r w:rsidR="001653A5">
        <w:t>s</w:t>
      </w:r>
      <w:r>
        <w:t xml:space="preserve"> the overall structure’ of the template</w:t>
      </w:r>
      <w:r w:rsidR="001653A5">
        <w:t>, although it</w:t>
      </w:r>
      <w:r>
        <w:t xml:space="preserve"> may be one of the few exceptions that </w:t>
      </w:r>
      <w:r w:rsidR="001653A5">
        <w:t xml:space="preserve">would </w:t>
      </w:r>
      <w:r>
        <w:t>be more ‘compact and intelligible’ in a less constraining format.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AA" w:rsidRDefault="00D752AA">
    <w:pPr>
      <w:pStyle w:val="lfej"/>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Szmozott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2685D"/>
    <w:multiLevelType w:val="singleLevel"/>
    <w:tmpl w:val="D96C95A2"/>
    <w:lvl w:ilvl="0">
      <w:start w:val="1"/>
      <w:numFmt w:val="bullet"/>
      <w:pStyle w:val="Felsorols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Felsorols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Felsorols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Szmozott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Szmozott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080"/>
        </w:tabs>
        <w:ind w:left="1080" w:hanging="600"/>
      </w:pPr>
    </w:lvl>
    <w:lvl w:ilvl="2">
      <w:start w:val="1"/>
      <w:numFmt w:val="decimal"/>
      <w:pStyle w:val="Cmsor3"/>
      <w:lvlText w:val="%1.%2.%3."/>
      <w:lvlJc w:val="left"/>
      <w:pPr>
        <w:tabs>
          <w:tab w:val="num" w:pos="1920"/>
        </w:tabs>
        <w:ind w:left="1920" w:hanging="840"/>
      </w:pPr>
    </w:lvl>
    <w:lvl w:ilvl="3">
      <w:start w:val="1"/>
      <w:numFmt w:val="decimal"/>
      <w:pStyle w:val="Cmsor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Felsorols"/>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AF2775"/>
    <w:rsid w:val="000642A1"/>
    <w:rsid w:val="00064AB0"/>
    <w:rsid w:val="0008083A"/>
    <w:rsid w:val="000A3E53"/>
    <w:rsid w:val="000B5C60"/>
    <w:rsid w:val="000F7438"/>
    <w:rsid w:val="001008EC"/>
    <w:rsid w:val="00127067"/>
    <w:rsid w:val="001653A5"/>
    <w:rsid w:val="001857CF"/>
    <w:rsid w:val="001B50CE"/>
    <w:rsid w:val="002012A8"/>
    <w:rsid w:val="00243A2C"/>
    <w:rsid w:val="002E0D97"/>
    <w:rsid w:val="002E703A"/>
    <w:rsid w:val="00323017"/>
    <w:rsid w:val="00332D6F"/>
    <w:rsid w:val="00372FC1"/>
    <w:rsid w:val="003D30B8"/>
    <w:rsid w:val="003D6019"/>
    <w:rsid w:val="003F11BD"/>
    <w:rsid w:val="00401886"/>
    <w:rsid w:val="00573E28"/>
    <w:rsid w:val="005B1F3D"/>
    <w:rsid w:val="005B4EA5"/>
    <w:rsid w:val="0061734D"/>
    <w:rsid w:val="00620783"/>
    <w:rsid w:val="006312AF"/>
    <w:rsid w:val="006875D6"/>
    <w:rsid w:val="00721D50"/>
    <w:rsid w:val="007252FA"/>
    <w:rsid w:val="00741CF0"/>
    <w:rsid w:val="00820BDC"/>
    <w:rsid w:val="008847C3"/>
    <w:rsid w:val="008A75D0"/>
    <w:rsid w:val="008C494B"/>
    <w:rsid w:val="008E29ED"/>
    <w:rsid w:val="00923850"/>
    <w:rsid w:val="009718FF"/>
    <w:rsid w:val="009A41E5"/>
    <w:rsid w:val="009B2DBB"/>
    <w:rsid w:val="009B4EE0"/>
    <w:rsid w:val="00A17E8C"/>
    <w:rsid w:val="00A82837"/>
    <w:rsid w:val="00AB4423"/>
    <w:rsid w:val="00AF2775"/>
    <w:rsid w:val="00B14676"/>
    <w:rsid w:val="00B3641F"/>
    <w:rsid w:val="00B54F06"/>
    <w:rsid w:val="00B717B4"/>
    <w:rsid w:val="00B9492F"/>
    <w:rsid w:val="00BC17F5"/>
    <w:rsid w:val="00BC6AFE"/>
    <w:rsid w:val="00BE1FD1"/>
    <w:rsid w:val="00C01715"/>
    <w:rsid w:val="00C66A6C"/>
    <w:rsid w:val="00D026AE"/>
    <w:rsid w:val="00D24082"/>
    <w:rsid w:val="00D45891"/>
    <w:rsid w:val="00D52EA1"/>
    <w:rsid w:val="00D752AA"/>
    <w:rsid w:val="00DB601E"/>
    <w:rsid w:val="00E345F2"/>
    <w:rsid w:val="00EB6881"/>
    <w:rsid w:val="00EC24B1"/>
    <w:rsid w:val="00F77B3F"/>
    <w:rsid w:val="00FD6E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28B4109-8D87-4998-9F54-E2EE6B94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2EA1"/>
    <w:pPr>
      <w:spacing w:after="240"/>
      <w:jc w:val="both"/>
    </w:pPr>
    <w:rPr>
      <w:sz w:val="24"/>
      <w:lang w:val="en-GB" w:eastAsia="en-US"/>
    </w:rPr>
  </w:style>
  <w:style w:type="paragraph" w:styleId="Cmsor1">
    <w:name w:val="heading 1"/>
    <w:basedOn w:val="Norml"/>
    <w:next w:val="Text1"/>
    <w:link w:val="Cmsor1Char"/>
    <w:qFormat/>
    <w:pPr>
      <w:keepNext/>
      <w:numPr>
        <w:numId w:val="3"/>
      </w:numPr>
      <w:spacing w:before="240"/>
      <w:outlineLvl w:val="0"/>
    </w:pPr>
    <w:rPr>
      <w:b/>
      <w:smallCaps/>
    </w:rPr>
  </w:style>
  <w:style w:type="paragraph" w:styleId="Cmsor2">
    <w:name w:val="heading 2"/>
    <w:basedOn w:val="Norml"/>
    <w:next w:val="Text2"/>
    <w:link w:val="Cmsor2Char"/>
    <w:qFormat/>
    <w:pPr>
      <w:keepNext/>
      <w:numPr>
        <w:ilvl w:val="1"/>
        <w:numId w:val="3"/>
      </w:numPr>
      <w:outlineLvl w:val="1"/>
    </w:pPr>
    <w:rPr>
      <w:b/>
    </w:rPr>
  </w:style>
  <w:style w:type="paragraph" w:styleId="Cmsor3">
    <w:name w:val="heading 3"/>
    <w:basedOn w:val="Norml"/>
    <w:next w:val="Text3"/>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qFormat/>
    <w:pPr>
      <w:spacing w:before="240" w:after="60"/>
      <w:ind w:left="3332" w:hanging="708"/>
      <w:outlineLvl w:val="4"/>
    </w:pPr>
    <w:rPr>
      <w:rFonts w:ascii="Arial" w:hAnsi="Arial"/>
      <w:sz w:val="22"/>
    </w:rPr>
  </w:style>
  <w:style w:type="paragraph" w:styleId="Cmsor6">
    <w:name w:val="heading 6"/>
    <w:basedOn w:val="Norml"/>
    <w:next w:val="Norml"/>
    <w:qFormat/>
    <w:pPr>
      <w:spacing w:before="240" w:after="60"/>
      <w:ind w:left="4040" w:hanging="708"/>
      <w:outlineLvl w:val="5"/>
    </w:pPr>
    <w:rPr>
      <w:rFonts w:ascii="Arial" w:hAnsi="Arial"/>
      <w:i/>
      <w:sz w:val="22"/>
    </w:rPr>
  </w:style>
  <w:style w:type="paragraph" w:styleId="Cmsor7">
    <w:name w:val="heading 7"/>
    <w:basedOn w:val="Norml"/>
    <w:next w:val="Norml"/>
    <w:qFormat/>
    <w:pPr>
      <w:spacing w:before="240" w:after="60"/>
      <w:ind w:left="4748" w:hanging="708"/>
      <w:outlineLvl w:val="6"/>
    </w:pPr>
    <w:rPr>
      <w:rFonts w:ascii="Arial" w:hAnsi="Arial"/>
      <w:sz w:val="20"/>
    </w:rPr>
  </w:style>
  <w:style w:type="paragraph" w:styleId="Cmsor8">
    <w:name w:val="heading 8"/>
    <w:basedOn w:val="Norml"/>
    <w:next w:val="Norml"/>
    <w:qFormat/>
    <w:pPr>
      <w:spacing w:before="240" w:after="60"/>
      <w:ind w:left="5456" w:hanging="708"/>
      <w:outlineLvl w:val="7"/>
    </w:pPr>
    <w:rPr>
      <w:rFonts w:ascii="Arial" w:hAnsi="Arial"/>
      <w:i/>
      <w:sz w:val="20"/>
    </w:rPr>
  </w:style>
  <w:style w:type="paragraph" w:styleId="Cmsor9">
    <w:name w:val="heading 9"/>
    <w:basedOn w:val="Norml"/>
    <w:next w:val="Norml"/>
    <w:qFormat/>
    <w:pPr>
      <w:spacing w:before="240" w:after="60"/>
      <w:ind w:left="6164" w:hanging="708"/>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160"/>
      </w:tabs>
      <w:ind w:left="1077"/>
    </w:pPr>
  </w:style>
  <w:style w:type="paragraph" w:customStyle="1" w:styleId="Text3">
    <w:name w:val="Text 3"/>
    <w:basedOn w:val="Norml"/>
    <w:pPr>
      <w:tabs>
        <w:tab w:val="left" w:pos="2302"/>
      </w:tabs>
      <w:ind w:left="1916"/>
    </w:pPr>
  </w:style>
  <w:style w:type="paragraph" w:customStyle="1" w:styleId="Text4">
    <w:name w:val="Text 4"/>
    <w:basedOn w:val="Norml"/>
    <w:pPr>
      <w:ind w:left="2880"/>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before="120" w:after="120"/>
    </w:pPr>
    <w:rPr>
      <w:b/>
    </w:rPr>
  </w:style>
  <w:style w:type="paragraph" w:styleId="Befejezs">
    <w:name w:val="Closing"/>
    <w:basedOn w:val="Norml"/>
    <w:next w:val="Alrs"/>
    <w:pPr>
      <w:tabs>
        <w:tab w:val="left" w:pos="5103"/>
      </w:tabs>
      <w:spacing w:before="240"/>
      <w:ind w:left="5103"/>
      <w:jc w:val="left"/>
    </w:pPr>
  </w:style>
  <w:style w:type="paragraph" w:styleId="Alrs">
    <w:name w:val="Signature"/>
    <w:basedOn w:val="Norml"/>
    <w:next w:val="Contact"/>
    <w:link w:val="AlrsChar"/>
    <w:uiPriority w:val="99"/>
    <w:pPr>
      <w:tabs>
        <w:tab w:val="left" w:pos="5103"/>
      </w:tabs>
      <w:spacing w:before="1200" w:after="0"/>
      <w:ind w:left="5103"/>
      <w:jc w:val="center"/>
    </w:pPr>
  </w:style>
  <w:style w:type="paragraph" w:customStyle="1" w:styleId="Enclosures">
    <w:name w:val="Enclosures"/>
    <w:basedOn w:val="Norml"/>
    <w:next w:val="Participants"/>
    <w:pPr>
      <w:keepNext/>
      <w:keepLines/>
      <w:tabs>
        <w:tab w:val="left" w:pos="5670"/>
      </w:tabs>
      <w:spacing w:before="480" w:after="0"/>
      <w:ind w:left="1985" w:hanging="1985"/>
      <w:jc w:val="left"/>
    </w:pPr>
  </w:style>
  <w:style w:type="paragraph" w:customStyle="1" w:styleId="Participants">
    <w:name w:val="Participants"/>
    <w:basedOn w:val="Norm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l"/>
    <w:next w:val="Norml"/>
    <w:pPr>
      <w:tabs>
        <w:tab w:val="left" w:pos="2552"/>
        <w:tab w:val="left" w:pos="2835"/>
        <w:tab w:val="left" w:pos="5670"/>
        <w:tab w:val="left" w:pos="6379"/>
        <w:tab w:val="left" w:pos="6804"/>
      </w:tabs>
      <w:spacing w:before="480" w:after="0"/>
      <w:ind w:left="1985" w:hanging="1985"/>
      <w:jc w:val="left"/>
    </w:pPr>
  </w:style>
  <w:style w:type="paragraph" w:styleId="Jegyzetszveg">
    <w:name w:val="annotation text"/>
    <w:basedOn w:val="Norml"/>
    <w:semiHidden/>
    <w:rPr>
      <w:sz w:val="20"/>
    </w:rPr>
  </w:style>
  <w:style w:type="paragraph" w:styleId="Dtum">
    <w:name w:val="Date"/>
    <w:basedOn w:val="Norml"/>
    <w:next w:val="References"/>
    <w:link w:val="DtumChar"/>
    <w:uiPriority w:val="99"/>
    <w:pPr>
      <w:spacing w:after="0"/>
      <w:ind w:left="5103" w:right="-567"/>
      <w:jc w:val="left"/>
    </w:pPr>
  </w:style>
  <w:style w:type="paragraph" w:customStyle="1" w:styleId="References">
    <w:name w:val="References"/>
    <w:basedOn w:val="Norml"/>
    <w:next w:val="AddressTR"/>
    <w:uiPriority w:val="99"/>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Contact"/>
    <w:pPr>
      <w:tabs>
        <w:tab w:val="left" w:pos="5103"/>
      </w:tabs>
      <w:spacing w:before="1200" w:after="0"/>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rPr>
  </w:style>
  <w:style w:type="paragraph" w:styleId="Lbjegyzetszveg">
    <w:name w:val="footnote text"/>
    <w:basedOn w:val="Norml"/>
    <w:semiHidden/>
    <w:pPr>
      <w:ind w:left="357" w:hanging="357"/>
    </w:pPr>
    <w:rPr>
      <w:sz w:val="20"/>
    </w:rPr>
  </w:style>
  <w:style w:type="paragraph" w:styleId="lfej">
    <w:name w:val="header"/>
    <w:basedOn w:val="Norml"/>
    <w:link w:val="lfejChar"/>
    <w:uiPriority w:val="99"/>
    <w:pPr>
      <w:tabs>
        <w:tab w:val="center" w:pos="4153"/>
        <w:tab w:val="right" w:pos="8306"/>
      </w:tabs>
    </w:p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160"/>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160"/>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pPr>
      <w:ind w:left="720"/>
    </w:p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cm">
    <w:name w:val="Subtitle"/>
    <w:basedOn w:val="Norml"/>
    <w:qFormat/>
    <w:pPr>
      <w:spacing w:after="60"/>
      <w:jc w:val="center"/>
      <w:outlineLvl w:val="1"/>
    </w:pPr>
    <w:rPr>
      <w:rFonts w:ascii="Arial" w:hAnsi="Arial"/>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qFormat/>
    <w:pPr>
      <w:spacing w:before="240" w:after="60"/>
      <w:jc w:val="center"/>
      <w:outlineLvl w:val="0"/>
    </w:pPr>
    <w:rPr>
      <w:rFonts w:ascii="Arial" w:hAnsi="Arial"/>
      <w:b/>
      <w:kern w:val="28"/>
      <w:sz w:val="32"/>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artalomjegyzkcmsora">
    <w:name w:val="TOC Heading"/>
    <w:basedOn w:val="Norml"/>
    <w:next w:val="Norml"/>
    <w:qFormat/>
    <w:pPr>
      <w:keepNext/>
      <w:spacing w:before="240"/>
      <w:jc w:val="center"/>
    </w:pPr>
    <w:rPr>
      <w:b/>
    </w:rPr>
  </w:style>
  <w:style w:type="paragraph" w:customStyle="1" w:styleId="Contact">
    <w:name w:val="Contact"/>
    <w:basedOn w:val="Norml"/>
    <w:next w:val="Enclosures"/>
    <w:uiPriority w:val="99"/>
    <w:pPr>
      <w:spacing w:before="480" w:after="0"/>
      <w:ind w:left="567" w:hanging="567"/>
      <w:jc w:val="left"/>
    </w:pPr>
  </w:style>
  <w:style w:type="paragraph" w:customStyle="1" w:styleId="DisclaimerNotice">
    <w:name w:val="Disclaimer Notice"/>
    <w:basedOn w:val="Norml"/>
    <w:next w:val="AddressTR"/>
    <w:pPr>
      <w:ind w:left="5103"/>
      <w:jc w:val="left"/>
    </w:pPr>
    <w:rPr>
      <w:i/>
      <w:sz w:val="20"/>
    </w:rPr>
  </w:style>
  <w:style w:type="paragraph" w:customStyle="1" w:styleId="Disclaimer">
    <w:name w:val="Disclaimer"/>
    <w:basedOn w:val="Norml"/>
    <w:pPr>
      <w:keepLines/>
      <w:pBdr>
        <w:top w:val="single" w:sz="4" w:space="1" w:color="auto"/>
      </w:pBdr>
      <w:spacing w:before="480" w:after="0"/>
    </w:pPr>
    <w:rPr>
      <w:i/>
    </w:rPr>
  </w:style>
  <w:style w:type="character" w:styleId="Mrltotthiperhivatkozs">
    <w:name w:val="FollowedHyperlink"/>
    <w:rPr>
      <w:color w:val="800080"/>
      <w:u w:val="single"/>
    </w:rPr>
  </w:style>
  <w:style w:type="paragraph" w:customStyle="1" w:styleId="DisclaimerSJ">
    <w:name w:val="Disclaimer_SJ"/>
    <w:basedOn w:val="Norml"/>
    <w:next w:val="Norml"/>
    <w:pPr>
      <w:spacing w:after="0"/>
    </w:pPr>
    <w:rPr>
      <w:rFonts w:ascii="Arial" w:hAnsi="Arial"/>
      <w:b/>
      <w:sz w:val="16"/>
    </w:rPr>
  </w:style>
  <w:style w:type="paragraph" w:customStyle="1" w:styleId="Designator">
    <w:name w:val="Designator"/>
    <w:basedOn w:val="Norml"/>
    <w:pPr>
      <w:spacing w:after="0"/>
      <w:jc w:val="center"/>
    </w:pPr>
    <w:rPr>
      <w:b/>
      <w:caps/>
      <w:sz w:val="32"/>
    </w:rPr>
  </w:style>
  <w:style w:type="paragraph" w:customStyle="1" w:styleId="Releasable">
    <w:name w:val="Releasable"/>
    <w:basedOn w:val="Norml"/>
    <w:qFormat/>
    <w:pPr>
      <w:spacing w:after="0"/>
      <w:jc w:val="center"/>
    </w:pPr>
    <w:rPr>
      <w:b/>
      <w:caps/>
      <w:sz w:val="32"/>
      <w:lang w:val="de-DE"/>
    </w:rPr>
  </w:style>
  <w:style w:type="paragraph" w:customStyle="1" w:styleId="RUE">
    <w:name w:val="RUE"/>
    <w:basedOn w:val="Norml"/>
    <w:pPr>
      <w:spacing w:after="0"/>
      <w:jc w:val="center"/>
    </w:pPr>
    <w:rPr>
      <w:b/>
      <w:caps/>
      <w:sz w:val="32"/>
      <w:bdr w:val="single" w:sz="18" w:space="0" w:color="auto"/>
      <w:lang w:val="de-DE"/>
    </w:rPr>
  </w:style>
  <w:style w:type="paragraph" w:customStyle="1" w:styleId="ConfidentialUE">
    <w:name w:val="Confidential UE"/>
    <w:basedOn w:val="Norml"/>
    <w:pPr>
      <w:spacing w:after="0"/>
      <w:jc w:val="center"/>
    </w:pPr>
    <w:rPr>
      <w:b/>
      <w:caps/>
      <w:sz w:val="32"/>
      <w:bdr w:val="single" w:sz="18" w:space="0" w:color="auto"/>
    </w:rPr>
  </w:style>
  <w:style w:type="paragraph" w:customStyle="1" w:styleId="TrsSecretUE">
    <w:name w:val="Très Secret UE"/>
    <w:basedOn w:val="Norml"/>
    <w:pPr>
      <w:spacing w:after="0"/>
      <w:jc w:val="center"/>
    </w:pPr>
    <w:rPr>
      <w:b/>
      <w:caps/>
      <w:color w:val="FF0000"/>
      <w:sz w:val="32"/>
      <w:bdr w:val="single" w:sz="18" w:space="0" w:color="FF0000"/>
    </w:rPr>
  </w:style>
  <w:style w:type="paragraph" w:customStyle="1" w:styleId="SecretUE">
    <w:name w:val="Secret UE"/>
    <w:basedOn w:val="Norml"/>
    <w:pPr>
      <w:spacing w:after="0"/>
      <w:jc w:val="center"/>
    </w:pPr>
    <w:rPr>
      <w:b/>
      <w:caps/>
      <w:color w:val="FF0000"/>
      <w:sz w:val="32"/>
      <w:bdr w:val="single" w:sz="18" w:space="0" w:color="FF0000"/>
    </w:rPr>
  </w:style>
  <w:style w:type="character" w:customStyle="1" w:styleId="llbChar">
    <w:name w:val="Élőláb Char"/>
    <w:link w:val="llb"/>
    <w:uiPriority w:val="99"/>
    <w:rsid w:val="00BC6AFE"/>
    <w:rPr>
      <w:rFonts w:ascii="Arial" w:hAnsi="Arial"/>
      <w:sz w:val="16"/>
      <w:lang w:eastAsia="en-US"/>
    </w:rPr>
  </w:style>
  <w:style w:type="character" w:customStyle="1" w:styleId="DtumChar">
    <w:name w:val="Dátum Char"/>
    <w:link w:val="Dtum"/>
    <w:uiPriority w:val="99"/>
    <w:rsid w:val="00BC6AFE"/>
    <w:rPr>
      <w:sz w:val="24"/>
      <w:lang w:eastAsia="en-US"/>
    </w:rPr>
  </w:style>
  <w:style w:type="character" w:customStyle="1" w:styleId="AlrsChar">
    <w:name w:val="Aláírás Char"/>
    <w:link w:val="Alrs"/>
    <w:uiPriority w:val="99"/>
    <w:rsid w:val="00BC6AFE"/>
    <w:rPr>
      <w:sz w:val="24"/>
      <w:lang w:eastAsia="en-US"/>
    </w:rPr>
  </w:style>
  <w:style w:type="paragraph" w:customStyle="1" w:styleId="ZCom">
    <w:name w:val="Z_Com"/>
    <w:basedOn w:val="Norm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lfejChar">
    <w:name w:val="Élőfej Char"/>
    <w:link w:val="lfej"/>
    <w:uiPriority w:val="99"/>
    <w:rsid w:val="00BC6AFE"/>
    <w:rPr>
      <w:sz w:val="24"/>
      <w:lang w:eastAsia="en-US"/>
    </w:rPr>
  </w:style>
  <w:style w:type="character" w:customStyle="1" w:styleId="Cmsor2Char">
    <w:name w:val="Címsor 2 Char"/>
    <w:link w:val="Cmsor2"/>
    <w:rsid w:val="00BC6AFE"/>
    <w:rPr>
      <w:b/>
      <w:sz w:val="24"/>
      <w:lang w:eastAsia="en-US"/>
    </w:rPr>
  </w:style>
  <w:style w:type="character" w:customStyle="1" w:styleId="Cmsor1Char">
    <w:name w:val="Címsor 1 Char"/>
    <w:link w:val="Cmsor1"/>
    <w:rsid w:val="00BC6AFE"/>
    <w:rPr>
      <w:b/>
      <w:smallCaps/>
      <w:sz w:val="24"/>
      <w:lang w:eastAsia="en-US"/>
    </w:rPr>
  </w:style>
  <w:style w:type="table" w:styleId="Rcsostblzat">
    <w:name w:val="Table Grid"/>
    <w:basedOn w:val="Normltblzat"/>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uiPriority w:val="99"/>
    <w:semiHidden/>
    <w:unhideWhenUsed/>
    <w:rsid w:val="00B54F06"/>
    <w:rPr>
      <w:vertAlign w:val="superscript"/>
    </w:rPr>
  </w:style>
  <w:style w:type="character" w:styleId="Hiperhivatkozs">
    <w:name w:val="Hyperlink"/>
    <w:basedOn w:val="Bekezdsalapbettpusa"/>
    <w:uiPriority w:val="99"/>
    <w:unhideWhenUsed/>
    <w:rsid w:val="00A82837"/>
    <w:rPr>
      <w:color w:val="0563C1" w:themeColor="hyperlink"/>
      <w:u w:val="single"/>
    </w:rPr>
  </w:style>
  <w:style w:type="character" w:styleId="Finomhivatkozs">
    <w:name w:val="Subtle Reference"/>
    <w:aliases w:val="Bibliográfia"/>
    <w:uiPriority w:val="31"/>
    <w:qFormat/>
    <w:rsid w:val="00EB6881"/>
  </w:style>
  <w:style w:type="paragraph" w:styleId="Listaszerbekezds">
    <w:name w:val="List Paragraph"/>
    <w:basedOn w:val="Norml"/>
    <w:uiPriority w:val="34"/>
    <w:qFormat/>
    <w:rsid w:val="00EB6881"/>
    <w:pPr>
      <w:ind w:left="720"/>
      <w:contextualSpacing/>
    </w:pPr>
  </w:style>
  <w:style w:type="character" w:styleId="Vgjegyzet-hivatkozs">
    <w:name w:val="endnote reference"/>
    <w:basedOn w:val="Bekezdsalapbettpusa"/>
    <w:uiPriority w:val="99"/>
    <w:semiHidden/>
    <w:unhideWhenUsed/>
    <w:rsid w:val="005B1F3D"/>
    <w:rPr>
      <w:vertAlign w:val="superscript"/>
    </w:rPr>
  </w:style>
  <w:style w:type="paragraph" w:styleId="Buborkszveg">
    <w:name w:val="Balloon Text"/>
    <w:basedOn w:val="Norml"/>
    <w:link w:val="BuborkszvegChar"/>
    <w:uiPriority w:val="99"/>
    <w:semiHidden/>
    <w:unhideWhenUsed/>
    <w:rsid w:val="00FD6E29"/>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D6E2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FEMO\M&#243;dszertani_ir&#225;nymutat&#225;sok\V&#225;laszad&#243;i%20&#246;szt&#246;nz&#233;s\NTTS%202021\NTTS2021_Abstract_template.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5477A36E-1400-4179-A6FC-6A033E38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500</TotalTime>
  <Pages>4</Pages>
  <Words>2004</Words>
  <Characters>12800</Characters>
  <Application>Microsoft Office Word</Application>
  <DocSecurity>0</DocSecurity>
  <PresentationFormat>Microsoft Word 14.0</PresentationFormat>
  <Lines>106</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Mújdricza Ferenc</dc:creator>
  <cp:keywords>EL4</cp:keywords>
  <cp:lastModifiedBy>Mújdricza Ferenc</cp:lastModifiedBy>
  <cp:revision>5</cp:revision>
  <cp:lastPrinted>2020-10-07T09:26:00Z</cp:lastPrinted>
  <dcterms:created xsi:type="dcterms:W3CDTF">2020-10-05T12:34:00Z</dcterms:created>
  <dcterms:modified xsi:type="dcterms:W3CDTF">2020-10-14T08:23:00Z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