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76285" w14:textId="37E1C0A5" w:rsidR="00BC6AFE" w:rsidRDefault="00D230F0" w:rsidP="00BC6AFE">
      <w:pPr>
        <w:pStyle w:val="Title"/>
      </w:pPr>
      <w:r w:rsidRPr="00D230F0">
        <w:t>A new dissemination tool for</w:t>
      </w:r>
      <w:r>
        <w:t xml:space="preserve"> the Italian statistical System</w:t>
      </w:r>
    </w:p>
    <w:p w14:paraId="3A3B3520" w14:textId="410A2E84" w:rsidR="001B50CE" w:rsidRDefault="001B50CE" w:rsidP="00FA044A"/>
    <w:p w14:paraId="0C71D7EE" w14:textId="23E5F2CB" w:rsidR="00243A2C" w:rsidRDefault="00243A2C" w:rsidP="00243A2C">
      <w:r w:rsidRPr="00243A2C">
        <w:rPr>
          <w:b/>
          <w:u w:val="single"/>
        </w:rPr>
        <w:t>Keywords</w:t>
      </w:r>
      <w:r w:rsidRPr="00243A2C">
        <w:rPr>
          <w:b/>
        </w:rPr>
        <w:t>:</w:t>
      </w:r>
      <w:r w:rsidR="00287A13">
        <w:rPr>
          <w:b/>
        </w:rPr>
        <w:t xml:space="preserve"> </w:t>
      </w:r>
      <w:proofErr w:type="spellStart"/>
      <w:r w:rsidR="00287A13">
        <w:t>Sistan</w:t>
      </w:r>
      <w:proofErr w:type="spellEnd"/>
      <w:r w:rsidR="00287A13">
        <w:t xml:space="preserve">, hub, dissemination, </w:t>
      </w:r>
      <w:proofErr w:type="spellStart"/>
      <w:r w:rsidR="00287A13">
        <w:t>datawarehouse</w:t>
      </w:r>
      <w:proofErr w:type="spellEnd"/>
      <w:r w:rsidR="00287A13">
        <w:t>, SDMX</w:t>
      </w:r>
    </w:p>
    <w:p w14:paraId="227F2808" w14:textId="77777777" w:rsidR="00287A13" w:rsidRDefault="00287A13" w:rsidP="00243A2C"/>
    <w:p w14:paraId="06710154" w14:textId="77777777" w:rsidR="002012A8" w:rsidRDefault="002012A8" w:rsidP="002012A8">
      <w:pPr>
        <w:pStyle w:val="Heading1"/>
      </w:pPr>
      <w:r>
        <w:t>Introduction</w:t>
      </w:r>
    </w:p>
    <w:p w14:paraId="0803C871" w14:textId="01D1F8E8" w:rsidR="00D230F0" w:rsidRDefault="00D230F0" w:rsidP="00FA044A">
      <w:r>
        <w:t xml:space="preserve">The </w:t>
      </w:r>
      <w:r w:rsidR="00114CA0">
        <w:t>National</w:t>
      </w:r>
      <w:r>
        <w:t xml:space="preserve"> </w:t>
      </w:r>
      <w:r w:rsidR="00114CA0">
        <w:t>S</w:t>
      </w:r>
      <w:r>
        <w:t xml:space="preserve">tatistical </w:t>
      </w:r>
      <w:r w:rsidR="00114CA0">
        <w:t>S</w:t>
      </w:r>
      <w:r>
        <w:t>ystem (</w:t>
      </w:r>
      <w:r w:rsidR="00FA044A" w:rsidRPr="00FA044A">
        <w:rPr>
          <w:i/>
        </w:rPr>
        <w:t xml:space="preserve">Sistema </w:t>
      </w:r>
      <w:proofErr w:type="spellStart"/>
      <w:r w:rsidR="00FA044A" w:rsidRPr="00FA044A">
        <w:rPr>
          <w:i/>
        </w:rPr>
        <w:t>Statistico</w:t>
      </w:r>
      <w:proofErr w:type="spellEnd"/>
      <w:r w:rsidR="00FA044A" w:rsidRPr="00FA044A">
        <w:rPr>
          <w:i/>
        </w:rPr>
        <w:t xml:space="preserve"> Nazionale</w:t>
      </w:r>
      <w:r w:rsidR="00FA044A">
        <w:t xml:space="preserve"> ‒ </w:t>
      </w:r>
      <w:proofErr w:type="spellStart"/>
      <w:r w:rsidR="00FA044A">
        <w:t>Sistan</w:t>
      </w:r>
      <w:proofErr w:type="spellEnd"/>
      <w:r w:rsidR="00FA044A">
        <w:t xml:space="preserve">) </w:t>
      </w:r>
      <w:r>
        <w:t xml:space="preserve">is a network linking more than 3 thousand statistical offices located in Ministries and other central institutions, Regions, Provinces, Municipalities and other territorial authorities, such as Prefectures and Chambers of commerce, and selected private </w:t>
      </w:r>
      <w:r w:rsidR="00114CA0">
        <w:t>organisations</w:t>
      </w:r>
      <w:r>
        <w:t xml:space="preserve">. </w:t>
      </w:r>
    </w:p>
    <w:p w14:paraId="142D4F7A" w14:textId="4EE2956E" w:rsidR="00D230F0" w:rsidRDefault="00554D4F" w:rsidP="00D230F0">
      <w:r>
        <w:t xml:space="preserve">Among </w:t>
      </w:r>
      <w:r w:rsidR="00114CA0">
        <w:t xml:space="preserve">the </w:t>
      </w:r>
      <w:proofErr w:type="spellStart"/>
      <w:r w:rsidR="00114CA0">
        <w:t>Sistan</w:t>
      </w:r>
      <w:proofErr w:type="spellEnd"/>
      <w:r w:rsidR="00114CA0">
        <w:t xml:space="preserve"> bodies, o</w:t>
      </w:r>
      <w:r w:rsidR="00D230F0">
        <w:t xml:space="preserve">nly 13 </w:t>
      </w:r>
      <w:r w:rsidR="00114CA0">
        <w:t>institutions</w:t>
      </w:r>
      <w:r w:rsidR="00D230F0">
        <w:t xml:space="preserve"> are </w:t>
      </w:r>
      <w:r w:rsidR="00114CA0">
        <w:t xml:space="preserve">Other Statistical Authorities producing European statistics </w:t>
      </w:r>
      <w:r w:rsidR="00D230F0">
        <w:t>(</w:t>
      </w:r>
      <w:r w:rsidR="00114CA0">
        <w:t>ONAs</w:t>
      </w:r>
      <w:r w:rsidR="00D230F0">
        <w:t>)</w:t>
      </w:r>
      <w:r w:rsidR="00114CA0">
        <w:t>, therefore</w:t>
      </w:r>
      <w:r w:rsidR="00D230F0">
        <w:t xml:space="preserve"> having a specific role and responsibilities in the wider European statistical system. Nevertheless, a significant part of the others regularly produces relevant data at the national level, included in the National statistical program. </w:t>
      </w:r>
    </w:p>
    <w:p w14:paraId="294EA62E" w14:textId="40C5C128" w:rsidR="00D230F0" w:rsidRDefault="00114CA0" w:rsidP="00D230F0">
      <w:r>
        <w:t xml:space="preserve">According to legislation, </w:t>
      </w:r>
      <w:r w:rsidR="00D230F0">
        <w:t xml:space="preserve">Istat, as the central node of </w:t>
      </w:r>
      <w:proofErr w:type="spellStart"/>
      <w:r w:rsidR="00D230F0">
        <w:t>S</w:t>
      </w:r>
      <w:r>
        <w:t>istan</w:t>
      </w:r>
      <w:proofErr w:type="spellEnd"/>
      <w:r w:rsidR="00D230F0">
        <w:t>, has a clear responsibility</w:t>
      </w:r>
      <w:r w:rsidR="00976D66">
        <w:t xml:space="preserve"> to direct, coordinate, promote</w:t>
      </w:r>
      <w:r w:rsidR="00D230F0">
        <w:t xml:space="preserve"> </w:t>
      </w:r>
      <w:r w:rsidR="00976D66">
        <w:t>and provide</w:t>
      </w:r>
      <w:r w:rsidR="00D230F0">
        <w:t xml:space="preserve"> technical assistance and training to </w:t>
      </w:r>
      <w:proofErr w:type="spellStart"/>
      <w:r w:rsidR="00554D4F">
        <w:t>Sistan</w:t>
      </w:r>
      <w:proofErr w:type="spellEnd"/>
      <w:r w:rsidR="00554D4F">
        <w:t xml:space="preserve"> </w:t>
      </w:r>
      <w:r w:rsidR="00D230F0">
        <w:t xml:space="preserve">offices. It includes </w:t>
      </w:r>
      <w:r w:rsidR="00FC6FE2">
        <w:t>supporting</w:t>
      </w:r>
      <w:r w:rsidR="00D230F0">
        <w:t xml:space="preserve"> their activities and data dissemination. </w:t>
      </w:r>
    </w:p>
    <w:p w14:paraId="384C9BE7" w14:textId="7BD14217" w:rsidR="001B50CE" w:rsidRDefault="00D230F0" w:rsidP="00D230F0">
      <w:r>
        <w:t xml:space="preserve">In order to fulfil this task, </w:t>
      </w:r>
      <w:r w:rsidR="00976D66">
        <w:t xml:space="preserve">as recommended during last round of peer reviews [1], </w:t>
      </w:r>
      <w:r>
        <w:t>Istat has been working on the creation of the “Public statistics Hub”</w:t>
      </w:r>
      <w:r w:rsidR="00976D66">
        <w:t>. Such</w:t>
      </w:r>
      <w:r>
        <w:t xml:space="preserve"> project </w:t>
      </w:r>
      <w:r w:rsidR="00976D66">
        <w:t>consists in</w:t>
      </w:r>
      <w:r>
        <w:t xml:space="preserve"> the construction of a national </w:t>
      </w:r>
      <w:proofErr w:type="spellStart"/>
      <w:r w:rsidR="00976D66">
        <w:t>DataWarehouse</w:t>
      </w:r>
      <w:proofErr w:type="spellEnd"/>
      <w:r w:rsidR="00976D66">
        <w:t xml:space="preserve"> (DW) </w:t>
      </w:r>
      <w:r>
        <w:t xml:space="preserve">for the dissemination of </w:t>
      </w:r>
      <w:proofErr w:type="spellStart"/>
      <w:r>
        <w:t>macrodata</w:t>
      </w:r>
      <w:proofErr w:type="spellEnd"/>
      <w:r>
        <w:t xml:space="preserve"> produced by the national statistical system, in order to improve coordination, integration and quality in the </w:t>
      </w:r>
      <w:proofErr w:type="spellStart"/>
      <w:r>
        <w:t>Sistan</w:t>
      </w:r>
      <w:proofErr w:type="spellEnd"/>
      <w:r>
        <w:t xml:space="preserve"> data dissemination. An important objective of the project is also to create a unique entry point where users can find data in a user-friendly, harmonized format. A pilot tool was developed to highlight the system potentialit</w:t>
      </w:r>
      <w:r w:rsidR="00554D4F">
        <w:t>ies</w:t>
      </w:r>
      <w:r>
        <w:t xml:space="preserve"> and possible drawbacks. </w:t>
      </w:r>
      <w:r w:rsidR="00976D66">
        <w:t>Based on</w:t>
      </w:r>
      <w:r>
        <w:t xml:space="preserve"> that experience, and in the light of the new Istat role as </w:t>
      </w:r>
      <w:r w:rsidR="00FC6FE2">
        <w:t>provider of strategic services within the Italian Public Administration framework</w:t>
      </w:r>
      <w:r w:rsidR="001C7FC7">
        <w:t xml:space="preserve"> </w:t>
      </w:r>
      <w:r w:rsidR="001C7FC7">
        <w:t>[</w:t>
      </w:r>
      <w:r w:rsidR="001C7FC7">
        <w:t>2</w:t>
      </w:r>
      <w:r w:rsidR="001C7FC7">
        <w:t>]</w:t>
      </w:r>
      <w:r w:rsidR="001C7FC7">
        <w:t xml:space="preserve"> </w:t>
      </w:r>
      <w:r>
        <w:t>the project is now moving to a wider, more operational phase.</w:t>
      </w:r>
    </w:p>
    <w:p w14:paraId="1F9A9297" w14:textId="77777777" w:rsidR="00D230F0" w:rsidRPr="00BC6AFE" w:rsidRDefault="00D230F0" w:rsidP="00D230F0"/>
    <w:p w14:paraId="58C3B1D6" w14:textId="60E7FEF3" w:rsidR="00BC6AFE" w:rsidRDefault="00D230F0" w:rsidP="00D230F0">
      <w:pPr>
        <w:pStyle w:val="Heading1"/>
      </w:pPr>
      <w:r w:rsidRPr="00D230F0">
        <w:t>The “</w:t>
      </w:r>
      <w:proofErr w:type="spellStart"/>
      <w:r w:rsidRPr="00D230F0">
        <w:t>Sistan.Hub</w:t>
      </w:r>
      <w:proofErr w:type="spellEnd"/>
      <w:r w:rsidRPr="00D230F0">
        <w:t>” project</w:t>
      </w:r>
    </w:p>
    <w:p w14:paraId="0D43DA32" w14:textId="51D8353F" w:rsidR="00D230F0" w:rsidRDefault="00D230F0" w:rsidP="00D230F0">
      <w:r>
        <w:t xml:space="preserve">The project aims at reinforcing cooperation between Istat and the other </w:t>
      </w:r>
      <w:proofErr w:type="spellStart"/>
      <w:r>
        <w:t>Sistan</w:t>
      </w:r>
      <w:proofErr w:type="spellEnd"/>
      <w:r>
        <w:t xml:space="preserve"> bodies in order to improve data dissemination and spread knowledge and usage of international standards such as the ISO IS-17369 Statistical/ Data and Metadata </w:t>
      </w:r>
      <w:proofErr w:type="spellStart"/>
      <w:r>
        <w:t>eXchange</w:t>
      </w:r>
      <w:proofErr w:type="spellEnd"/>
      <w:r>
        <w:t xml:space="preserve"> standard (SDMX).</w:t>
      </w:r>
      <w:r w:rsidR="00BF42C9">
        <w:t xml:space="preserve"> [</w:t>
      </w:r>
      <w:r w:rsidR="001C7FC7">
        <w:t>3</w:t>
      </w:r>
      <w:r w:rsidR="00BF42C9">
        <w:t>]</w:t>
      </w:r>
    </w:p>
    <w:p w14:paraId="7F167325" w14:textId="4668DE40" w:rsidR="00D230F0" w:rsidRDefault="00D230F0" w:rsidP="00D230F0">
      <w:r>
        <w:t xml:space="preserve">Final users will also benefit of the new </w:t>
      </w:r>
      <w:r w:rsidR="00976D66">
        <w:t>DW</w:t>
      </w:r>
      <w:r>
        <w:t xml:space="preserve"> as it offers the possibility to find and download data through a unique access point and a </w:t>
      </w:r>
      <w:r w:rsidR="00F17873" w:rsidRPr="00F17873">
        <w:t>single navigation environment</w:t>
      </w:r>
      <w:r>
        <w:t xml:space="preserve">. In fact, one of the issues more often highlighted by users is the heterogeneity of data presentation in different dissemination DW. For non-professional users, it can be also challenging to find the data of interest in the vastness of the web, often in different formats and with scarce if any metadata. </w:t>
      </w:r>
    </w:p>
    <w:p w14:paraId="1B4C617B" w14:textId="20560C5D" w:rsidR="00D230F0" w:rsidRDefault="00D230F0" w:rsidP="00D230F0">
      <w:r>
        <w:lastRenderedPageBreak/>
        <w:t>A</w:t>
      </w:r>
      <w:r w:rsidR="00FC6FE2">
        <w:t>n</w:t>
      </w:r>
      <w:r>
        <w:t xml:space="preserve"> important feature of the project is the territorial point of view: an ad hoc area of the DW will be devoted to Regions, so that data of specific local interest can be easily found. </w:t>
      </w:r>
    </w:p>
    <w:p w14:paraId="5C447C15" w14:textId="0FF8F6B2" w:rsidR="00D230F0" w:rsidRDefault="00D230F0" w:rsidP="00D230F0">
      <w:r>
        <w:t xml:space="preserve">In principle, participation in the project is on a voluntary basis, through a simple procedure published on the </w:t>
      </w:r>
      <w:proofErr w:type="spellStart"/>
      <w:r>
        <w:t>Sistan</w:t>
      </w:r>
      <w:proofErr w:type="spellEnd"/>
      <w:r>
        <w:t xml:space="preserve"> web site (www.sistan.it), but in </w:t>
      </w:r>
      <w:r w:rsidR="00976D66">
        <w:t>general,</w:t>
      </w:r>
      <w:r>
        <w:t xml:space="preserve"> it is strongly recommended to bodies producing data with a national relevance. In the territorial area, data produced only for a specific region can be disseminated, given that they </w:t>
      </w:r>
      <w:r w:rsidR="00554D4F">
        <w:t>fulfil</w:t>
      </w:r>
      <w:r>
        <w:t xml:space="preserve"> the quality criteria for official statistics. </w:t>
      </w:r>
    </w:p>
    <w:p w14:paraId="668A3A27" w14:textId="6092F73E" w:rsidR="00BC6AFE" w:rsidRDefault="00D230F0" w:rsidP="00D230F0">
      <w:r>
        <w:t xml:space="preserve">The final objective is to build a federation of the DWs managed by the </w:t>
      </w:r>
      <w:proofErr w:type="spellStart"/>
      <w:r>
        <w:t>Sistan</w:t>
      </w:r>
      <w:proofErr w:type="spellEnd"/>
      <w:r>
        <w:t xml:space="preserve"> bodies, gradually and progressively integrating them in a unique framework.</w:t>
      </w:r>
    </w:p>
    <w:p w14:paraId="448A18A4" w14:textId="37CB2FB2" w:rsidR="00D230F0" w:rsidRDefault="00D230F0" w:rsidP="00D230F0"/>
    <w:p w14:paraId="25EF580A" w14:textId="424987ED" w:rsidR="00D230F0" w:rsidRDefault="00D230F0" w:rsidP="00D230F0">
      <w:pPr>
        <w:pStyle w:val="Heading1"/>
      </w:pPr>
      <w:r>
        <w:t>Methods</w:t>
      </w:r>
    </w:p>
    <w:p w14:paraId="7DD225E5" w14:textId="77777777" w:rsidR="00F17873" w:rsidRDefault="00D230F0" w:rsidP="00F17873">
      <w:r>
        <w:t>T</w:t>
      </w:r>
      <w:r w:rsidR="00C153AD">
        <w:t>he Hub architecture allows to disseminate datasets stored in distributed databases (peripheral nodes) from a unique central point (Hub node).</w:t>
      </w:r>
      <w:r w:rsidR="00C153AD" w:rsidRPr="00C153AD">
        <w:t xml:space="preserve"> </w:t>
      </w:r>
      <w:r w:rsidR="00762FCC" w:rsidRPr="00762FCC">
        <w:t xml:space="preserve">A node is a </w:t>
      </w:r>
      <w:r w:rsidR="00762FCC">
        <w:t xml:space="preserve">webservice </w:t>
      </w:r>
      <w:r w:rsidR="00762FCC" w:rsidRPr="00762FCC">
        <w:t>that can be registered into the application</w:t>
      </w:r>
      <w:r w:rsidR="00F17873">
        <w:t xml:space="preserve"> to retrieve information by it. The machine-to-machine communication by web service occurs on the basis of SDMX exchange protocol.</w:t>
      </w:r>
    </w:p>
    <w:p w14:paraId="4A6503B1" w14:textId="77777777" w:rsidR="00F17873" w:rsidRDefault="00C153AD" w:rsidP="00CF5094">
      <w:r w:rsidRPr="00C153AD">
        <w:t xml:space="preserve">The </w:t>
      </w:r>
      <w:r w:rsidR="00CF5094" w:rsidRPr="00C153AD">
        <w:t xml:space="preserve">dissemination of data is carried out through </w:t>
      </w:r>
      <w:r w:rsidR="00CF5094">
        <w:t>every</w:t>
      </w:r>
      <w:r w:rsidRPr="00C153AD">
        <w:t xml:space="preserve"> node of the system</w:t>
      </w:r>
      <w:r w:rsidR="00CF5094">
        <w:t>: it</w:t>
      </w:r>
      <w:r w:rsidRPr="00C153AD">
        <w:t xml:space="preserve"> has the effect of entering</w:t>
      </w:r>
      <w:r w:rsidR="00CF5094" w:rsidRPr="00CF5094">
        <w:t xml:space="preserve"> </w:t>
      </w:r>
      <w:r w:rsidR="00CF5094" w:rsidRPr="00C153AD">
        <w:t xml:space="preserve">each individual entity </w:t>
      </w:r>
      <w:r w:rsidRPr="00C153AD">
        <w:t xml:space="preserve">within a network, making </w:t>
      </w:r>
      <w:r w:rsidR="00CF5094">
        <w:t>its data</w:t>
      </w:r>
      <w:r w:rsidRPr="00C153AD">
        <w:t xml:space="preserve"> navigable through the Hub. </w:t>
      </w:r>
      <w:r>
        <w:t>In such</w:t>
      </w:r>
      <w:r w:rsidR="00797C90" w:rsidRPr="0049211C">
        <w:t xml:space="preserve"> </w:t>
      </w:r>
      <w:r>
        <w:t>design,</w:t>
      </w:r>
      <w:r w:rsidR="00797C90" w:rsidRPr="0049211C">
        <w:t xml:space="preserve"> the central body is not a real node, but it is a tool that </w:t>
      </w:r>
      <w:r w:rsidR="00797C90" w:rsidRPr="00797C90">
        <w:t xml:space="preserve">seeks congruence between the data held by different </w:t>
      </w:r>
      <w:r w:rsidR="00CF5094">
        <w:t>bodies</w:t>
      </w:r>
      <w:r w:rsidR="00797C90" w:rsidRPr="00797C90">
        <w:t>. Its main purpose is to provide a</w:t>
      </w:r>
      <w:r w:rsidR="00F17873">
        <w:t>n</w:t>
      </w:r>
      <w:r w:rsidR="00797C90" w:rsidRPr="00797C90">
        <w:t xml:space="preserve"> </w:t>
      </w:r>
      <w:r w:rsidR="0084779D">
        <w:t>integrated dissemination system</w:t>
      </w:r>
      <w:r w:rsidR="0084779D" w:rsidRPr="00797C90">
        <w:t xml:space="preserve"> </w:t>
      </w:r>
      <w:r w:rsidR="00797C90" w:rsidRPr="00797C90">
        <w:t xml:space="preserve">gateway through which </w:t>
      </w:r>
      <w:r w:rsidR="0084779D">
        <w:t xml:space="preserve">interconnected and integrated </w:t>
      </w:r>
      <w:r w:rsidR="00797C90" w:rsidRPr="00797C90">
        <w:t>data from different organizations can be shared</w:t>
      </w:r>
      <w:r w:rsidR="00797C90">
        <w:t>.</w:t>
      </w:r>
      <w:r w:rsidR="00CF5094">
        <w:t xml:space="preserve"> </w:t>
      </w:r>
    </w:p>
    <w:p w14:paraId="0256C4BF" w14:textId="0025AB67" w:rsidR="00797C90" w:rsidRDefault="00CF5094" w:rsidP="00CF5094">
      <w:r>
        <w:t xml:space="preserve">The end-user will browse, select and visualize </w:t>
      </w:r>
      <w:r w:rsidR="00762FCC">
        <w:t>high quality integrated statistical information</w:t>
      </w:r>
      <w:r>
        <w:t xml:space="preserve"> always using the same Graphical Interface. Data are n</w:t>
      </w:r>
      <w:r w:rsidR="00F17873">
        <w:t xml:space="preserve">ot stored centrally but fetched, in pull modality, </w:t>
      </w:r>
      <w:r>
        <w:t>from the data producers’ databases upon request of the data users. Datasets of different data producers can be categorized in the same theme tree.</w:t>
      </w:r>
    </w:p>
    <w:p w14:paraId="55D8806F" w14:textId="3E1D3456" w:rsidR="0049211C" w:rsidRDefault="0049211C" w:rsidP="0049211C">
      <w:r>
        <w:t>From a technical point of view, the portal is based on the SDMX Re</w:t>
      </w:r>
      <w:r w:rsidR="00F17873">
        <w:t>ference Infrastructure</w:t>
      </w:r>
      <w:r>
        <w:t>, a set of tools developed by Eurostat. The advantages of using such architecture are as follows:</w:t>
      </w:r>
    </w:p>
    <w:p w14:paraId="6DC40826" w14:textId="74E44624" w:rsidR="0049211C" w:rsidRPr="00041E3D" w:rsidRDefault="0049211C" w:rsidP="00041E3D">
      <w:pPr>
        <w:numPr>
          <w:ilvl w:val="0"/>
          <w:numId w:val="21"/>
        </w:numPr>
      </w:pPr>
      <w:r w:rsidRPr="00041E3D">
        <w:t>The data and metadata contained in the "local" databases are neither modified nor duplicated but only mapped on the SDMX Data Structure Definitions (DSDs)</w:t>
      </w:r>
      <w:r w:rsidR="00C153AD" w:rsidRPr="00041E3D">
        <w:t>: so, the warehouse of aggregate data integrates and synchronizes components and activities so far “disconnected”</w:t>
      </w:r>
      <w:r w:rsidRPr="00041E3D">
        <w:t>;</w:t>
      </w:r>
    </w:p>
    <w:p w14:paraId="1479943E" w14:textId="77777777" w:rsidR="0049211C" w:rsidRPr="00041E3D" w:rsidRDefault="0049211C" w:rsidP="00041E3D">
      <w:pPr>
        <w:numPr>
          <w:ilvl w:val="0"/>
          <w:numId w:val="21"/>
        </w:numPr>
      </w:pPr>
      <w:r w:rsidRPr="00041E3D">
        <w:t>Data relating to different statistical domains and coming from different databases can be disseminated through a single end-point in a transparent way for end users;</w:t>
      </w:r>
    </w:p>
    <w:p w14:paraId="5ECBCA3E" w14:textId="0BD326D7" w:rsidR="0049211C" w:rsidRPr="00041E3D" w:rsidRDefault="0049211C" w:rsidP="00041E3D">
      <w:pPr>
        <w:numPr>
          <w:ilvl w:val="0"/>
          <w:numId w:val="21"/>
        </w:numPr>
      </w:pPr>
      <w:r w:rsidRPr="00041E3D">
        <w:t>The infrastructure allows a harmonization of metadata, as well as a harmonization of the workflow (some functions are performed by statisticians, others by IT staff).</w:t>
      </w:r>
    </w:p>
    <w:p w14:paraId="0F1E8769" w14:textId="69A5EEB5" w:rsidR="0084779D" w:rsidRDefault="0084779D" w:rsidP="0084779D">
      <w:r w:rsidRPr="00B83C0F">
        <w:t xml:space="preserve">The idea </w:t>
      </w:r>
      <w:r w:rsidR="00E222DE">
        <w:t>is to</w:t>
      </w:r>
      <w:r w:rsidRPr="00B83C0F">
        <w:t xml:space="preserve"> </w:t>
      </w:r>
      <w:r w:rsidR="00E222DE" w:rsidRPr="00B83C0F">
        <w:t xml:space="preserve">take advantage of the SDMX Information Model </w:t>
      </w:r>
      <w:r w:rsidR="00E222DE">
        <w:t xml:space="preserve">in order </w:t>
      </w:r>
      <w:r w:rsidRPr="00B83C0F">
        <w:t xml:space="preserve">to increase the standardisation of statistical </w:t>
      </w:r>
      <w:proofErr w:type="spellStart"/>
      <w:r w:rsidRPr="00B83C0F">
        <w:t>metatada</w:t>
      </w:r>
      <w:proofErr w:type="spellEnd"/>
      <w:r w:rsidRPr="00B83C0F">
        <w:t xml:space="preserve"> among different statistical domains and in the various phases of the statistical process (starting from classifications and concepts by creating, collecting, editing, managing and sharing SDMX </w:t>
      </w:r>
      <w:proofErr w:type="spellStart"/>
      <w:r w:rsidRPr="00B83C0F">
        <w:t>Codelists</w:t>
      </w:r>
      <w:proofErr w:type="spellEnd"/>
      <w:r w:rsidRPr="00B83C0F">
        <w:t xml:space="preserve"> and </w:t>
      </w:r>
      <w:proofErr w:type="spellStart"/>
      <w:r w:rsidRPr="00B83C0F">
        <w:t>ConceptSchemes</w:t>
      </w:r>
      <w:proofErr w:type="spellEnd"/>
      <w:r w:rsidRPr="00B83C0F">
        <w:t>),</w:t>
      </w:r>
    </w:p>
    <w:p w14:paraId="68C046F3" w14:textId="17B81B6A" w:rsidR="0084779D" w:rsidRDefault="0084779D" w:rsidP="0084779D">
      <w:r>
        <w:lastRenderedPageBreak/>
        <w:t>T</w:t>
      </w:r>
      <w:r w:rsidRPr="00D5363F">
        <w:t xml:space="preserve">he design of </w:t>
      </w:r>
      <w:r>
        <w:t>a</w:t>
      </w:r>
      <w:r w:rsidRPr="00D5363F">
        <w:t xml:space="preserve"> </w:t>
      </w:r>
      <w:r>
        <w:t xml:space="preserve">multipurpose </w:t>
      </w:r>
      <w:r w:rsidRPr="00D5363F">
        <w:t>web applicatio</w:t>
      </w:r>
      <w:r>
        <w:t>n has been developed, in a twofold perspective: the “</w:t>
      </w:r>
      <w:proofErr w:type="spellStart"/>
      <w:r w:rsidRPr="00B83C0F">
        <w:t>Meta</w:t>
      </w:r>
      <w:r>
        <w:t>M</w:t>
      </w:r>
      <w:r w:rsidRPr="00B83C0F">
        <w:t>anager</w:t>
      </w:r>
      <w:proofErr w:type="spellEnd"/>
      <w:r>
        <w:t>”</w:t>
      </w:r>
      <w:r w:rsidRPr="00B83C0F">
        <w:t xml:space="preserve"> </w:t>
      </w:r>
      <w:r>
        <w:t>feature of the application</w:t>
      </w:r>
      <w:r w:rsidRPr="00B83C0F">
        <w:t xml:space="preserve"> </w:t>
      </w:r>
      <w:r>
        <w:t>serves the purpose of managing</w:t>
      </w:r>
      <w:r w:rsidRPr="00B83C0F">
        <w:t xml:space="preserve"> (import, create, edit, delete, export in SDMX-ML 2.0, SDMX-ML 2.1, csv in case of </w:t>
      </w:r>
      <w:proofErr w:type="spellStart"/>
      <w:r w:rsidRPr="00B83C0F">
        <w:t>ItemSchemes</w:t>
      </w:r>
      <w:proofErr w:type="spellEnd"/>
      <w:r w:rsidRPr="00B83C0F">
        <w:t>, etc.) SDMX structural metadata (</w:t>
      </w:r>
      <w:proofErr w:type="spellStart"/>
      <w:r w:rsidRPr="00B83C0F">
        <w:t>Codelists</w:t>
      </w:r>
      <w:proofErr w:type="spellEnd"/>
      <w:r w:rsidRPr="00B83C0F">
        <w:t xml:space="preserve">, </w:t>
      </w:r>
      <w:proofErr w:type="spellStart"/>
      <w:r w:rsidRPr="00B83C0F">
        <w:t>ConceptSchemes</w:t>
      </w:r>
      <w:proofErr w:type="spellEnd"/>
      <w:r w:rsidRPr="00B83C0F">
        <w:t xml:space="preserve">, </w:t>
      </w:r>
      <w:proofErr w:type="spellStart"/>
      <w:r w:rsidRPr="00B83C0F">
        <w:t>CategorySchemes</w:t>
      </w:r>
      <w:proofErr w:type="spellEnd"/>
      <w:r w:rsidRPr="00B83C0F">
        <w:t xml:space="preserve">, </w:t>
      </w:r>
      <w:r w:rsidR="0049211C">
        <w:t>DSDs</w:t>
      </w:r>
      <w:r w:rsidRPr="00B83C0F">
        <w:t xml:space="preserve">). The use of </w:t>
      </w:r>
      <w:r>
        <w:t>a second (strictly combined) feature, the “</w:t>
      </w:r>
      <w:proofErr w:type="spellStart"/>
      <w:r>
        <w:t>DataManager</w:t>
      </w:r>
      <w:proofErr w:type="spellEnd"/>
      <w:r>
        <w:t>”</w:t>
      </w:r>
      <w:r w:rsidRPr="00B83C0F">
        <w:t xml:space="preserve">, is particularly indicated for dissemination purposes because through the creation of the SDMX </w:t>
      </w:r>
      <w:r w:rsidR="0049211C">
        <w:t>DSDs</w:t>
      </w:r>
      <w:r w:rsidRPr="00B83C0F">
        <w:t xml:space="preserve"> is possible to define the multidimensional structure of the hyper-cubes that can be physically created inside a relational </w:t>
      </w:r>
      <w:r w:rsidR="009A18DE" w:rsidRPr="00B83C0F">
        <w:t xml:space="preserve">SDMX- compliant </w:t>
      </w:r>
      <w:r w:rsidRPr="00B83C0F">
        <w:t>database for storing data to be disseminated</w:t>
      </w:r>
      <w:r w:rsidR="009A18DE">
        <w:t xml:space="preserve">, </w:t>
      </w:r>
      <w:r w:rsidR="009A18DE" w:rsidRPr="00B83C0F">
        <w:t>through the definition and publication of SDMX Dataflows linked to specific views (queries) on the data of the hypercubes</w:t>
      </w:r>
      <w:r w:rsidR="009A18DE">
        <w:t>.</w:t>
      </w:r>
    </w:p>
    <w:p w14:paraId="427B4066" w14:textId="43AB2C2E" w:rsidR="001032A7" w:rsidRDefault="00433A93" w:rsidP="00433A93">
      <w:r>
        <w:t>In particular, the structural metadata repository can actually be considered a real SDMX Registry that can be used, precisely with a view to harmonizing and standardizing the statistical contents, as a reference repository for the creation of an information architecture that is "metadata-driven".</w:t>
      </w:r>
      <w:r w:rsidR="00E222DE">
        <w:t xml:space="preserve"> </w:t>
      </w:r>
      <w:r w:rsidR="00E222DE" w:rsidRPr="00E222DE">
        <w:t xml:space="preserve">Furthermore, in order to make the information </w:t>
      </w:r>
      <w:r w:rsidR="00C153AD">
        <w:t xml:space="preserve">(variables, official classifications, operational code lists) </w:t>
      </w:r>
      <w:r w:rsidR="00E222DE" w:rsidRPr="00E222DE">
        <w:t xml:space="preserve">on structural metadata </w:t>
      </w:r>
      <w:r w:rsidR="00C153AD">
        <w:t>stored</w:t>
      </w:r>
      <w:r w:rsidR="00E222DE" w:rsidRPr="00E222DE">
        <w:t xml:space="preserve"> in the registry fully usable also for end users, a web interface is being created (currently available only in a prototype version and usable only within the institute) for the </w:t>
      </w:r>
      <w:r w:rsidR="00E222DE">
        <w:t xml:space="preserve">metadata </w:t>
      </w:r>
      <w:r w:rsidR="00E222DE" w:rsidRPr="00E222DE">
        <w:t>navigation that describe</w:t>
      </w:r>
      <w:r w:rsidR="00C153AD">
        <w:t>s metadata</w:t>
      </w:r>
      <w:r w:rsidR="00E222DE" w:rsidRPr="00E222DE">
        <w:t xml:space="preserve"> in an understandable way for non-specialized users</w:t>
      </w:r>
      <w:r w:rsidR="00E222DE">
        <w:t xml:space="preserve">, with </w:t>
      </w:r>
      <w:r w:rsidR="00E222DE" w:rsidRPr="00E222DE">
        <w:t xml:space="preserve">advanced search and correlation functions </w:t>
      </w:r>
      <w:r w:rsidR="00E222DE">
        <w:t>provided.</w:t>
      </w:r>
    </w:p>
    <w:p w14:paraId="2191B148" w14:textId="049A2C64" w:rsidR="009A18DE" w:rsidRDefault="00D5363F" w:rsidP="009A18DE">
      <w:r w:rsidRPr="00D5363F">
        <w:t xml:space="preserve">Istat </w:t>
      </w:r>
      <w:r w:rsidR="009A18DE" w:rsidRPr="00D5363F">
        <w:t xml:space="preserve">considers this approach strategic, </w:t>
      </w:r>
      <w:r w:rsidR="009A18DE">
        <w:t>so it is intended</w:t>
      </w:r>
      <w:r w:rsidRPr="00D5363F">
        <w:t xml:space="preserve"> to overcome </w:t>
      </w:r>
      <w:r w:rsidR="009A18DE">
        <w:t>the</w:t>
      </w:r>
      <w:r w:rsidRPr="00D5363F">
        <w:t xml:space="preserve"> issues </w:t>
      </w:r>
      <w:r w:rsidR="009A18DE">
        <w:t>t</w:t>
      </w:r>
      <w:r w:rsidR="009A18DE" w:rsidRPr="009A18DE">
        <w:t>hat have held back the project</w:t>
      </w:r>
      <w:r w:rsidR="009A18DE">
        <w:t>. Therefore, apart from consultancy and training, Istat</w:t>
      </w:r>
      <w:r w:rsidR="00BF42C9">
        <w:t xml:space="preserve"> is offering</w:t>
      </w:r>
      <w:r w:rsidR="009A18DE">
        <w:t xml:space="preserve"> </w:t>
      </w:r>
      <w:r w:rsidR="00762FCC">
        <w:t xml:space="preserve">the adhering entities </w:t>
      </w:r>
      <w:r w:rsidR="009A18DE">
        <w:t>a suitable open source toolkit</w:t>
      </w:r>
      <w:r w:rsidR="00041E3D">
        <w:t>,</w:t>
      </w:r>
      <w:r w:rsidR="00041E3D" w:rsidRPr="00041E3D">
        <w:t xml:space="preserve"> </w:t>
      </w:r>
      <w:r w:rsidR="00041E3D">
        <w:t xml:space="preserve">which allows </w:t>
      </w:r>
      <w:r w:rsidR="00976D66">
        <w:t>facilitating</w:t>
      </w:r>
      <w:r w:rsidR="00041E3D">
        <w:t xml:space="preserve"> the industrialization of the following sub-processes:</w:t>
      </w:r>
    </w:p>
    <w:p w14:paraId="7614DA3B" w14:textId="1D44131F" w:rsidR="00762FCC" w:rsidRDefault="00762FCC" w:rsidP="00554D4F">
      <w:pPr>
        <w:numPr>
          <w:ilvl w:val="0"/>
          <w:numId w:val="21"/>
        </w:numPr>
        <w:spacing w:after="120"/>
      </w:pPr>
      <w:r>
        <w:t>metadata management</w:t>
      </w:r>
      <w:r w:rsidR="000D1639">
        <w:t>;</w:t>
      </w:r>
    </w:p>
    <w:p w14:paraId="1904F243" w14:textId="539FFA40" w:rsidR="00762FCC" w:rsidRDefault="00041E3D" w:rsidP="00554D4F">
      <w:pPr>
        <w:numPr>
          <w:ilvl w:val="0"/>
          <w:numId w:val="21"/>
        </w:numPr>
        <w:spacing w:after="120"/>
      </w:pPr>
      <w:r>
        <w:t>da</w:t>
      </w:r>
      <w:r w:rsidR="00762FCC">
        <w:t>ta exchange (push and pull) between organizations</w:t>
      </w:r>
      <w:r w:rsidR="000D1639">
        <w:t>;</w:t>
      </w:r>
    </w:p>
    <w:p w14:paraId="6DCEAC4F" w14:textId="368E393E" w:rsidR="00762FCC" w:rsidRDefault="00762FCC" w:rsidP="00554D4F">
      <w:pPr>
        <w:numPr>
          <w:ilvl w:val="0"/>
          <w:numId w:val="21"/>
        </w:numPr>
        <w:spacing w:after="120"/>
      </w:pPr>
      <w:r>
        <w:t>dissemination of data / metadata (GUI and machine-actionable)</w:t>
      </w:r>
      <w:r w:rsidR="000D1639">
        <w:t>;</w:t>
      </w:r>
    </w:p>
    <w:p w14:paraId="2CB546D7" w14:textId="74AF1219" w:rsidR="00762FCC" w:rsidRDefault="00762FCC" w:rsidP="00554D4F">
      <w:pPr>
        <w:numPr>
          <w:ilvl w:val="0"/>
          <w:numId w:val="21"/>
        </w:numPr>
        <w:spacing w:after="120"/>
      </w:pPr>
      <w:r>
        <w:t>creation of data dissemination and updating databases</w:t>
      </w:r>
      <w:r w:rsidR="000D1639">
        <w:t>;</w:t>
      </w:r>
    </w:p>
    <w:p w14:paraId="416B6E90" w14:textId="779C6563" w:rsidR="00762FCC" w:rsidRDefault="00762FCC" w:rsidP="00554D4F">
      <w:pPr>
        <w:numPr>
          <w:ilvl w:val="0"/>
          <w:numId w:val="21"/>
        </w:numPr>
        <w:spacing w:after="120"/>
      </w:pPr>
      <w:r>
        <w:t>transformation into other formats (RDF, DCAT)</w:t>
      </w:r>
      <w:r w:rsidR="000D1639">
        <w:t>;</w:t>
      </w:r>
    </w:p>
    <w:p w14:paraId="229662E7" w14:textId="36CB5E63" w:rsidR="00D230F0" w:rsidRDefault="00041E3D" w:rsidP="00554D4F">
      <w:pPr>
        <w:numPr>
          <w:ilvl w:val="0"/>
          <w:numId w:val="21"/>
        </w:numPr>
        <w:spacing w:after="120"/>
      </w:pPr>
      <w:r>
        <w:t>implementation of</w:t>
      </w:r>
      <w:r w:rsidR="00287A13">
        <w:t xml:space="preserve"> scalable architectures</w:t>
      </w:r>
      <w:r w:rsidR="000D1639">
        <w:t>.</w:t>
      </w:r>
    </w:p>
    <w:p w14:paraId="562FD109" w14:textId="77777777" w:rsidR="00D230F0" w:rsidRDefault="00D230F0" w:rsidP="00D230F0"/>
    <w:p w14:paraId="2153C4D8" w14:textId="0F8AAD87" w:rsidR="00BC6AFE" w:rsidRPr="00976D66" w:rsidRDefault="00BC6AFE" w:rsidP="00FC6FE2">
      <w:pPr>
        <w:pStyle w:val="Heading1"/>
        <w:numPr>
          <w:ilvl w:val="0"/>
          <w:numId w:val="0"/>
        </w:numPr>
        <w:ind w:left="480" w:hanging="480"/>
      </w:pPr>
      <w:r w:rsidRPr="00976D66">
        <w:t>References</w:t>
      </w:r>
    </w:p>
    <w:p w14:paraId="2900FC1F" w14:textId="77777777" w:rsidR="001C7FC7" w:rsidRPr="001C7FC7" w:rsidRDefault="00321DC3" w:rsidP="00976D66">
      <w:pPr>
        <w:pStyle w:val="Text1"/>
        <w:numPr>
          <w:ilvl w:val="0"/>
          <w:numId w:val="20"/>
        </w:numPr>
        <w:ind w:hanging="720"/>
        <w:rPr>
          <w:rStyle w:val="Hyperlink"/>
          <w:color w:val="auto"/>
          <w:u w:val="none"/>
        </w:rPr>
      </w:pPr>
      <w:hyperlink r:id="rId11" w:history="1">
        <w:r w:rsidR="00976D66" w:rsidRPr="00595C0A">
          <w:rPr>
            <w:rStyle w:val="Hyperlink"/>
          </w:rPr>
          <w:t>https://ec.europa.eu/eurostat/documents/64157/4372828/2015-IT-improvement-actions/a1b18bf0-56de-4984-a8ea-6e188979f4dd</w:t>
        </w:r>
      </w:hyperlink>
    </w:p>
    <w:p w14:paraId="0226C137" w14:textId="77777777" w:rsidR="001C7FC7" w:rsidRDefault="001C7FC7" w:rsidP="001C7FC7">
      <w:pPr>
        <w:pStyle w:val="Text1"/>
        <w:numPr>
          <w:ilvl w:val="0"/>
          <w:numId w:val="20"/>
        </w:numPr>
        <w:ind w:hanging="720"/>
      </w:pPr>
      <w:r w:rsidRPr="001C7FC7">
        <w:t>https://forumpa2020.eventifpa.it/it/event-details/?id=9461</w:t>
      </w:r>
    </w:p>
    <w:p w14:paraId="1A6E0BD9" w14:textId="3AD7EBD7" w:rsidR="00BF42C9" w:rsidRDefault="00321DC3" w:rsidP="00BF42C9">
      <w:pPr>
        <w:pStyle w:val="Text1"/>
        <w:numPr>
          <w:ilvl w:val="0"/>
          <w:numId w:val="20"/>
        </w:numPr>
        <w:ind w:hanging="720"/>
      </w:pPr>
      <w:hyperlink r:id="rId12" w:history="1">
        <w:r w:rsidR="00BF42C9" w:rsidRPr="00595C0A">
          <w:rPr>
            <w:rStyle w:val="Hyperlink"/>
          </w:rPr>
          <w:t>https://sdmx.org/</w:t>
        </w:r>
      </w:hyperlink>
      <w:r w:rsidR="00BF42C9">
        <w:t xml:space="preserve"> </w:t>
      </w:r>
    </w:p>
    <w:sectPr w:rsidR="00BF42C9"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028CA" w14:textId="77777777" w:rsidR="00321DC3" w:rsidRDefault="00321DC3" w:rsidP="00BC6AFE">
      <w:pPr>
        <w:spacing w:after="0"/>
      </w:pPr>
      <w:r>
        <w:separator/>
      </w:r>
    </w:p>
  </w:endnote>
  <w:endnote w:type="continuationSeparator" w:id="0">
    <w:p w14:paraId="49A7FBF1" w14:textId="77777777" w:rsidR="00321DC3" w:rsidRDefault="00321DC3"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DB6F" w14:textId="659D7785" w:rsidR="00D24082" w:rsidRDefault="00D24082">
    <w:pPr>
      <w:pStyle w:val="Footer"/>
      <w:jc w:val="center"/>
    </w:pPr>
    <w:r>
      <w:fldChar w:fldCharType="begin"/>
    </w:r>
    <w:r>
      <w:instrText>PAGE</w:instrText>
    </w:r>
    <w:r>
      <w:fldChar w:fldCharType="separate"/>
    </w:r>
    <w:r w:rsidR="00BF42C9">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4961" w14:textId="77777777" w:rsidR="00D24082" w:rsidRDefault="00D24082">
    <w:pPr>
      <w:pStyle w:val="Footer"/>
      <w:rPr>
        <w:sz w:val="24"/>
        <w:szCs w:val="24"/>
      </w:rPr>
    </w:pPr>
  </w:p>
  <w:p w14:paraId="6276DB30"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04C3AF2F" w14:textId="77777777" w:rsidR="00D24082" w:rsidRDefault="00D24082">
    <w:pPr>
      <w:pStyle w:val="Footer"/>
    </w:pPr>
  </w:p>
  <w:p w14:paraId="62246362" w14:textId="77777777" w:rsidR="00D24082" w:rsidRDefault="00D24082">
    <w:pPr>
      <w:pStyle w:val="Footer"/>
    </w:pPr>
    <w:r>
      <w:t>http://epp.eurostat.ec.europa.eu</w:t>
    </w:r>
  </w:p>
  <w:p w14:paraId="2905811E"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83086" w14:textId="77777777" w:rsidR="00321DC3" w:rsidRDefault="00321DC3" w:rsidP="00BC6AFE">
      <w:pPr>
        <w:spacing w:after="0"/>
      </w:pPr>
      <w:r>
        <w:separator/>
      </w:r>
    </w:p>
  </w:footnote>
  <w:footnote w:type="continuationSeparator" w:id="0">
    <w:p w14:paraId="66FE33C0" w14:textId="77777777" w:rsidR="00321DC3" w:rsidRDefault="00321DC3"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30CA"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FE"/>
    <w:multiLevelType w:val="singleLevel"/>
    <w:tmpl w:val="00B2FCEA"/>
    <w:lvl w:ilvl="0">
      <w:numFmt w:val="bullet"/>
      <w:lvlText w:val="*"/>
      <w:lvlJc w:val="left"/>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9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2B35D72"/>
    <w:multiLevelType w:val="hybridMultilevel"/>
    <w:tmpl w:val="2CCE5826"/>
    <w:lvl w:ilvl="0" w:tplc="FE2691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2B65472"/>
    <w:multiLevelType w:val="hybridMultilevel"/>
    <w:tmpl w:val="6846AD32"/>
    <w:lvl w:ilvl="0" w:tplc="FE2691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2" w15:restartNumberingAfterBreak="0">
    <w:nsid w:val="6F2229FD"/>
    <w:multiLevelType w:val="hybridMultilevel"/>
    <w:tmpl w:val="0562B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7"/>
  </w:num>
  <w:num w:numId="5">
    <w:abstractNumId w:val="10"/>
  </w:num>
  <w:num w:numId="6">
    <w:abstractNumId w:val="9"/>
  </w:num>
  <w:num w:numId="7">
    <w:abstractNumId w:val="6"/>
  </w:num>
  <w:num w:numId="8">
    <w:abstractNumId w:val="5"/>
  </w:num>
  <w:num w:numId="9">
    <w:abstractNumId w:val="18"/>
  </w:num>
  <w:num w:numId="10">
    <w:abstractNumId w:val="20"/>
  </w:num>
  <w:num w:numId="11">
    <w:abstractNumId w:val="19"/>
  </w:num>
  <w:num w:numId="12">
    <w:abstractNumId w:val="21"/>
  </w:num>
  <w:num w:numId="13">
    <w:abstractNumId w:val="8"/>
  </w:num>
  <w:num w:numId="14">
    <w:abstractNumId w:val="11"/>
  </w:num>
  <w:num w:numId="15">
    <w:abstractNumId w:val="13"/>
  </w:num>
  <w:num w:numId="16">
    <w:abstractNumId w:val="12"/>
  </w:num>
  <w:num w:numId="17">
    <w:abstractNumId w:val="3"/>
  </w:num>
  <w:num w:numId="18">
    <w:abstractNumId w:val="14"/>
  </w:num>
  <w:num w:numId="19">
    <w:abstractNumId w:val="15"/>
  </w:num>
  <w:num w:numId="20">
    <w:abstractNumId w:val="4"/>
  </w:num>
  <w:num w:numId="21">
    <w:abstractNumId w:val="22"/>
  </w:num>
  <w:num w:numId="22">
    <w:abstractNumId w:val="2"/>
    <w:lvlOverride w:ilvl="0">
      <w:lvl w:ilvl="0">
        <w:numFmt w:val="bullet"/>
        <w:lvlText w:val=""/>
        <w:legacy w:legacy="1" w:legacySpace="0" w:legacyIndent="0"/>
        <w:lvlJc w:val="left"/>
        <w:rPr>
          <w:rFonts w:ascii="Wingdings" w:hAnsi="Wingdings" w:hint="default"/>
          <w:sz w:val="40"/>
        </w:rPr>
      </w:lvl>
    </w:lvlOverride>
  </w:num>
  <w:num w:numId="23">
    <w:abstractNumId w:val="2"/>
    <w:lvlOverride w:ilvl="0">
      <w:lvl w:ilvl="0">
        <w:numFmt w:val="bullet"/>
        <w:lvlText w:val=""/>
        <w:legacy w:legacy="1" w:legacySpace="0" w:legacyIndent="0"/>
        <w:lvlJc w:val="left"/>
        <w:rPr>
          <w:rFonts w:ascii="Wingdings" w:hAnsi="Wingdings" w:hint="default"/>
          <w:sz w:val="36"/>
        </w:rPr>
      </w:lvl>
    </w:lvlOverride>
  </w:num>
  <w:num w:numId="24">
    <w:abstractNumId w:val="2"/>
    <w:lvlOverride w:ilvl="0">
      <w:lvl w:ilvl="0">
        <w:numFmt w:val="bullet"/>
        <w:lvlText w:val=""/>
        <w:legacy w:legacy="1" w:legacySpace="0" w:legacyIndent="0"/>
        <w:lvlJc w:val="left"/>
        <w:rPr>
          <w:rFonts w:ascii="Wingdings" w:hAnsi="Wingdings" w:hint="default"/>
          <w:sz w:val="44"/>
        </w:rPr>
      </w:lvl>
    </w:lvlOverride>
  </w:num>
  <w:num w:numId="25">
    <w:abstractNumId w:val="2"/>
    <w:lvlOverride w:ilvl="0">
      <w:lvl w:ilvl="0">
        <w:numFmt w:val="bullet"/>
        <w:lvlText w:val=""/>
        <w:legacy w:legacy="1" w:legacySpace="0" w:legacyIndent="0"/>
        <w:lvlJc w:val="left"/>
        <w:rPr>
          <w:rFonts w:ascii="Wingdings" w:hAnsi="Wingdings" w:hint="default"/>
          <w:sz w:val="24"/>
        </w:rPr>
      </w:lvl>
    </w:lvlOverride>
  </w:num>
  <w:num w:numId="26">
    <w:abstractNumId w:val="2"/>
    <w:lvlOverride w:ilvl="0">
      <w:lvl w:ilvl="0">
        <w:numFmt w:val="bullet"/>
        <w:lvlText w:val=""/>
        <w:legacy w:legacy="1" w:legacySpace="0" w:legacyIndent="0"/>
        <w:lvlJc w:val="left"/>
        <w:rPr>
          <w:rFonts w:ascii="Wingdings" w:hAnsi="Wingdings" w:hint="default"/>
          <w:sz w:val="48"/>
        </w:rPr>
      </w:lvl>
    </w:lvlOverride>
  </w:num>
  <w:num w:numId="27">
    <w:abstractNumId w:val="2"/>
    <w:lvlOverride w:ilvl="0">
      <w:lvl w:ilvl="0">
        <w:numFmt w:val="bullet"/>
        <w:lvlText w:val=""/>
        <w:legacy w:legacy="1" w:legacySpace="0" w:legacyIndent="0"/>
        <w:lvlJc w:val="left"/>
        <w:rPr>
          <w:rFonts w:ascii="Wingdings" w:hAnsi="Wingdings" w:hint="default"/>
          <w:sz w:val="40"/>
        </w:rPr>
      </w:lvl>
    </w:lvlOverride>
  </w:num>
  <w:num w:numId="28">
    <w:abstractNumId w:val="2"/>
    <w:lvlOverride w:ilvl="0">
      <w:lvl w:ilvl="0">
        <w:numFmt w:val="bullet"/>
        <w:lvlText w:val=""/>
        <w:legacy w:legacy="1" w:legacySpace="0" w:legacyIndent="0"/>
        <w:lvlJc w:val="left"/>
        <w:rPr>
          <w:rFonts w:ascii="Wingdings" w:hAnsi="Wingdings" w:hint="default"/>
          <w:sz w:val="36"/>
        </w:rPr>
      </w:lvl>
    </w:lvlOverride>
  </w:num>
  <w:num w:numId="29">
    <w:abstractNumId w:val="2"/>
    <w:lvlOverride w:ilvl="0">
      <w:lvl w:ilvl="0">
        <w:numFmt w:val="bullet"/>
        <w:lvlText w:val="•"/>
        <w:legacy w:legacy="1" w:legacySpace="0" w:legacyIndent="0"/>
        <w:lvlJc w:val="left"/>
        <w:rPr>
          <w:rFonts w:ascii="Arial" w:hAnsi="Arial" w:cs="Arial" w:hint="default"/>
          <w:sz w:val="24"/>
        </w:rPr>
      </w:lvl>
    </w:lvlOverride>
  </w:num>
  <w:num w:numId="30">
    <w:abstractNumId w:val="16"/>
  </w:num>
  <w:num w:numId="31">
    <w:abstractNumId w:val="7"/>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1032A7"/>
    <w:rsid w:val="00041E3D"/>
    <w:rsid w:val="000642A1"/>
    <w:rsid w:val="000D1639"/>
    <w:rsid w:val="000F7438"/>
    <w:rsid w:val="001032A7"/>
    <w:rsid w:val="00114CA0"/>
    <w:rsid w:val="00127067"/>
    <w:rsid w:val="00154C36"/>
    <w:rsid w:val="001857CF"/>
    <w:rsid w:val="001B50CE"/>
    <w:rsid w:val="001C7FC7"/>
    <w:rsid w:val="002012A8"/>
    <w:rsid w:val="00243A2C"/>
    <w:rsid w:val="00287A13"/>
    <w:rsid w:val="002A2B69"/>
    <w:rsid w:val="002E0D97"/>
    <w:rsid w:val="00321DC3"/>
    <w:rsid w:val="00332D6F"/>
    <w:rsid w:val="00372FC1"/>
    <w:rsid w:val="003C6DA4"/>
    <w:rsid w:val="003D30B8"/>
    <w:rsid w:val="003D6D95"/>
    <w:rsid w:val="003F4293"/>
    <w:rsid w:val="003F43B0"/>
    <w:rsid w:val="00410626"/>
    <w:rsid w:val="00433A93"/>
    <w:rsid w:val="00466BFE"/>
    <w:rsid w:val="0049211C"/>
    <w:rsid w:val="00554D4F"/>
    <w:rsid w:val="00570EB7"/>
    <w:rsid w:val="00573E28"/>
    <w:rsid w:val="005B4EA5"/>
    <w:rsid w:val="00630426"/>
    <w:rsid w:val="006312AF"/>
    <w:rsid w:val="00681573"/>
    <w:rsid w:val="006875D6"/>
    <w:rsid w:val="006B0BF4"/>
    <w:rsid w:val="006C14D0"/>
    <w:rsid w:val="00741CF0"/>
    <w:rsid w:val="0076078C"/>
    <w:rsid w:val="00762FCC"/>
    <w:rsid w:val="00797C90"/>
    <w:rsid w:val="007D7148"/>
    <w:rsid w:val="00820BDC"/>
    <w:rsid w:val="0084779D"/>
    <w:rsid w:val="00876E1D"/>
    <w:rsid w:val="008847C3"/>
    <w:rsid w:val="008A75D0"/>
    <w:rsid w:val="008E29ED"/>
    <w:rsid w:val="00923850"/>
    <w:rsid w:val="00976D66"/>
    <w:rsid w:val="009A18DE"/>
    <w:rsid w:val="009A41E5"/>
    <w:rsid w:val="009B4EE0"/>
    <w:rsid w:val="009C0F01"/>
    <w:rsid w:val="00A17E8C"/>
    <w:rsid w:val="00A94323"/>
    <w:rsid w:val="00AB4423"/>
    <w:rsid w:val="00B3641F"/>
    <w:rsid w:val="00B83C0F"/>
    <w:rsid w:val="00B847B4"/>
    <w:rsid w:val="00B9492F"/>
    <w:rsid w:val="00BC17F5"/>
    <w:rsid w:val="00BC6AFE"/>
    <w:rsid w:val="00BF42C9"/>
    <w:rsid w:val="00C153AD"/>
    <w:rsid w:val="00CF5094"/>
    <w:rsid w:val="00D230F0"/>
    <w:rsid w:val="00D24082"/>
    <w:rsid w:val="00D52EA1"/>
    <w:rsid w:val="00D5363F"/>
    <w:rsid w:val="00D770C6"/>
    <w:rsid w:val="00DB601E"/>
    <w:rsid w:val="00DD6BAB"/>
    <w:rsid w:val="00DE5FF9"/>
    <w:rsid w:val="00E222DE"/>
    <w:rsid w:val="00EB7F59"/>
    <w:rsid w:val="00F0741F"/>
    <w:rsid w:val="00F17873"/>
    <w:rsid w:val="00FA044A"/>
    <w:rsid w:val="00FC6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73445"/>
  <w15:chartTrackingRefBased/>
  <w15:docId w15:val="{7CF88A2A-6C84-426E-905A-0DDC0E51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E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E1D"/>
    <w:rPr>
      <w:rFonts w:ascii="Segoe UI" w:hAnsi="Segoe UI" w:cs="Segoe UI"/>
      <w:sz w:val="18"/>
      <w:szCs w:val="18"/>
      <w:lang w:val="en-GB" w:eastAsia="en-US"/>
    </w:rPr>
  </w:style>
  <w:style w:type="paragraph" w:styleId="ListParagraph">
    <w:name w:val="List Paragraph"/>
    <w:basedOn w:val="Normal"/>
    <w:uiPriority w:val="34"/>
    <w:qFormat/>
    <w:rsid w:val="0084779D"/>
    <w:pPr>
      <w:ind w:left="720"/>
      <w:contextualSpacing/>
    </w:pPr>
  </w:style>
  <w:style w:type="character" w:styleId="Hyperlink">
    <w:name w:val="Hyperlink"/>
    <w:basedOn w:val="DefaultParagraphFont"/>
    <w:uiPriority w:val="99"/>
    <w:unhideWhenUsed/>
    <w:rsid w:val="00466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12350">
      <w:bodyDiv w:val="1"/>
      <w:marLeft w:val="0"/>
      <w:marRight w:val="0"/>
      <w:marTop w:val="0"/>
      <w:marBottom w:val="0"/>
      <w:divBdr>
        <w:top w:val="none" w:sz="0" w:space="0" w:color="auto"/>
        <w:left w:val="none" w:sz="0" w:space="0" w:color="auto"/>
        <w:bottom w:val="none" w:sz="0" w:space="0" w:color="auto"/>
        <w:right w:val="none" w:sz="0" w:space="0" w:color="auto"/>
      </w:divBdr>
    </w:div>
    <w:div w:id="21448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dmx.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stat/documents/64157/4372828/2015-IT-improvement-actions/a1b18bf0-56de-4984-a8ea-6e188979f4d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Downloads\NTTS2021_Abstract_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Props1.xml><?xml version="1.0" encoding="utf-8"?>
<ds:datastoreItem xmlns:ds="http://schemas.openxmlformats.org/officeDocument/2006/customXml" ds:itemID="{EC2E8CD6-D4C7-42DB-AEF7-CE193D9D8563}">
  <ds:schemaRefs>
    <ds:schemaRef ds:uri="http://schemas.openxmlformats.org/officeDocument/2006/bibliography"/>
  </ds:schemaRefs>
</ds:datastoreItem>
</file>

<file path=customXml/itemProps2.xml><?xml version="1.0" encoding="utf-8"?>
<ds:datastoreItem xmlns:ds="http://schemas.openxmlformats.org/officeDocument/2006/customXml" ds:itemID="{DEF58AF3-9929-4DC0-A819-0ADC671B5D1C}">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B406C654-FE0D-4FA5-9C33-13E2F461D7CA}">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0</TotalTime>
  <Pages>3</Pages>
  <Words>1242</Words>
  <Characters>7084</Characters>
  <Application>Microsoft Office Word</Application>
  <DocSecurity>0</DocSecurity>
  <PresentationFormat>Microsoft Word 14.0</PresentationFormat>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EL4</cp:keywords>
  <cp:lastModifiedBy>Salvatore Favazza</cp:lastModifiedBy>
  <cp:revision>2</cp:revision>
  <cp:lastPrinted>2018-05-29T10:06:00Z</cp:lastPrinted>
  <dcterms:created xsi:type="dcterms:W3CDTF">2020-10-16T19:21:00Z</dcterms:created>
  <dcterms:modified xsi:type="dcterms:W3CDTF">2020-10-16T19:21:00Z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