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BDD1A" w14:textId="7C2F49C8" w:rsidR="00C670B9" w:rsidRPr="009550DB" w:rsidRDefault="0005278A" w:rsidP="00C670B9">
      <w:pPr>
        <w:pStyle w:val="Subtitle1"/>
        <w:spacing w:before="0" w:line="360" w:lineRule="auto"/>
        <w:ind w:right="-292"/>
        <w:rPr>
          <w:rFonts w:cs="Arial"/>
          <w:b/>
          <w:iCs w:val="0"/>
          <w:szCs w:val="36"/>
          <w:lang w:val="en-GB"/>
        </w:rPr>
      </w:pPr>
      <w:r w:rsidRPr="009550DB">
        <w:rPr>
          <w:rFonts w:cs="Arial"/>
          <w:b/>
          <w:iCs w:val="0"/>
          <w:szCs w:val="36"/>
          <w:lang w:val="en-GB"/>
        </w:rPr>
        <w:t>Automation</w:t>
      </w:r>
      <w:r w:rsidR="00C670B9" w:rsidRPr="009550DB">
        <w:rPr>
          <w:rFonts w:cs="Arial"/>
          <w:b/>
          <w:iCs w:val="0"/>
          <w:szCs w:val="36"/>
          <w:lang w:val="en-GB"/>
        </w:rPr>
        <w:t xml:space="preserve"> </w:t>
      </w:r>
      <w:r w:rsidR="00BA2429" w:rsidRPr="009550DB">
        <w:rPr>
          <w:rFonts w:cs="Arial"/>
          <w:b/>
          <w:iCs w:val="0"/>
          <w:szCs w:val="36"/>
          <w:lang w:val="en-GB"/>
        </w:rPr>
        <w:t>risk</w:t>
      </w:r>
      <w:r w:rsidRPr="009550DB">
        <w:rPr>
          <w:rFonts w:cs="Arial"/>
          <w:b/>
          <w:iCs w:val="0"/>
          <w:szCs w:val="36"/>
          <w:lang w:val="en-GB"/>
        </w:rPr>
        <w:t xml:space="preserve"> in the EU labour market</w:t>
      </w:r>
    </w:p>
    <w:p w14:paraId="4F3DF2DB" w14:textId="264158F4" w:rsidR="00C670B9" w:rsidRPr="009550DB" w:rsidRDefault="0005278A" w:rsidP="00CA054A">
      <w:pPr>
        <w:pStyle w:val="Subtitle1"/>
        <w:spacing w:before="0" w:after="240" w:line="276" w:lineRule="auto"/>
        <w:ind w:right="-292"/>
        <w:rPr>
          <w:rFonts w:cs="Arial"/>
          <w:b/>
          <w:iCs w:val="0"/>
          <w:sz w:val="22"/>
          <w:szCs w:val="36"/>
          <w:lang w:val="en-GB"/>
        </w:rPr>
      </w:pPr>
      <w:r w:rsidRPr="009550DB">
        <w:rPr>
          <w:rFonts w:cs="Arial"/>
          <w:b/>
          <w:iCs w:val="0"/>
          <w:sz w:val="22"/>
          <w:szCs w:val="36"/>
          <w:lang w:val="en-GB"/>
        </w:rPr>
        <w:t>Analysing jobs at risk of machine displacement based on online job vacancy data</w:t>
      </w:r>
    </w:p>
    <w:p w14:paraId="1AF79262" w14:textId="524BBE98" w:rsidR="00C4506D" w:rsidRPr="00213995" w:rsidRDefault="00C670B9" w:rsidP="00C4506D">
      <w:pPr>
        <w:ind w:right="-292" w:firstLine="0"/>
        <w:jc w:val="center"/>
        <w:rPr>
          <w:rFonts w:cs="Arial"/>
          <w:sz w:val="20"/>
        </w:rPr>
      </w:pPr>
      <w:r w:rsidRPr="00213995">
        <w:rPr>
          <w:rFonts w:cs="Arial"/>
          <w:sz w:val="20"/>
        </w:rPr>
        <w:t xml:space="preserve">Jiri </w:t>
      </w:r>
      <w:proofErr w:type="spellStart"/>
      <w:r w:rsidRPr="00213995">
        <w:rPr>
          <w:rFonts w:cs="Arial"/>
          <w:sz w:val="20"/>
        </w:rPr>
        <w:t>Branka</w:t>
      </w:r>
      <w:proofErr w:type="spellEnd"/>
      <w:r w:rsidR="00C4506D" w:rsidRPr="00213995">
        <w:rPr>
          <w:rFonts w:cs="Arial"/>
          <w:sz w:val="20"/>
        </w:rPr>
        <w:t xml:space="preserve">, Konstantinos </w:t>
      </w:r>
      <w:proofErr w:type="spellStart"/>
      <w:r w:rsidR="00C4506D" w:rsidRPr="00213995">
        <w:rPr>
          <w:rFonts w:cs="Arial"/>
          <w:sz w:val="20"/>
        </w:rPr>
        <w:t>Pouliakas</w:t>
      </w:r>
      <w:proofErr w:type="spellEnd"/>
      <w:r w:rsidR="00C4506D" w:rsidRPr="00213995">
        <w:rPr>
          <w:rFonts w:cs="Arial"/>
          <w:sz w:val="20"/>
        </w:rPr>
        <w:t xml:space="preserve"> (</w:t>
      </w:r>
      <w:r w:rsidR="00C4506D" w:rsidRPr="009550DB">
        <w:rPr>
          <w:rStyle w:val="FootnoteReference"/>
          <w:rFonts w:cs="Arial"/>
          <w:sz w:val="20"/>
        </w:rPr>
        <w:footnoteReference w:id="1"/>
      </w:r>
      <w:r w:rsidR="00C4506D" w:rsidRPr="00213995">
        <w:rPr>
          <w:rFonts w:cs="Arial"/>
          <w:sz w:val="20"/>
        </w:rPr>
        <w:t xml:space="preserve">) and Vladimir </w:t>
      </w:r>
      <w:proofErr w:type="spellStart"/>
      <w:r w:rsidR="00C4506D" w:rsidRPr="00213995">
        <w:rPr>
          <w:rFonts w:cs="Arial"/>
          <w:sz w:val="20"/>
        </w:rPr>
        <w:t>Kvetan</w:t>
      </w:r>
      <w:proofErr w:type="spellEnd"/>
      <w:r w:rsidR="00C4506D" w:rsidRPr="00213995">
        <w:rPr>
          <w:rFonts w:cs="Arial"/>
          <w:sz w:val="20"/>
        </w:rPr>
        <w:t xml:space="preserve"> </w:t>
      </w:r>
    </w:p>
    <w:p w14:paraId="69C5D308" w14:textId="77777777" w:rsidR="00C670B9" w:rsidRPr="009550DB" w:rsidRDefault="00C670B9" w:rsidP="00C670B9">
      <w:pPr>
        <w:pStyle w:val="Normalnoindent"/>
        <w:ind w:right="-292"/>
        <w:jc w:val="center"/>
        <w:rPr>
          <w:rFonts w:cs="Arial"/>
          <w:sz w:val="20"/>
        </w:rPr>
      </w:pPr>
      <w:r w:rsidRPr="009550DB">
        <w:rPr>
          <w:rFonts w:cs="Arial"/>
          <w:sz w:val="20"/>
        </w:rPr>
        <w:t>European Centre for the Development of Vocational Training (Cedefop)</w:t>
      </w:r>
    </w:p>
    <w:p w14:paraId="653DD5C3" w14:textId="77777777" w:rsidR="00BA2429" w:rsidRPr="009550DB" w:rsidRDefault="00BA2429" w:rsidP="00BA2429">
      <w:pPr>
        <w:rPr>
          <w:rFonts w:cs="Arial"/>
        </w:rPr>
      </w:pPr>
    </w:p>
    <w:p w14:paraId="77A8486D" w14:textId="1B21821A" w:rsidR="00BA2429" w:rsidRPr="009550DB" w:rsidRDefault="00BA2429" w:rsidP="001A18A2">
      <w:pPr>
        <w:ind w:right="-292" w:firstLine="0"/>
        <w:jc w:val="center"/>
        <w:rPr>
          <w:rFonts w:cs="Arial"/>
          <w:b/>
          <w:sz w:val="20"/>
        </w:rPr>
      </w:pPr>
      <w:r w:rsidRPr="009550DB">
        <w:rPr>
          <w:rFonts w:cs="Arial"/>
          <w:b/>
          <w:sz w:val="20"/>
        </w:rPr>
        <w:t xml:space="preserve">Keywords: </w:t>
      </w:r>
      <w:r w:rsidR="0005278A" w:rsidRPr="009550DB">
        <w:rPr>
          <w:rFonts w:cs="Arial"/>
          <w:sz w:val="20"/>
        </w:rPr>
        <w:t>automation</w:t>
      </w:r>
      <w:r w:rsidRPr="009550DB">
        <w:rPr>
          <w:rFonts w:cs="Arial"/>
          <w:sz w:val="20"/>
        </w:rPr>
        <w:t>,</w:t>
      </w:r>
      <w:r w:rsidR="0005278A" w:rsidRPr="009550DB">
        <w:rPr>
          <w:rFonts w:cs="Arial"/>
          <w:sz w:val="20"/>
        </w:rPr>
        <w:t xml:space="preserve"> AI, machine learning,</w:t>
      </w:r>
      <w:r w:rsidRPr="009550DB">
        <w:rPr>
          <w:rFonts w:cs="Arial"/>
          <w:sz w:val="20"/>
        </w:rPr>
        <w:t xml:space="preserve"> risk, skills, </w:t>
      </w:r>
      <w:r w:rsidR="0071161B" w:rsidRPr="009550DB">
        <w:rPr>
          <w:rFonts w:cs="Arial"/>
          <w:sz w:val="20"/>
        </w:rPr>
        <w:t xml:space="preserve">tasks, technologies, </w:t>
      </w:r>
      <w:r w:rsidRPr="009550DB">
        <w:rPr>
          <w:rFonts w:cs="Arial"/>
          <w:sz w:val="20"/>
        </w:rPr>
        <w:t>EU</w:t>
      </w:r>
    </w:p>
    <w:p w14:paraId="350AF20E" w14:textId="77777777" w:rsidR="00C670B9" w:rsidRPr="009550DB" w:rsidRDefault="00C670B9" w:rsidP="00CA054A">
      <w:pPr>
        <w:pStyle w:val="Abstracttext"/>
        <w:spacing w:line="360" w:lineRule="auto"/>
        <w:ind w:right="-292"/>
        <w:rPr>
          <w:rFonts w:cs="Arial"/>
          <w:lang w:eastAsia="el-GR"/>
        </w:rPr>
      </w:pPr>
    </w:p>
    <w:p w14:paraId="7FF4CFF5" w14:textId="77777777" w:rsidR="00C670B9" w:rsidRPr="009550DB" w:rsidRDefault="00413F67" w:rsidP="0071161B">
      <w:pPr>
        <w:pStyle w:val="Abstracttext"/>
        <w:spacing w:after="120" w:line="360" w:lineRule="auto"/>
        <w:ind w:right="-292"/>
        <w:rPr>
          <w:rFonts w:cs="Arial"/>
          <w:b/>
          <w:color w:val="auto"/>
          <w:sz w:val="24"/>
          <w:lang w:eastAsia="el-GR"/>
        </w:rPr>
      </w:pPr>
      <w:r w:rsidRPr="009550DB">
        <w:rPr>
          <w:rFonts w:cs="Arial"/>
          <w:b/>
          <w:color w:val="auto"/>
          <w:sz w:val="24"/>
          <w:lang w:eastAsia="el-GR"/>
        </w:rPr>
        <w:t>Introduction</w:t>
      </w:r>
    </w:p>
    <w:p w14:paraId="0284A957" w14:textId="2EF1E5C5" w:rsidR="0005278A" w:rsidRPr="009550DB" w:rsidRDefault="0005278A" w:rsidP="0071161B">
      <w:pPr>
        <w:spacing w:before="120" w:after="120" w:line="276" w:lineRule="auto"/>
        <w:ind w:right="237" w:firstLine="0"/>
        <w:rPr>
          <w:rFonts w:cs="Arial"/>
          <w:sz w:val="20"/>
        </w:rPr>
      </w:pPr>
      <w:r w:rsidRPr="009550DB">
        <w:rPr>
          <w:rFonts w:cs="Arial"/>
          <w:sz w:val="20"/>
          <w:lang w:eastAsia="el-GR"/>
        </w:rPr>
        <w:t>Not long before the coronavirus outbreak popular fears about artificial intelligence (AI) algorithms and smart machines resulting in a jobless society were widespread (</w:t>
      </w:r>
      <w:r w:rsidRPr="009550DB">
        <w:rPr>
          <w:rFonts w:cs="Arial"/>
          <w:sz w:val="20"/>
        </w:rPr>
        <w:t>Brynjolfsson and McAfee, 2014; Ford, 2015)</w:t>
      </w:r>
      <w:r w:rsidRPr="009550DB">
        <w:rPr>
          <w:rFonts w:cs="Arial"/>
          <w:sz w:val="20"/>
          <w:lang w:eastAsia="el-GR"/>
        </w:rPr>
        <w:t xml:space="preserve">. While a 2013 University of Oxford study cautioned that about half of all jobs in advanced economies may become extinct due to advancing machine learning methods (Frey and Osborne, 2013), subsequent </w:t>
      </w:r>
      <w:r w:rsidRPr="009550DB">
        <w:rPr>
          <w:rFonts w:cs="Arial"/>
          <w:sz w:val="20"/>
        </w:rPr>
        <w:t>studies deconstructing jobs according to their task composition tended to dispel such fears of rampant job destruction</w:t>
      </w:r>
      <w:r w:rsidR="0071161B" w:rsidRPr="009550DB">
        <w:rPr>
          <w:rFonts w:cs="Arial"/>
          <w:sz w:val="20"/>
        </w:rPr>
        <w:t xml:space="preserve"> (</w:t>
      </w:r>
      <w:proofErr w:type="spellStart"/>
      <w:r w:rsidRPr="009550DB">
        <w:rPr>
          <w:rFonts w:cs="Arial"/>
          <w:sz w:val="20"/>
        </w:rPr>
        <w:t>Pouliakas,</w:t>
      </w:r>
      <w:proofErr w:type="spellEnd"/>
      <w:r w:rsidRPr="009550DB">
        <w:rPr>
          <w:rFonts w:cs="Arial"/>
          <w:sz w:val="20"/>
        </w:rPr>
        <w:t xml:space="preserve"> 2018). </w:t>
      </w:r>
    </w:p>
    <w:p w14:paraId="46FAF617" w14:textId="46B48E6A" w:rsidR="0005278A" w:rsidRPr="009550DB" w:rsidRDefault="0005278A" w:rsidP="0071161B">
      <w:pPr>
        <w:spacing w:before="120" w:after="120" w:line="276" w:lineRule="auto"/>
        <w:ind w:right="237" w:firstLine="0"/>
        <w:rPr>
          <w:rFonts w:cs="Arial"/>
          <w:sz w:val="20"/>
        </w:rPr>
      </w:pPr>
      <w:r w:rsidRPr="009550DB">
        <w:rPr>
          <w:rFonts w:cs="Arial"/>
          <w:sz w:val="20"/>
        </w:rPr>
        <w:t>Concerns about the Covid-19 crisis accentuating automation in labour markets have nonetheless resurfaced. The pandemic and associated social distancing measures have accelerated the incentives of companies and societies to adopt new digital and data-driven technologies. And indeed, most notable automation episodes in history have always tended to spike following major economic crises (Frey, 2019). Early predictions that Covid-19 will have a positive automation effect may however prove to be false. Occupations identified as high risk of Covid-19 exposure and social distancing disruption (</w:t>
      </w:r>
      <w:proofErr w:type="spellStart"/>
      <w:r w:rsidRPr="009550DB">
        <w:rPr>
          <w:rFonts w:cs="Arial"/>
          <w:sz w:val="20"/>
        </w:rPr>
        <w:t>Pouliakas</w:t>
      </w:r>
      <w:proofErr w:type="spellEnd"/>
      <w:r w:rsidRPr="009550DB">
        <w:rPr>
          <w:rFonts w:cs="Arial"/>
          <w:sz w:val="20"/>
        </w:rPr>
        <w:t xml:space="preserve"> and </w:t>
      </w:r>
      <w:proofErr w:type="spellStart"/>
      <w:r w:rsidRPr="009550DB">
        <w:rPr>
          <w:rFonts w:cs="Arial"/>
          <w:sz w:val="20"/>
        </w:rPr>
        <w:t>Branka</w:t>
      </w:r>
      <w:proofErr w:type="spellEnd"/>
      <w:r w:rsidRPr="009550DB">
        <w:rPr>
          <w:rFonts w:cs="Arial"/>
          <w:sz w:val="20"/>
        </w:rPr>
        <w:t>, 2020) have been found</w:t>
      </w:r>
      <w:r w:rsidR="00F42D72" w:rsidRPr="009550DB">
        <w:rPr>
          <w:rFonts w:cs="Arial"/>
          <w:sz w:val="20"/>
        </w:rPr>
        <w:t>, for instance,</w:t>
      </w:r>
      <w:r w:rsidRPr="009550DB">
        <w:rPr>
          <w:rFonts w:cs="Arial"/>
          <w:sz w:val="20"/>
        </w:rPr>
        <w:t xml:space="preserve"> to </w:t>
      </w:r>
      <w:hyperlink r:id="rId8" w:history="1">
        <w:r w:rsidRPr="009550DB">
          <w:rPr>
            <w:rStyle w:val="Hyperlink"/>
            <w:rFonts w:cs="Arial"/>
            <w:sz w:val="20"/>
          </w:rPr>
          <w:t>correlate weakly with those facing higher automation risk</w:t>
        </w:r>
      </w:hyperlink>
      <w:r w:rsidRPr="009550DB">
        <w:rPr>
          <w:rStyle w:val="Hyperlink"/>
          <w:rFonts w:cs="Arial"/>
          <w:sz w:val="20"/>
        </w:rPr>
        <w:t xml:space="preserve"> </w:t>
      </w:r>
      <w:r w:rsidRPr="009550DB">
        <w:rPr>
          <w:rStyle w:val="Hyperlink"/>
          <w:rFonts w:cs="Arial"/>
          <w:color w:val="auto"/>
          <w:sz w:val="20"/>
        </w:rPr>
        <w:t>(Chernoff and Warman, 2020)</w:t>
      </w:r>
      <w:r w:rsidRPr="009550DB">
        <w:rPr>
          <w:rFonts w:cs="Arial"/>
          <w:sz w:val="20"/>
        </w:rPr>
        <w:t xml:space="preserve">. Many of the occupations and sectors mostly affected by Covid-19 are typically in the service sector and heavily reliant on interpersonal skills (e.g. hospitality, leisure, retail), which are </w:t>
      </w:r>
      <w:r w:rsidR="0071161B" w:rsidRPr="009550DB">
        <w:rPr>
          <w:rFonts w:cs="Arial"/>
          <w:sz w:val="20"/>
        </w:rPr>
        <w:t xml:space="preserve">relatively </w:t>
      </w:r>
      <w:r w:rsidRPr="009550DB">
        <w:rPr>
          <w:rFonts w:cs="Arial"/>
          <w:sz w:val="20"/>
        </w:rPr>
        <w:t>less susceptible to replacement by AI technologies.</w:t>
      </w:r>
    </w:p>
    <w:p w14:paraId="607C2854" w14:textId="68FB6D2E" w:rsidR="00D06494" w:rsidRPr="009550DB" w:rsidRDefault="00D06494" w:rsidP="00CA054A">
      <w:pPr>
        <w:spacing w:before="120" w:after="240" w:line="276" w:lineRule="auto"/>
        <w:ind w:right="238" w:firstLine="0"/>
        <w:rPr>
          <w:rFonts w:cs="Arial"/>
          <w:sz w:val="20"/>
          <w:lang w:eastAsia="el-GR"/>
        </w:rPr>
      </w:pPr>
      <w:r w:rsidRPr="009550DB">
        <w:rPr>
          <w:rFonts w:cs="Arial"/>
          <w:sz w:val="20"/>
          <w:lang w:eastAsia="el-GR"/>
        </w:rPr>
        <w:t>The above findings highlight that in-depth understanding of which skills and job tasks may be displaced by AI and other digital technologies</w:t>
      </w:r>
      <w:r w:rsidR="00A61ED4" w:rsidRPr="009550DB">
        <w:rPr>
          <w:rFonts w:cs="Arial"/>
          <w:sz w:val="20"/>
          <w:lang w:eastAsia="el-GR"/>
        </w:rPr>
        <w:t>, especially within the context of the Covid-19 shock,</w:t>
      </w:r>
      <w:r w:rsidRPr="009550DB">
        <w:rPr>
          <w:rFonts w:cs="Arial"/>
          <w:sz w:val="20"/>
          <w:lang w:eastAsia="el-GR"/>
        </w:rPr>
        <w:t xml:space="preserve"> and which occupations are more </w:t>
      </w:r>
      <w:r w:rsidR="0071161B" w:rsidRPr="009550DB">
        <w:rPr>
          <w:rFonts w:cs="Arial"/>
          <w:sz w:val="20"/>
          <w:lang w:eastAsia="el-GR"/>
        </w:rPr>
        <w:t>inclined</w:t>
      </w:r>
      <w:r w:rsidRPr="009550DB">
        <w:rPr>
          <w:rFonts w:cs="Arial"/>
          <w:sz w:val="20"/>
          <w:lang w:eastAsia="el-GR"/>
        </w:rPr>
        <w:t xml:space="preserve"> to automation is crucial for the formulation of preventive upskilling and reskilling policies. Indeed, the need to design effective reskilling programmes that can enable individuals and firms to make the transition to a digital economy has been highlighted as a key action as part of the European Commission</w:t>
      </w:r>
      <w:r w:rsidR="00F42D72" w:rsidRPr="009550DB">
        <w:rPr>
          <w:rFonts w:cs="Arial"/>
          <w:sz w:val="20"/>
          <w:lang w:eastAsia="el-GR"/>
        </w:rPr>
        <w:t>’s</w:t>
      </w:r>
      <w:r w:rsidRPr="009550DB">
        <w:rPr>
          <w:rFonts w:cs="Arial"/>
          <w:sz w:val="20"/>
          <w:lang w:eastAsia="el-GR"/>
        </w:rPr>
        <w:t xml:space="preserve"> </w:t>
      </w:r>
      <w:r w:rsidRPr="009550DB">
        <w:rPr>
          <w:rFonts w:cs="Arial"/>
          <w:i/>
          <w:sz w:val="20"/>
          <w:lang w:eastAsia="el-GR"/>
        </w:rPr>
        <w:t>New Skills Agenda</w:t>
      </w:r>
      <w:r w:rsidR="00A61ED4" w:rsidRPr="009550DB">
        <w:rPr>
          <w:rStyle w:val="FootnoteReference"/>
          <w:rFonts w:cs="Arial"/>
          <w:sz w:val="20"/>
          <w:lang w:eastAsia="el-GR"/>
        </w:rPr>
        <w:footnoteReference w:id="2"/>
      </w:r>
      <w:r w:rsidRPr="009550DB">
        <w:rPr>
          <w:rFonts w:cs="Arial"/>
          <w:sz w:val="20"/>
          <w:lang w:eastAsia="el-GR"/>
        </w:rPr>
        <w:t xml:space="preserve">.  </w:t>
      </w:r>
    </w:p>
    <w:p w14:paraId="1D366E56" w14:textId="0E2DD553" w:rsidR="00C4506D" w:rsidRPr="009550DB" w:rsidRDefault="00C4506D" w:rsidP="0071161B">
      <w:pPr>
        <w:pStyle w:val="Abstracttext"/>
        <w:spacing w:after="120" w:line="360" w:lineRule="auto"/>
        <w:ind w:right="-292"/>
        <w:rPr>
          <w:rFonts w:cs="Arial"/>
          <w:b/>
          <w:color w:val="auto"/>
          <w:sz w:val="24"/>
          <w:lang w:eastAsia="el-GR"/>
        </w:rPr>
      </w:pPr>
      <w:r w:rsidRPr="009550DB">
        <w:rPr>
          <w:rFonts w:cs="Arial"/>
          <w:b/>
          <w:color w:val="auto"/>
          <w:sz w:val="24"/>
          <w:lang w:eastAsia="el-GR"/>
        </w:rPr>
        <w:t>Value added of study</w:t>
      </w:r>
    </w:p>
    <w:p w14:paraId="4C0EF1C6" w14:textId="2D17D082" w:rsidR="00D06494" w:rsidRPr="009550DB" w:rsidRDefault="00D06494" w:rsidP="0071161B">
      <w:pPr>
        <w:spacing w:before="120" w:after="120" w:line="276" w:lineRule="auto"/>
        <w:ind w:right="237" w:firstLine="0"/>
        <w:rPr>
          <w:rFonts w:cs="Arial"/>
          <w:sz w:val="20"/>
          <w:lang w:eastAsia="el-GR"/>
        </w:rPr>
      </w:pPr>
      <w:r w:rsidRPr="009550DB">
        <w:rPr>
          <w:rFonts w:cs="Arial"/>
          <w:sz w:val="20"/>
          <w:lang w:eastAsia="el-GR"/>
        </w:rPr>
        <w:t>Previous studies</w:t>
      </w:r>
      <w:r w:rsidR="00F42D72" w:rsidRPr="009550DB">
        <w:rPr>
          <w:rFonts w:cs="Arial"/>
          <w:sz w:val="20"/>
          <w:lang w:eastAsia="el-GR"/>
        </w:rPr>
        <w:t xml:space="preserve"> focussed on estimation of automation risk in labour markets</w:t>
      </w:r>
      <w:r w:rsidRPr="009550DB">
        <w:rPr>
          <w:rFonts w:cs="Arial"/>
          <w:sz w:val="20"/>
          <w:lang w:eastAsia="el-GR"/>
        </w:rPr>
        <w:t xml:space="preserve"> have relied on representative survey data from individual workers, such as the OECD’s PIAAC survey </w:t>
      </w:r>
      <w:r w:rsidR="00F42D72" w:rsidRPr="009550DB">
        <w:rPr>
          <w:rFonts w:cs="Arial"/>
          <w:sz w:val="20"/>
          <w:lang w:eastAsia="el-GR"/>
        </w:rPr>
        <w:t>(</w:t>
      </w:r>
      <w:proofErr w:type="spellStart"/>
      <w:r w:rsidR="00F42D72" w:rsidRPr="009550DB">
        <w:rPr>
          <w:rFonts w:cs="Arial"/>
          <w:sz w:val="20"/>
          <w:lang w:eastAsia="el-GR"/>
        </w:rPr>
        <w:t>Artnz</w:t>
      </w:r>
      <w:proofErr w:type="spellEnd"/>
      <w:r w:rsidR="00F42D72" w:rsidRPr="009550DB">
        <w:rPr>
          <w:rFonts w:cs="Arial"/>
          <w:sz w:val="20"/>
          <w:lang w:eastAsia="el-GR"/>
        </w:rPr>
        <w:t xml:space="preserve"> et al., 201</w:t>
      </w:r>
      <w:r w:rsidR="001A18A2" w:rsidRPr="009550DB">
        <w:rPr>
          <w:rFonts w:cs="Arial"/>
          <w:sz w:val="20"/>
          <w:lang w:eastAsia="el-GR"/>
        </w:rPr>
        <w:t>7</w:t>
      </w:r>
      <w:r w:rsidR="00F42D72" w:rsidRPr="009550DB">
        <w:rPr>
          <w:rFonts w:cs="Arial"/>
          <w:sz w:val="20"/>
          <w:lang w:eastAsia="el-GR"/>
        </w:rPr>
        <w:t xml:space="preserve">; </w:t>
      </w:r>
      <w:proofErr w:type="spellStart"/>
      <w:r w:rsidR="00F42D72" w:rsidRPr="009550DB">
        <w:rPr>
          <w:rFonts w:cs="Arial"/>
          <w:sz w:val="20"/>
          <w:lang w:eastAsia="el-GR"/>
        </w:rPr>
        <w:t>Nedelkoska</w:t>
      </w:r>
      <w:proofErr w:type="spellEnd"/>
      <w:r w:rsidR="00F42D72" w:rsidRPr="009550DB">
        <w:rPr>
          <w:rFonts w:cs="Arial"/>
          <w:sz w:val="20"/>
          <w:lang w:eastAsia="el-GR"/>
        </w:rPr>
        <w:t xml:space="preserve"> and </w:t>
      </w:r>
      <w:proofErr w:type="spellStart"/>
      <w:r w:rsidR="00F42D72" w:rsidRPr="009550DB">
        <w:rPr>
          <w:rFonts w:cs="Arial"/>
          <w:sz w:val="20"/>
          <w:lang w:eastAsia="el-GR"/>
        </w:rPr>
        <w:t>Quintini</w:t>
      </w:r>
      <w:proofErr w:type="spellEnd"/>
      <w:r w:rsidR="00F42D72" w:rsidRPr="009550DB">
        <w:rPr>
          <w:rFonts w:cs="Arial"/>
          <w:sz w:val="20"/>
          <w:lang w:eastAsia="el-GR"/>
        </w:rPr>
        <w:t>, 2018) a</w:t>
      </w:r>
      <w:r w:rsidRPr="009550DB">
        <w:rPr>
          <w:rFonts w:cs="Arial"/>
          <w:sz w:val="20"/>
          <w:lang w:eastAsia="el-GR"/>
        </w:rPr>
        <w:t>nd the Cedefop European skills and jobs survey (ESJS)</w:t>
      </w:r>
      <w:r w:rsidR="00F42D72" w:rsidRPr="009550DB">
        <w:rPr>
          <w:rFonts w:cs="Arial"/>
          <w:sz w:val="20"/>
          <w:lang w:eastAsia="el-GR"/>
        </w:rPr>
        <w:t xml:space="preserve"> (</w:t>
      </w:r>
      <w:proofErr w:type="spellStart"/>
      <w:r w:rsidR="00F42D72" w:rsidRPr="009550DB">
        <w:rPr>
          <w:rFonts w:cs="Arial"/>
          <w:sz w:val="20"/>
          <w:lang w:eastAsia="el-GR"/>
        </w:rPr>
        <w:t>Pouliakas,</w:t>
      </w:r>
      <w:proofErr w:type="spellEnd"/>
      <w:r w:rsidR="00F42D72" w:rsidRPr="009550DB">
        <w:rPr>
          <w:rFonts w:cs="Arial"/>
          <w:sz w:val="20"/>
          <w:lang w:eastAsia="el-GR"/>
        </w:rPr>
        <w:t xml:space="preserve"> 2018). Such studies have sought to</w:t>
      </w:r>
      <w:r w:rsidRPr="009550DB">
        <w:rPr>
          <w:rFonts w:cs="Arial"/>
          <w:sz w:val="20"/>
          <w:lang w:eastAsia="el-GR"/>
        </w:rPr>
        <w:t xml:space="preserve"> detect the latent relationship between the risk of automation and a limited set of broad skill groups and tasks. </w:t>
      </w:r>
      <w:r w:rsidR="00C4506D" w:rsidRPr="009550DB">
        <w:rPr>
          <w:rFonts w:cs="Arial"/>
          <w:sz w:val="20"/>
          <w:lang w:eastAsia="el-GR"/>
        </w:rPr>
        <w:t>S</w:t>
      </w:r>
      <w:r w:rsidRPr="009550DB">
        <w:rPr>
          <w:rFonts w:cs="Arial"/>
          <w:sz w:val="20"/>
          <w:lang w:eastAsia="el-GR"/>
        </w:rPr>
        <w:t xml:space="preserve">uch analyses have </w:t>
      </w:r>
      <w:r w:rsidR="00F42D72" w:rsidRPr="009550DB">
        <w:rPr>
          <w:rFonts w:cs="Arial"/>
          <w:sz w:val="20"/>
          <w:lang w:eastAsia="el-GR"/>
        </w:rPr>
        <w:t xml:space="preserve">enriched the original occupational estimates of Frey and Osborne by </w:t>
      </w:r>
      <w:r w:rsidRPr="009550DB">
        <w:rPr>
          <w:rFonts w:cs="Arial"/>
          <w:sz w:val="20"/>
          <w:lang w:eastAsia="el-GR"/>
        </w:rPr>
        <w:t>adopt</w:t>
      </w:r>
      <w:r w:rsidR="00F42D72" w:rsidRPr="009550DB">
        <w:rPr>
          <w:rFonts w:cs="Arial"/>
          <w:sz w:val="20"/>
          <w:lang w:eastAsia="el-GR"/>
        </w:rPr>
        <w:t>ing</w:t>
      </w:r>
      <w:r w:rsidRPr="009550DB">
        <w:rPr>
          <w:rFonts w:cs="Arial"/>
          <w:sz w:val="20"/>
          <w:lang w:eastAsia="el-GR"/>
        </w:rPr>
        <w:t xml:space="preserve"> a task- or skill-needs approach</w:t>
      </w:r>
      <w:r w:rsidR="00C4506D" w:rsidRPr="009550DB">
        <w:rPr>
          <w:rFonts w:cs="Arial"/>
          <w:sz w:val="20"/>
          <w:lang w:eastAsia="el-GR"/>
        </w:rPr>
        <w:t>.</w:t>
      </w:r>
      <w:r w:rsidR="0071161B" w:rsidRPr="009550DB">
        <w:rPr>
          <w:rFonts w:cs="Arial"/>
          <w:sz w:val="20"/>
          <w:lang w:eastAsia="el-GR"/>
        </w:rPr>
        <w:t xml:space="preserve"> </w:t>
      </w:r>
      <w:r w:rsidR="00C4506D" w:rsidRPr="009550DB">
        <w:rPr>
          <w:rFonts w:cs="Arial"/>
          <w:sz w:val="20"/>
          <w:lang w:eastAsia="el-GR"/>
        </w:rPr>
        <w:t>However</w:t>
      </w:r>
      <w:r w:rsidRPr="009550DB">
        <w:rPr>
          <w:rFonts w:cs="Arial"/>
          <w:sz w:val="20"/>
          <w:lang w:eastAsia="el-GR"/>
        </w:rPr>
        <w:t xml:space="preserve">, their </w:t>
      </w:r>
      <w:r w:rsidR="00F42D72" w:rsidRPr="009550DB">
        <w:rPr>
          <w:rFonts w:cs="Arial"/>
          <w:sz w:val="20"/>
          <w:lang w:eastAsia="el-GR"/>
        </w:rPr>
        <w:t xml:space="preserve">main </w:t>
      </w:r>
      <w:r w:rsidRPr="009550DB">
        <w:rPr>
          <w:rFonts w:cs="Arial"/>
          <w:sz w:val="20"/>
          <w:lang w:eastAsia="el-GR"/>
        </w:rPr>
        <w:t xml:space="preserve">conclusions regarding the skills and tasks </w:t>
      </w:r>
      <w:r w:rsidR="00F42D72" w:rsidRPr="009550DB">
        <w:rPr>
          <w:rFonts w:cs="Arial"/>
          <w:sz w:val="20"/>
          <w:lang w:eastAsia="el-GR"/>
        </w:rPr>
        <w:t>with</w:t>
      </w:r>
      <w:r w:rsidRPr="009550DB">
        <w:rPr>
          <w:rFonts w:cs="Arial"/>
          <w:sz w:val="20"/>
          <w:lang w:eastAsia="el-GR"/>
        </w:rPr>
        <w:t xml:space="preserve"> higher probability of automation </w:t>
      </w:r>
      <w:r w:rsidRPr="009550DB">
        <w:rPr>
          <w:rFonts w:cs="Arial"/>
          <w:sz w:val="20"/>
          <w:lang w:eastAsia="el-GR"/>
        </w:rPr>
        <w:lastRenderedPageBreak/>
        <w:t>have been relatively generic</w:t>
      </w:r>
      <w:r w:rsidR="00F42D72" w:rsidRPr="009550DB">
        <w:rPr>
          <w:rFonts w:cs="Arial"/>
          <w:sz w:val="20"/>
          <w:lang w:eastAsia="el-GR"/>
        </w:rPr>
        <w:t xml:space="preserve"> and predictions are made at high</w:t>
      </w:r>
      <w:r w:rsidR="0071161B" w:rsidRPr="009550DB">
        <w:rPr>
          <w:rFonts w:cs="Arial"/>
          <w:sz w:val="20"/>
          <w:lang w:eastAsia="el-GR"/>
        </w:rPr>
        <w:t>er (2-digit)</w:t>
      </w:r>
      <w:r w:rsidR="00F42D72" w:rsidRPr="009550DB">
        <w:rPr>
          <w:rFonts w:cs="Arial"/>
          <w:sz w:val="20"/>
          <w:lang w:eastAsia="el-GR"/>
        </w:rPr>
        <w:t xml:space="preserve"> occupational level</w:t>
      </w:r>
      <w:r w:rsidR="00C4506D" w:rsidRPr="009550DB">
        <w:rPr>
          <w:rFonts w:cs="Arial"/>
          <w:sz w:val="20"/>
          <w:lang w:eastAsia="el-GR"/>
        </w:rPr>
        <w:t>,</w:t>
      </w:r>
      <w:r w:rsidR="00F42D72" w:rsidRPr="009550DB">
        <w:rPr>
          <w:rFonts w:cs="Arial"/>
          <w:sz w:val="20"/>
          <w:lang w:eastAsia="el-GR"/>
        </w:rPr>
        <w:t xml:space="preserve"> due to data constraints associated with conventional labour market surveys</w:t>
      </w:r>
      <w:r w:rsidRPr="009550DB">
        <w:rPr>
          <w:rFonts w:cs="Arial"/>
          <w:sz w:val="20"/>
          <w:lang w:eastAsia="el-GR"/>
        </w:rPr>
        <w:t xml:space="preserve">. </w:t>
      </w:r>
    </w:p>
    <w:p w14:paraId="725A860B" w14:textId="0A729A7F" w:rsidR="00D06494" w:rsidRPr="009550DB" w:rsidRDefault="00D06494" w:rsidP="00CA054A">
      <w:pPr>
        <w:spacing w:before="120" w:after="240" w:line="276" w:lineRule="auto"/>
        <w:ind w:right="238" w:firstLine="0"/>
        <w:rPr>
          <w:rFonts w:cs="Arial"/>
          <w:sz w:val="20"/>
          <w:lang w:eastAsia="el-GR"/>
        </w:rPr>
      </w:pPr>
      <w:r w:rsidRPr="009550DB">
        <w:rPr>
          <w:rFonts w:cs="Arial"/>
          <w:sz w:val="20"/>
          <w:lang w:eastAsia="el-GR"/>
        </w:rPr>
        <w:t xml:space="preserve">The current study utilises instead </w:t>
      </w:r>
      <w:r w:rsidR="00F42D72" w:rsidRPr="009550DB">
        <w:rPr>
          <w:rFonts w:cs="Arial"/>
          <w:sz w:val="20"/>
          <w:lang w:eastAsia="el-GR"/>
        </w:rPr>
        <w:t xml:space="preserve">a </w:t>
      </w:r>
      <w:r w:rsidRPr="009550DB">
        <w:rPr>
          <w:rFonts w:cs="Arial"/>
          <w:sz w:val="20"/>
          <w:lang w:eastAsia="el-GR"/>
        </w:rPr>
        <w:t xml:space="preserve">novel </w:t>
      </w:r>
      <w:r w:rsidR="00F42D72" w:rsidRPr="009550DB">
        <w:rPr>
          <w:rFonts w:cs="Arial"/>
          <w:i/>
          <w:sz w:val="20"/>
          <w:lang w:eastAsia="el-GR"/>
        </w:rPr>
        <w:t>big dataset</w:t>
      </w:r>
      <w:r w:rsidR="00F42D72" w:rsidRPr="009550DB">
        <w:rPr>
          <w:rFonts w:cs="Arial"/>
          <w:sz w:val="20"/>
          <w:lang w:eastAsia="el-GR"/>
        </w:rPr>
        <w:t xml:space="preserve"> which contains information</w:t>
      </w:r>
      <w:r w:rsidRPr="009550DB">
        <w:rPr>
          <w:rFonts w:cs="Arial"/>
          <w:sz w:val="20"/>
          <w:lang w:eastAsia="el-GR"/>
        </w:rPr>
        <w:t xml:space="preserve"> on the skills and work activities required by EU employers</w:t>
      </w:r>
      <w:r w:rsidR="00F42D72" w:rsidRPr="009550DB">
        <w:rPr>
          <w:rFonts w:cs="Arial"/>
          <w:sz w:val="20"/>
          <w:lang w:eastAsia="el-GR"/>
        </w:rPr>
        <w:t>,</w:t>
      </w:r>
      <w:r w:rsidRPr="009550DB">
        <w:rPr>
          <w:rFonts w:cs="Arial"/>
          <w:sz w:val="20"/>
          <w:lang w:eastAsia="el-GR"/>
        </w:rPr>
        <w:t xml:space="preserve"> </w:t>
      </w:r>
      <w:r w:rsidR="00F42D72" w:rsidRPr="009550DB">
        <w:rPr>
          <w:rFonts w:cs="Arial"/>
          <w:sz w:val="20"/>
          <w:lang w:eastAsia="el-GR"/>
        </w:rPr>
        <w:t xml:space="preserve">enabling </w:t>
      </w:r>
      <w:r w:rsidR="0071161B" w:rsidRPr="009550DB">
        <w:rPr>
          <w:rFonts w:cs="Arial"/>
          <w:sz w:val="20"/>
          <w:lang w:eastAsia="el-GR"/>
        </w:rPr>
        <w:t xml:space="preserve">in-depth </w:t>
      </w:r>
      <w:r w:rsidR="00F42D72" w:rsidRPr="009550DB">
        <w:rPr>
          <w:rFonts w:cs="Arial"/>
          <w:sz w:val="20"/>
          <w:lang w:eastAsia="el-GR"/>
        </w:rPr>
        <w:t>understanding of</w:t>
      </w:r>
      <w:r w:rsidRPr="009550DB">
        <w:rPr>
          <w:rFonts w:cs="Arial"/>
          <w:sz w:val="20"/>
          <w:lang w:eastAsia="el-GR"/>
        </w:rPr>
        <w:t xml:space="preserve"> the </w:t>
      </w:r>
      <w:r w:rsidR="00F42D72" w:rsidRPr="009550DB">
        <w:rPr>
          <w:rFonts w:cs="Arial"/>
          <w:sz w:val="20"/>
          <w:lang w:eastAsia="el-GR"/>
        </w:rPr>
        <w:t xml:space="preserve">detailed </w:t>
      </w:r>
      <w:r w:rsidRPr="009550DB">
        <w:rPr>
          <w:rFonts w:cs="Arial"/>
          <w:sz w:val="20"/>
          <w:lang w:eastAsia="el-GR"/>
        </w:rPr>
        <w:t xml:space="preserve">skills and task profiles of </w:t>
      </w:r>
      <w:r w:rsidR="00F42D72" w:rsidRPr="009550DB">
        <w:rPr>
          <w:rFonts w:cs="Arial"/>
          <w:sz w:val="20"/>
          <w:lang w:eastAsia="el-GR"/>
        </w:rPr>
        <w:t>narrow</w:t>
      </w:r>
      <w:r w:rsidRPr="009550DB">
        <w:rPr>
          <w:rFonts w:cs="Arial"/>
          <w:sz w:val="20"/>
          <w:lang w:eastAsia="el-GR"/>
        </w:rPr>
        <w:t xml:space="preserve"> occupational groups that may be rendered automatable by machine learning algorithms. Specifically, the research utilises </w:t>
      </w:r>
      <w:r w:rsidR="00F42D72" w:rsidRPr="009550DB">
        <w:rPr>
          <w:rFonts w:cs="Arial"/>
          <w:sz w:val="20"/>
          <w:lang w:eastAsia="el-GR"/>
        </w:rPr>
        <w:t xml:space="preserve">the </w:t>
      </w:r>
      <w:r w:rsidR="00957F2A" w:rsidRPr="009550DB">
        <w:rPr>
          <w:rFonts w:cs="Arial"/>
          <w:sz w:val="20"/>
          <w:lang w:eastAsia="el-GR"/>
        </w:rPr>
        <w:t>rich</w:t>
      </w:r>
      <w:r w:rsidRPr="009550DB">
        <w:rPr>
          <w:rFonts w:cs="Arial"/>
          <w:sz w:val="20"/>
          <w:lang w:eastAsia="el-GR"/>
        </w:rPr>
        <w:t xml:space="preserve"> data collected as part of </w:t>
      </w:r>
      <w:proofErr w:type="spellStart"/>
      <w:r w:rsidR="00957F2A" w:rsidRPr="009550DB">
        <w:rPr>
          <w:rFonts w:cs="Arial"/>
          <w:sz w:val="20"/>
          <w:lang w:eastAsia="el-GR"/>
        </w:rPr>
        <w:t>Cedefop’s</w:t>
      </w:r>
      <w:proofErr w:type="spellEnd"/>
      <w:r w:rsidR="00957F2A" w:rsidRPr="009550DB">
        <w:rPr>
          <w:rFonts w:cs="Arial"/>
          <w:sz w:val="20"/>
          <w:lang w:eastAsia="el-GR"/>
        </w:rPr>
        <w:t xml:space="preserve"> analysis of online job advertisements (OJAs) in all EU countries, which has manifested in the </w:t>
      </w:r>
      <w:r w:rsidR="00F42D72" w:rsidRPr="009550DB">
        <w:rPr>
          <w:rFonts w:cs="Arial"/>
          <w:sz w:val="20"/>
          <w:lang w:eastAsia="el-GR"/>
        </w:rPr>
        <w:t xml:space="preserve">so-called </w:t>
      </w:r>
      <w:r w:rsidR="00957F2A" w:rsidRPr="009550DB">
        <w:rPr>
          <w:rFonts w:cs="Arial"/>
          <w:i/>
          <w:sz w:val="20"/>
          <w:lang w:eastAsia="el-GR"/>
        </w:rPr>
        <w:t>Online Vacancy Analysis Tool for Europe</w:t>
      </w:r>
      <w:r w:rsidR="00957F2A" w:rsidRPr="009550DB">
        <w:rPr>
          <w:rFonts w:cs="Arial"/>
          <w:sz w:val="20"/>
          <w:lang w:eastAsia="el-GR"/>
        </w:rPr>
        <w:t xml:space="preserve"> (Skills-OVATE) (Cedefop, 2019). Such data facilitate </w:t>
      </w:r>
      <w:r w:rsidR="00BE74C1" w:rsidRPr="009550DB">
        <w:rPr>
          <w:rFonts w:cs="Arial"/>
          <w:sz w:val="20"/>
          <w:lang w:eastAsia="el-GR"/>
        </w:rPr>
        <w:t>investigation</w:t>
      </w:r>
      <w:r w:rsidR="00957F2A" w:rsidRPr="009550DB">
        <w:rPr>
          <w:rFonts w:cs="Arial"/>
          <w:sz w:val="20"/>
          <w:lang w:eastAsia="el-GR"/>
        </w:rPr>
        <w:t xml:space="preserve"> of the</w:t>
      </w:r>
      <w:r w:rsidR="00BE74C1" w:rsidRPr="009550DB">
        <w:rPr>
          <w:rFonts w:cs="Arial"/>
          <w:sz w:val="20"/>
          <w:lang w:eastAsia="el-GR"/>
        </w:rPr>
        <w:t xml:space="preserve"> </w:t>
      </w:r>
      <w:r w:rsidR="00F42D72" w:rsidRPr="009550DB">
        <w:rPr>
          <w:rFonts w:cs="Arial"/>
          <w:sz w:val="20"/>
          <w:lang w:eastAsia="el-GR"/>
        </w:rPr>
        <w:t xml:space="preserve">specific </w:t>
      </w:r>
      <w:r w:rsidR="00BE74C1" w:rsidRPr="009550DB">
        <w:rPr>
          <w:rFonts w:cs="Arial"/>
          <w:sz w:val="20"/>
          <w:lang w:eastAsia="el-GR"/>
        </w:rPr>
        <w:t xml:space="preserve">types of </w:t>
      </w:r>
      <w:r w:rsidR="00957F2A" w:rsidRPr="009550DB">
        <w:rPr>
          <w:rFonts w:cs="Arial"/>
          <w:sz w:val="20"/>
          <w:lang w:eastAsia="el-GR"/>
        </w:rPr>
        <w:t xml:space="preserve">skills and work activities that are associated with </w:t>
      </w:r>
      <w:r w:rsidR="00F42D72" w:rsidRPr="009550DB">
        <w:rPr>
          <w:rFonts w:cs="Arial"/>
          <w:sz w:val="20"/>
          <w:lang w:eastAsia="el-GR"/>
        </w:rPr>
        <w:t>jobs</w:t>
      </w:r>
      <w:r w:rsidR="00957F2A" w:rsidRPr="009550DB">
        <w:rPr>
          <w:rFonts w:cs="Arial"/>
          <w:sz w:val="20"/>
          <w:lang w:eastAsia="el-GR"/>
        </w:rPr>
        <w:t xml:space="preserve"> that </w:t>
      </w:r>
      <w:r w:rsidR="00BE74C1" w:rsidRPr="009550DB">
        <w:rPr>
          <w:rFonts w:cs="Arial"/>
          <w:sz w:val="20"/>
          <w:lang w:eastAsia="el-GR"/>
        </w:rPr>
        <w:t>could be</w:t>
      </w:r>
      <w:r w:rsidR="00957F2A" w:rsidRPr="009550DB">
        <w:rPr>
          <w:rFonts w:cs="Arial"/>
          <w:sz w:val="20"/>
          <w:lang w:eastAsia="el-GR"/>
        </w:rPr>
        <w:t xml:space="preserve"> replaced by smart machines </w:t>
      </w:r>
      <w:proofErr w:type="gramStart"/>
      <w:r w:rsidR="00957F2A" w:rsidRPr="009550DB">
        <w:rPr>
          <w:rFonts w:cs="Arial"/>
          <w:sz w:val="20"/>
          <w:lang w:eastAsia="el-GR"/>
        </w:rPr>
        <w:t>in the near future</w:t>
      </w:r>
      <w:proofErr w:type="gramEnd"/>
      <w:r w:rsidR="00957F2A" w:rsidRPr="009550DB">
        <w:rPr>
          <w:rFonts w:cs="Arial"/>
          <w:sz w:val="20"/>
          <w:lang w:eastAsia="el-GR"/>
        </w:rPr>
        <w:t xml:space="preserve">. In addition, the data </w:t>
      </w:r>
      <w:r w:rsidR="00BE74C1" w:rsidRPr="009550DB">
        <w:rPr>
          <w:rFonts w:cs="Arial"/>
          <w:sz w:val="20"/>
          <w:lang w:eastAsia="el-GR"/>
        </w:rPr>
        <w:t>permits</w:t>
      </w:r>
      <w:r w:rsidR="00957F2A" w:rsidRPr="009550DB">
        <w:rPr>
          <w:rFonts w:cs="Arial"/>
          <w:sz w:val="20"/>
          <w:lang w:eastAsia="el-GR"/>
        </w:rPr>
        <w:t xml:space="preserve"> the detection of </w:t>
      </w:r>
      <w:r w:rsidR="00BE74C1" w:rsidRPr="009550DB">
        <w:rPr>
          <w:rFonts w:cs="Arial"/>
          <w:sz w:val="20"/>
          <w:lang w:eastAsia="el-GR"/>
        </w:rPr>
        <w:t xml:space="preserve">particular </w:t>
      </w:r>
      <w:r w:rsidR="00957F2A" w:rsidRPr="009550DB">
        <w:rPr>
          <w:rFonts w:cs="Arial"/>
          <w:sz w:val="20"/>
          <w:lang w:eastAsia="el-GR"/>
        </w:rPr>
        <w:t>‘task-technology-skills’ bundles which may render themselves immutable to the impact of emerging digital technologies.</w:t>
      </w:r>
    </w:p>
    <w:p w14:paraId="1B566119" w14:textId="000C6744" w:rsidR="00413F67" w:rsidRPr="009550DB" w:rsidRDefault="00413F67" w:rsidP="0071161B">
      <w:pPr>
        <w:pStyle w:val="Abstracttext"/>
        <w:spacing w:after="120"/>
        <w:ind w:right="-292"/>
        <w:rPr>
          <w:rFonts w:cs="Arial"/>
          <w:b/>
          <w:color w:val="auto"/>
          <w:sz w:val="24"/>
          <w:lang w:eastAsia="el-GR"/>
        </w:rPr>
      </w:pPr>
      <w:r w:rsidRPr="009550DB">
        <w:rPr>
          <w:rFonts w:cs="Arial"/>
          <w:b/>
          <w:color w:val="auto"/>
          <w:sz w:val="24"/>
          <w:lang w:eastAsia="el-GR"/>
        </w:rPr>
        <w:t>Research questions</w:t>
      </w:r>
    </w:p>
    <w:p w14:paraId="2BC7C0C2" w14:textId="2E01AC3E" w:rsidR="00D30734" w:rsidRPr="009550DB" w:rsidRDefault="00D30734" w:rsidP="0071161B">
      <w:pPr>
        <w:pStyle w:val="Abstracttext"/>
        <w:spacing w:after="120" w:line="276" w:lineRule="auto"/>
        <w:ind w:right="-292"/>
        <w:rPr>
          <w:rFonts w:cs="Arial"/>
          <w:b/>
          <w:color w:val="auto"/>
          <w:sz w:val="20"/>
          <w:lang w:eastAsia="el-GR"/>
        </w:rPr>
      </w:pPr>
      <w:r w:rsidRPr="009550DB">
        <w:rPr>
          <w:rFonts w:cs="Arial"/>
          <w:color w:val="auto"/>
          <w:sz w:val="20"/>
          <w:lang w:eastAsia="el-GR"/>
        </w:rPr>
        <w:t>Th</w:t>
      </w:r>
      <w:r w:rsidR="00F42D72" w:rsidRPr="009550DB">
        <w:rPr>
          <w:rFonts w:cs="Arial"/>
          <w:color w:val="auto"/>
          <w:sz w:val="20"/>
          <w:lang w:eastAsia="el-GR"/>
        </w:rPr>
        <w:t>is</w:t>
      </w:r>
      <w:r w:rsidRPr="009550DB">
        <w:rPr>
          <w:rFonts w:cs="Arial"/>
          <w:color w:val="auto"/>
          <w:sz w:val="20"/>
          <w:lang w:eastAsia="el-GR"/>
        </w:rPr>
        <w:t xml:space="preserve"> study aims to provide answers to the following research questions:</w:t>
      </w:r>
    </w:p>
    <w:p w14:paraId="6A22AE93" w14:textId="49E5C2F6" w:rsidR="00413F67" w:rsidRPr="009550DB" w:rsidRDefault="00413F67" w:rsidP="0071161B">
      <w:pPr>
        <w:pStyle w:val="ListParagraph"/>
        <w:numPr>
          <w:ilvl w:val="0"/>
          <w:numId w:val="3"/>
        </w:numPr>
        <w:spacing w:before="240" w:after="120" w:line="276" w:lineRule="auto"/>
        <w:ind w:right="-292"/>
        <w:rPr>
          <w:rFonts w:cs="Arial"/>
          <w:sz w:val="20"/>
          <w:lang w:eastAsia="el-GR"/>
        </w:rPr>
      </w:pPr>
      <w:r w:rsidRPr="009550DB">
        <w:rPr>
          <w:rFonts w:cs="Arial"/>
          <w:sz w:val="20"/>
          <w:lang w:eastAsia="el-GR"/>
        </w:rPr>
        <w:t xml:space="preserve">Which </w:t>
      </w:r>
      <w:r w:rsidR="00D30734" w:rsidRPr="009550DB">
        <w:rPr>
          <w:rFonts w:cs="Arial"/>
          <w:sz w:val="20"/>
          <w:lang w:eastAsia="el-GR"/>
        </w:rPr>
        <w:t>occupations are characterised by a high probability of automation? What share of occupational groups in the EU labour market are prone to displacement by emerging digital technologies?</w:t>
      </w:r>
    </w:p>
    <w:p w14:paraId="71379051" w14:textId="1AF2A0E9" w:rsidR="00D30734" w:rsidRPr="009550DB" w:rsidRDefault="00D30734" w:rsidP="0071161B">
      <w:pPr>
        <w:pStyle w:val="ListParagraph"/>
        <w:numPr>
          <w:ilvl w:val="0"/>
          <w:numId w:val="3"/>
        </w:numPr>
        <w:spacing w:before="240" w:after="120" w:line="276" w:lineRule="auto"/>
        <w:ind w:right="-292"/>
        <w:rPr>
          <w:rFonts w:cs="Arial"/>
          <w:sz w:val="20"/>
          <w:lang w:eastAsia="el-GR"/>
        </w:rPr>
      </w:pPr>
      <w:r w:rsidRPr="009550DB">
        <w:rPr>
          <w:rFonts w:cs="Arial"/>
          <w:sz w:val="20"/>
          <w:lang w:eastAsia="el-GR"/>
        </w:rPr>
        <w:t>Which detailed skills are automatable and which not?</w:t>
      </w:r>
    </w:p>
    <w:p w14:paraId="4221D6EB" w14:textId="77777777" w:rsidR="00D30734" w:rsidRPr="009550DB" w:rsidRDefault="00D30734" w:rsidP="0071161B">
      <w:pPr>
        <w:pStyle w:val="ListParagraph"/>
        <w:numPr>
          <w:ilvl w:val="0"/>
          <w:numId w:val="3"/>
        </w:numPr>
        <w:spacing w:before="240" w:after="120" w:line="276" w:lineRule="auto"/>
        <w:ind w:right="-292"/>
        <w:rPr>
          <w:rFonts w:cs="Arial"/>
          <w:sz w:val="20"/>
          <w:lang w:eastAsia="el-GR"/>
        </w:rPr>
      </w:pPr>
      <w:r w:rsidRPr="009550DB">
        <w:rPr>
          <w:rFonts w:cs="Arial"/>
          <w:sz w:val="20"/>
          <w:lang w:eastAsia="el-GR"/>
        </w:rPr>
        <w:t>What clusters of ‘skills-work activities-technologies’ in EU jobs are characterised by higher automatability?</w:t>
      </w:r>
    </w:p>
    <w:p w14:paraId="4F902541" w14:textId="3799641B" w:rsidR="00BA2429" w:rsidRPr="009550DB" w:rsidRDefault="00BA2429" w:rsidP="00CA054A">
      <w:pPr>
        <w:pStyle w:val="ListParagraph"/>
        <w:numPr>
          <w:ilvl w:val="0"/>
          <w:numId w:val="3"/>
        </w:numPr>
        <w:spacing w:before="240" w:after="240" w:line="276" w:lineRule="auto"/>
        <w:ind w:left="1077" w:right="-289" w:hanging="357"/>
        <w:rPr>
          <w:rFonts w:cs="Arial"/>
          <w:sz w:val="20"/>
          <w:lang w:eastAsia="el-GR"/>
        </w:rPr>
      </w:pPr>
      <w:r w:rsidRPr="009550DB">
        <w:rPr>
          <w:rFonts w:cs="Arial"/>
          <w:sz w:val="20"/>
          <w:lang w:eastAsia="el-GR"/>
        </w:rPr>
        <w:t xml:space="preserve">Which </w:t>
      </w:r>
      <w:r w:rsidR="000B653C" w:rsidRPr="009550DB">
        <w:rPr>
          <w:rFonts w:cs="Arial"/>
          <w:sz w:val="20"/>
          <w:lang w:eastAsia="el-GR"/>
        </w:rPr>
        <w:t xml:space="preserve">groups of </w:t>
      </w:r>
      <w:r w:rsidRPr="009550DB">
        <w:rPr>
          <w:rFonts w:cs="Arial"/>
          <w:sz w:val="20"/>
          <w:lang w:eastAsia="el-GR"/>
        </w:rPr>
        <w:t>occupations should be targeted by employment and up-skilling/reskilling policies?</w:t>
      </w:r>
    </w:p>
    <w:p w14:paraId="49D0EC1B" w14:textId="77777777" w:rsidR="00413F67" w:rsidRPr="009550DB" w:rsidRDefault="00413F67" w:rsidP="0071161B">
      <w:pPr>
        <w:pStyle w:val="Abstracttext"/>
        <w:spacing w:after="120" w:line="360" w:lineRule="auto"/>
        <w:ind w:right="-292"/>
        <w:rPr>
          <w:rFonts w:cs="Arial"/>
          <w:b/>
          <w:color w:val="auto"/>
          <w:sz w:val="24"/>
          <w:lang w:eastAsia="el-GR"/>
        </w:rPr>
      </w:pPr>
      <w:r w:rsidRPr="009550DB">
        <w:rPr>
          <w:rFonts w:cs="Arial"/>
          <w:b/>
          <w:color w:val="auto"/>
          <w:sz w:val="24"/>
          <w:lang w:eastAsia="el-GR"/>
        </w:rPr>
        <w:t>Methodology</w:t>
      </w:r>
    </w:p>
    <w:p w14:paraId="0611D2EE" w14:textId="56CACFA2" w:rsidR="00174018" w:rsidRPr="009550DB" w:rsidRDefault="00413F67" w:rsidP="0071161B">
      <w:pPr>
        <w:spacing w:after="120" w:line="276" w:lineRule="auto"/>
        <w:ind w:firstLine="0"/>
        <w:rPr>
          <w:rFonts w:cs="Arial"/>
          <w:sz w:val="20"/>
        </w:rPr>
      </w:pPr>
      <w:r w:rsidRPr="009550DB">
        <w:rPr>
          <w:rFonts w:cs="Arial"/>
          <w:sz w:val="20"/>
        </w:rPr>
        <w:t xml:space="preserve">This paper </w:t>
      </w:r>
      <w:r w:rsidR="00D30734" w:rsidRPr="009550DB">
        <w:rPr>
          <w:rFonts w:cs="Arial"/>
          <w:sz w:val="20"/>
        </w:rPr>
        <w:t>utilises d</w:t>
      </w:r>
      <w:r w:rsidR="00174018" w:rsidRPr="009550DB">
        <w:rPr>
          <w:rFonts w:cs="Arial"/>
          <w:sz w:val="20"/>
        </w:rPr>
        <w:t>etailed data on occupations (at 4-digit level), skills</w:t>
      </w:r>
      <w:r w:rsidR="00BE74C1" w:rsidRPr="009550DB">
        <w:rPr>
          <w:rFonts w:cs="Arial"/>
          <w:sz w:val="20"/>
        </w:rPr>
        <w:t>,</w:t>
      </w:r>
      <w:r w:rsidR="00174018" w:rsidRPr="009550DB">
        <w:rPr>
          <w:rFonts w:cs="Arial"/>
          <w:sz w:val="20"/>
        </w:rPr>
        <w:t xml:space="preserve"> work activities</w:t>
      </w:r>
      <w:r w:rsidR="00BE74C1" w:rsidRPr="009550DB">
        <w:rPr>
          <w:rFonts w:cs="Arial"/>
          <w:sz w:val="20"/>
        </w:rPr>
        <w:t xml:space="preserve"> and technologies</w:t>
      </w:r>
      <w:r w:rsidR="00174018" w:rsidRPr="009550DB">
        <w:rPr>
          <w:rFonts w:cs="Arial"/>
          <w:sz w:val="20"/>
        </w:rPr>
        <w:t xml:space="preserve"> </w:t>
      </w:r>
      <w:r w:rsidR="00D30734" w:rsidRPr="009550DB">
        <w:rPr>
          <w:rFonts w:cs="Arial"/>
          <w:sz w:val="20"/>
        </w:rPr>
        <w:t xml:space="preserve">from </w:t>
      </w:r>
      <w:proofErr w:type="spellStart"/>
      <w:r w:rsidR="00D30734" w:rsidRPr="009550DB">
        <w:rPr>
          <w:rFonts w:cs="Arial"/>
          <w:sz w:val="20"/>
        </w:rPr>
        <w:t>Cedefop’s</w:t>
      </w:r>
      <w:proofErr w:type="spellEnd"/>
      <w:r w:rsidR="00D30734" w:rsidRPr="009550DB">
        <w:rPr>
          <w:rFonts w:cs="Arial"/>
          <w:sz w:val="20"/>
        </w:rPr>
        <w:t xml:space="preserve"> OVATE</w:t>
      </w:r>
      <w:r w:rsidR="00174018" w:rsidRPr="009550DB">
        <w:rPr>
          <w:rFonts w:cs="Arial"/>
          <w:sz w:val="20"/>
        </w:rPr>
        <w:t xml:space="preserve">. For the purposes of the analysis we deploy a </w:t>
      </w:r>
      <w:r w:rsidR="00F42D72" w:rsidRPr="009550DB">
        <w:rPr>
          <w:rFonts w:cs="Arial"/>
          <w:sz w:val="20"/>
        </w:rPr>
        <w:t xml:space="preserve">new </w:t>
      </w:r>
      <w:r w:rsidR="00174018" w:rsidRPr="009550DB">
        <w:rPr>
          <w:rFonts w:cs="Arial"/>
          <w:sz w:val="20"/>
        </w:rPr>
        <w:t>version of OVATE that has been classified using the O*NET hierarchical structure. Specifically, all detailed skills collected as part of the OJA have been allocated to the following O*NET taxonomy:</w:t>
      </w:r>
      <w:r w:rsidR="00C4506D" w:rsidRPr="009550DB">
        <w:rPr>
          <w:rFonts w:cs="Arial"/>
          <w:sz w:val="20"/>
        </w:rPr>
        <w:t xml:space="preserve"> </w:t>
      </w:r>
      <w:r w:rsidR="00174018" w:rsidRPr="009550DB">
        <w:rPr>
          <w:rFonts w:cs="Arial"/>
          <w:b/>
          <w:sz w:val="20"/>
        </w:rPr>
        <w:t>Abilities</w:t>
      </w:r>
      <w:r w:rsidR="00174018" w:rsidRPr="009550DB">
        <w:rPr>
          <w:rFonts w:cs="Arial"/>
          <w:sz w:val="20"/>
        </w:rPr>
        <w:t xml:space="preserve"> (e.g. originality, fluency of ideas, oral expression etc.)</w:t>
      </w:r>
      <w:r w:rsidR="00C4506D" w:rsidRPr="009550DB">
        <w:rPr>
          <w:rFonts w:cs="Arial"/>
          <w:sz w:val="20"/>
        </w:rPr>
        <w:t xml:space="preserve">; </w:t>
      </w:r>
      <w:r w:rsidR="00174018" w:rsidRPr="009550DB">
        <w:rPr>
          <w:rFonts w:cs="Arial"/>
          <w:b/>
          <w:sz w:val="20"/>
        </w:rPr>
        <w:t>Knowledge</w:t>
      </w:r>
      <w:r w:rsidR="00174018" w:rsidRPr="009550DB">
        <w:rPr>
          <w:rFonts w:cs="Arial"/>
          <w:sz w:val="20"/>
        </w:rPr>
        <w:t xml:space="preserve"> (e.g. language, computers and electronics, sales and marketing, personnel and human resources, administration and management etc.)</w:t>
      </w:r>
      <w:r w:rsidR="00C4506D" w:rsidRPr="009550DB">
        <w:rPr>
          <w:rFonts w:cs="Arial"/>
          <w:sz w:val="20"/>
        </w:rPr>
        <w:t xml:space="preserve">; </w:t>
      </w:r>
      <w:r w:rsidR="00174018" w:rsidRPr="009550DB">
        <w:rPr>
          <w:rFonts w:cs="Arial"/>
          <w:b/>
          <w:sz w:val="20"/>
        </w:rPr>
        <w:t>Technology</w:t>
      </w:r>
      <w:r w:rsidR="00174018" w:rsidRPr="009550DB">
        <w:rPr>
          <w:rFonts w:cs="Arial"/>
          <w:sz w:val="20"/>
        </w:rPr>
        <w:t xml:space="preserve"> (e.g. office suite software, web platform development, object or component oriented development software etc.)</w:t>
      </w:r>
      <w:r w:rsidR="00C4506D" w:rsidRPr="009550DB">
        <w:rPr>
          <w:rFonts w:cs="Arial"/>
          <w:sz w:val="20"/>
        </w:rPr>
        <w:t xml:space="preserve">; </w:t>
      </w:r>
      <w:r w:rsidR="00174018" w:rsidRPr="009550DB">
        <w:rPr>
          <w:rFonts w:cs="Arial"/>
          <w:b/>
          <w:sz w:val="20"/>
        </w:rPr>
        <w:t>Skills</w:t>
      </w:r>
      <w:r w:rsidR="00174018" w:rsidRPr="009550DB">
        <w:rPr>
          <w:rFonts w:cs="Arial"/>
          <w:sz w:val="20"/>
        </w:rPr>
        <w:t xml:space="preserve"> (e.g. complex problem solving, time management, programming, management of financial resources, etc.)</w:t>
      </w:r>
      <w:r w:rsidR="00C4506D" w:rsidRPr="009550DB">
        <w:rPr>
          <w:rFonts w:cs="Arial"/>
          <w:sz w:val="20"/>
        </w:rPr>
        <w:t xml:space="preserve">; </w:t>
      </w:r>
      <w:r w:rsidR="00174018" w:rsidRPr="009550DB">
        <w:rPr>
          <w:rFonts w:cs="Arial"/>
          <w:b/>
          <w:sz w:val="20"/>
        </w:rPr>
        <w:t>Work activities</w:t>
      </w:r>
      <w:r w:rsidR="00174018" w:rsidRPr="009550DB">
        <w:rPr>
          <w:rFonts w:cs="Arial"/>
          <w:sz w:val="20"/>
        </w:rPr>
        <w:t xml:space="preserve"> (e.g. interacting with computers, organising, planning and prioritising work, thinking creatively, assisting and caring for others, communicating with persons outside organisation, handling and moving objects, controlling machines and processes etc.)</w:t>
      </w:r>
      <w:r w:rsidR="00C4506D" w:rsidRPr="009550DB">
        <w:rPr>
          <w:rFonts w:cs="Arial"/>
          <w:sz w:val="20"/>
        </w:rPr>
        <w:t xml:space="preserve">; </w:t>
      </w:r>
      <w:r w:rsidR="00174018" w:rsidRPr="009550DB">
        <w:rPr>
          <w:rFonts w:cs="Arial"/>
          <w:b/>
          <w:sz w:val="20"/>
        </w:rPr>
        <w:t>Work styles</w:t>
      </w:r>
      <w:r w:rsidR="00174018" w:rsidRPr="009550DB">
        <w:rPr>
          <w:rFonts w:cs="Arial"/>
          <w:sz w:val="20"/>
        </w:rPr>
        <w:t xml:space="preserve"> (e.g. adaptability, cooperation, initiative, dependability etc.)</w:t>
      </w:r>
      <w:r w:rsidR="00C4506D" w:rsidRPr="009550DB">
        <w:rPr>
          <w:rFonts w:cs="Arial"/>
          <w:sz w:val="20"/>
        </w:rPr>
        <w:t>.</w:t>
      </w:r>
      <w:r w:rsidR="00C4506D" w:rsidRPr="009550DB">
        <w:rPr>
          <w:rStyle w:val="FootnoteReference"/>
          <w:rFonts w:cs="Arial"/>
          <w:sz w:val="20"/>
        </w:rPr>
        <w:footnoteReference w:id="3"/>
      </w:r>
    </w:p>
    <w:p w14:paraId="7F435B4D" w14:textId="3D8C52F1" w:rsidR="004A7E9F" w:rsidRPr="009550DB" w:rsidRDefault="004A7E9F" w:rsidP="0071161B">
      <w:pPr>
        <w:spacing w:after="120" w:line="276" w:lineRule="auto"/>
        <w:ind w:firstLine="0"/>
        <w:rPr>
          <w:rFonts w:cs="Arial"/>
          <w:sz w:val="20"/>
        </w:rPr>
      </w:pPr>
      <w:r w:rsidRPr="009550DB">
        <w:rPr>
          <w:rFonts w:cs="Arial"/>
          <w:sz w:val="20"/>
        </w:rPr>
        <w:t xml:space="preserve">Each skill term </w:t>
      </w:r>
      <w:r w:rsidR="00A853C0" w:rsidRPr="009550DB">
        <w:rPr>
          <w:rFonts w:cs="Arial"/>
          <w:sz w:val="20"/>
        </w:rPr>
        <w:t>is</w:t>
      </w:r>
      <w:r w:rsidRPr="009550DB">
        <w:rPr>
          <w:rFonts w:cs="Arial"/>
          <w:sz w:val="20"/>
        </w:rPr>
        <w:t xml:space="preserve"> mapped to 4-digit ISCO occupational groups. We use the 3rd level of the hierarchy, corresponding to a total of 142 relatively broad ‘skill </w:t>
      </w:r>
      <w:proofErr w:type="gramStart"/>
      <w:r w:rsidRPr="009550DB">
        <w:rPr>
          <w:rFonts w:cs="Arial"/>
          <w:sz w:val="20"/>
        </w:rPr>
        <w:t>clusters’</w:t>
      </w:r>
      <w:proofErr w:type="gramEnd"/>
      <w:r w:rsidRPr="009550DB">
        <w:rPr>
          <w:rFonts w:cs="Arial"/>
          <w:sz w:val="20"/>
        </w:rPr>
        <w:t>. We calculate for each skill cluster the ‘skills intensity’ per 4-digit occupation group:</w:t>
      </w:r>
    </w:p>
    <w:p w14:paraId="6721266A" w14:textId="68AB7730" w:rsidR="004A7E9F" w:rsidRPr="009550DB" w:rsidRDefault="00A62859" w:rsidP="0071161B">
      <w:pPr>
        <w:spacing w:after="120" w:line="276" w:lineRule="auto"/>
        <w:jc w:val="center"/>
        <w:rPr>
          <w:rFonts w:cs="Arial"/>
          <w:sz w:val="20"/>
        </w:rPr>
      </w:pPr>
      <m:oMath>
        <m:sSup>
          <m:sSupPr>
            <m:ctrlPr>
              <w:rPr>
                <w:rFonts w:ascii="Cambria Math" w:hAnsi="Cambria Math" w:cs="Arial"/>
                <w:i/>
                <w:sz w:val="20"/>
              </w:rPr>
            </m:ctrlPr>
          </m:sSupPr>
          <m:e>
            <m:r>
              <w:rPr>
                <w:rFonts w:ascii="Cambria Math" w:hAnsi="Cambria Math" w:cs="Arial"/>
                <w:sz w:val="20"/>
              </w:rPr>
              <m:t>S</m:t>
            </m:r>
          </m:e>
          <m:sup>
            <m:r>
              <w:rPr>
                <w:rFonts w:ascii="Cambria Math" w:hAnsi="Cambria Math" w:cs="Arial"/>
                <w:sz w:val="20"/>
              </w:rPr>
              <m:t>I</m:t>
            </m:r>
          </m:sup>
        </m:sSup>
        <m:r>
          <w:rPr>
            <w:rFonts w:ascii="Cambria Math" w:hAnsi="Cambria Math" w:cs="Arial"/>
            <w:sz w:val="20"/>
          </w:rPr>
          <m:t xml:space="preserve">= </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S</m:t>
                </m:r>
              </m:e>
              <m:sub>
                <m:r>
                  <w:rPr>
                    <w:rFonts w:ascii="Cambria Math" w:hAnsi="Cambria Math" w:cs="Arial"/>
                    <w:sz w:val="20"/>
                  </w:rPr>
                  <m:t>io</m:t>
                </m:r>
              </m:sub>
            </m:sSub>
          </m:num>
          <m:den>
            <m:sSub>
              <m:sSubPr>
                <m:ctrlPr>
                  <w:rPr>
                    <w:rFonts w:ascii="Cambria Math" w:hAnsi="Cambria Math" w:cs="Arial"/>
                    <w:i/>
                    <w:sz w:val="20"/>
                  </w:rPr>
                </m:ctrlPr>
              </m:sSubPr>
              <m:e>
                <m:r>
                  <w:rPr>
                    <w:rFonts w:ascii="Cambria Math" w:hAnsi="Cambria Math" w:cs="Arial"/>
                    <w:sz w:val="20"/>
                  </w:rPr>
                  <m:t>S</m:t>
                </m:r>
              </m:e>
              <m:sub>
                <m:r>
                  <w:rPr>
                    <w:rFonts w:ascii="Cambria Math" w:hAnsi="Cambria Math" w:cs="Arial"/>
                    <w:sz w:val="20"/>
                  </w:rPr>
                  <m:t>o</m:t>
                </m:r>
              </m:sub>
            </m:sSub>
          </m:den>
        </m:f>
      </m:oMath>
      <w:r w:rsidR="004A7E9F" w:rsidRPr="009550DB">
        <w:rPr>
          <w:rFonts w:eastAsiaTheme="minorEastAsia" w:cs="Arial"/>
          <w:sz w:val="20"/>
        </w:rPr>
        <w:tab/>
      </w:r>
      <w:r w:rsidR="004A7E9F" w:rsidRPr="009550DB">
        <w:rPr>
          <w:rFonts w:eastAsiaTheme="minorEastAsia" w:cs="Arial"/>
          <w:sz w:val="20"/>
        </w:rPr>
        <w:tab/>
        <w:t>[1]</w:t>
      </w:r>
    </w:p>
    <w:p w14:paraId="212994EE" w14:textId="17063BED" w:rsidR="004A7E9F" w:rsidRPr="009550DB" w:rsidRDefault="004A7E9F" w:rsidP="0071161B">
      <w:pPr>
        <w:spacing w:after="120" w:line="276" w:lineRule="auto"/>
        <w:ind w:firstLine="0"/>
        <w:rPr>
          <w:rFonts w:cs="Arial"/>
          <w:sz w:val="20"/>
        </w:rPr>
      </w:pPr>
      <w:r w:rsidRPr="009550DB">
        <w:rPr>
          <w:rFonts w:cs="Arial"/>
          <w:sz w:val="20"/>
        </w:rPr>
        <w:t>where the skills intensity (</w:t>
      </w:r>
      <w:r w:rsidRPr="009550DB">
        <w:rPr>
          <w:rFonts w:cs="Arial"/>
          <w:i/>
          <w:sz w:val="20"/>
        </w:rPr>
        <w:t>S</w:t>
      </w:r>
      <w:r w:rsidRPr="009550DB">
        <w:rPr>
          <w:rFonts w:cs="Arial"/>
          <w:i/>
          <w:sz w:val="20"/>
          <w:vertAlign w:val="superscript"/>
        </w:rPr>
        <w:t>I</w:t>
      </w:r>
      <w:r w:rsidRPr="009550DB">
        <w:rPr>
          <w:rFonts w:cs="Arial"/>
          <w:sz w:val="20"/>
        </w:rPr>
        <w:t xml:space="preserve">) is computed as the ratio of the advertised skill cluster, </w:t>
      </w:r>
      <w:proofErr w:type="spellStart"/>
      <w:r w:rsidRPr="009550DB">
        <w:rPr>
          <w:rFonts w:cs="Arial"/>
          <w:i/>
          <w:sz w:val="20"/>
        </w:rPr>
        <w:t>i</w:t>
      </w:r>
      <w:proofErr w:type="spellEnd"/>
      <w:r w:rsidRPr="009550DB">
        <w:rPr>
          <w:rFonts w:cs="Arial"/>
          <w:sz w:val="20"/>
        </w:rPr>
        <w:t>, over the total number of posted vacancies in each 4-digit occupation (</w:t>
      </w:r>
      <w:r w:rsidRPr="009550DB">
        <w:rPr>
          <w:rFonts w:cs="Arial"/>
          <w:i/>
          <w:sz w:val="20"/>
        </w:rPr>
        <w:t>o</w:t>
      </w:r>
      <w:r w:rsidRPr="009550DB">
        <w:rPr>
          <w:rFonts w:cs="Arial"/>
          <w:sz w:val="20"/>
        </w:rPr>
        <w:t>).</w:t>
      </w:r>
    </w:p>
    <w:p w14:paraId="34272CCD" w14:textId="33775077" w:rsidR="0060102E" w:rsidRPr="009550DB" w:rsidRDefault="00174018" w:rsidP="0071161B">
      <w:pPr>
        <w:spacing w:after="120" w:line="276" w:lineRule="auto"/>
        <w:ind w:firstLine="0"/>
        <w:rPr>
          <w:rFonts w:cs="Arial"/>
          <w:sz w:val="20"/>
        </w:rPr>
      </w:pPr>
      <w:r w:rsidRPr="009550DB">
        <w:rPr>
          <w:rFonts w:cs="Arial"/>
          <w:sz w:val="20"/>
        </w:rPr>
        <w:lastRenderedPageBreak/>
        <w:t xml:space="preserve">To calculate the risk of automation for all EU occupations, we first match the assessment of automatability based on the opinions of machine learning experts as </w:t>
      </w:r>
      <w:r w:rsidR="00A853C0" w:rsidRPr="009550DB">
        <w:rPr>
          <w:rFonts w:cs="Arial"/>
          <w:sz w:val="20"/>
        </w:rPr>
        <w:t xml:space="preserve">surveyed </w:t>
      </w:r>
      <w:r w:rsidRPr="009550DB">
        <w:rPr>
          <w:rFonts w:cs="Arial"/>
          <w:sz w:val="20"/>
        </w:rPr>
        <w:t xml:space="preserve">by </w:t>
      </w:r>
      <w:bookmarkStart w:id="0" w:name="_Hlk53690887"/>
      <w:r w:rsidRPr="009550DB">
        <w:rPr>
          <w:rFonts w:cs="Arial"/>
          <w:sz w:val="20"/>
        </w:rPr>
        <w:t xml:space="preserve">Frey and Osborne </w:t>
      </w:r>
      <w:bookmarkEnd w:id="0"/>
      <w:r w:rsidRPr="009550DB">
        <w:rPr>
          <w:rFonts w:cs="Arial"/>
          <w:sz w:val="20"/>
        </w:rPr>
        <w:t>(2013)</w:t>
      </w:r>
      <w:r w:rsidR="00A853C0" w:rsidRPr="009550DB">
        <w:rPr>
          <w:rFonts w:cs="Arial"/>
          <w:sz w:val="20"/>
        </w:rPr>
        <w:t>. N</w:t>
      </w:r>
      <w:r w:rsidRPr="009550DB">
        <w:rPr>
          <w:rFonts w:cs="Arial"/>
          <w:sz w:val="20"/>
        </w:rPr>
        <w:t>amely</w:t>
      </w:r>
      <w:r w:rsidR="00A853C0" w:rsidRPr="009550DB">
        <w:rPr>
          <w:rFonts w:cs="Arial"/>
          <w:sz w:val="20"/>
        </w:rPr>
        <w:t>, we match to the OVATE data</w:t>
      </w:r>
      <w:r w:rsidRPr="009550DB">
        <w:rPr>
          <w:rFonts w:cs="Arial"/>
          <w:sz w:val="20"/>
        </w:rPr>
        <w:t xml:space="preserve"> </w:t>
      </w:r>
      <w:r w:rsidR="00A853C0" w:rsidRPr="009550DB">
        <w:rPr>
          <w:rFonts w:cs="Arial"/>
          <w:sz w:val="20"/>
        </w:rPr>
        <w:t xml:space="preserve">the Frey and Osborne </w:t>
      </w:r>
      <w:r w:rsidRPr="009550DB">
        <w:rPr>
          <w:rFonts w:cs="Arial"/>
          <w:sz w:val="20"/>
        </w:rPr>
        <w:t xml:space="preserve">‘training dataset’ of </w:t>
      </w:r>
      <w:r w:rsidR="00A853C0" w:rsidRPr="009550DB">
        <w:rPr>
          <w:rFonts w:cs="Arial"/>
          <w:sz w:val="20"/>
        </w:rPr>
        <w:t xml:space="preserve">85 </w:t>
      </w:r>
      <w:r w:rsidRPr="009550DB">
        <w:rPr>
          <w:rFonts w:cs="Arial"/>
          <w:sz w:val="20"/>
        </w:rPr>
        <w:t>occupations that are</w:t>
      </w:r>
      <w:r w:rsidR="00A853C0" w:rsidRPr="009550DB">
        <w:rPr>
          <w:rFonts w:cs="Arial"/>
          <w:sz w:val="20"/>
        </w:rPr>
        <w:t xml:space="preserve"> deemed</w:t>
      </w:r>
      <w:r w:rsidRPr="009550DB">
        <w:rPr>
          <w:rFonts w:cs="Arial"/>
          <w:sz w:val="20"/>
        </w:rPr>
        <w:t xml:space="preserve"> automatable</w:t>
      </w:r>
      <w:r w:rsidR="00BE74C1" w:rsidRPr="009550DB">
        <w:rPr>
          <w:rFonts w:cs="Arial"/>
          <w:sz w:val="20"/>
        </w:rPr>
        <w:t xml:space="preserve"> or not</w:t>
      </w:r>
      <w:r w:rsidR="00A853C0" w:rsidRPr="009550DB">
        <w:rPr>
          <w:rFonts w:cs="Arial"/>
          <w:sz w:val="20"/>
        </w:rPr>
        <w:t>,</w:t>
      </w:r>
      <w:r w:rsidRPr="009550DB">
        <w:rPr>
          <w:rFonts w:cs="Arial"/>
          <w:sz w:val="20"/>
        </w:rPr>
        <w:t xml:space="preserve"> given the absence of a set of characteristics (‘engineering bottlenecks’) that may prevent them from machine replacement. Following a necessary process of dimensionality reduction of the big data at hand, </w:t>
      </w:r>
      <w:r w:rsidR="00B508C0" w:rsidRPr="009550DB">
        <w:rPr>
          <w:rFonts w:cs="Arial"/>
          <w:sz w:val="20"/>
        </w:rPr>
        <w:t xml:space="preserve">specifically </w:t>
      </w:r>
      <w:r w:rsidR="00A853C0" w:rsidRPr="009550DB">
        <w:rPr>
          <w:rFonts w:cs="Arial"/>
          <w:sz w:val="20"/>
        </w:rPr>
        <w:t xml:space="preserve">the use of </w:t>
      </w:r>
      <w:r w:rsidR="00B508C0" w:rsidRPr="009550DB">
        <w:rPr>
          <w:rFonts w:cs="Arial"/>
          <w:sz w:val="20"/>
        </w:rPr>
        <w:t xml:space="preserve">a stepwise regression approach, </w:t>
      </w:r>
      <w:r w:rsidRPr="009550DB">
        <w:rPr>
          <w:rFonts w:cs="Arial"/>
          <w:sz w:val="20"/>
        </w:rPr>
        <w:t xml:space="preserve">we subsequently estimate a reduced form model of the latent relationship between automatability and the </w:t>
      </w:r>
      <w:r w:rsidR="00A853C0" w:rsidRPr="009550DB">
        <w:rPr>
          <w:rFonts w:cs="Arial"/>
          <w:sz w:val="20"/>
        </w:rPr>
        <w:t>‘</w:t>
      </w:r>
      <w:r w:rsidRPr="009550DB">
        <w:rPr>
          <w:rFonts w:cs="Arial"/>
          <w:sz w:val="20"/>
        </w:rPr>
        <w:t>skills-work-activities-technologies</w:t>
      </w:r>
      <w:r w:rsidR="00A853C0" w:rsidRPr="009550DB">
        <w:rPr>
          <w:rFonts w:cs="Arial"/>
          <w:sz w:val="20"/>
        </w:rPr>
        <w:t>’</w:t>
      </w:r>
      <w:r w:rsidRPr="009550DB">
        <w:rPr>
          <w:rFonts w:cs="Arial"/>
          <w:sz w:val="20"/>
        </w:rPr>
        <w:t xml:space="preserve"> of occupations as </w:t>
      </w:r>
      <w:r w:rsidR="00BE74C1" w:rsidRPr="009550DB">
        <w:rPr>
          <w:rFonts w:cs="Arial"/>
          <w:sz w:val="20"/>
        </w:rPr>
        <w:t>demanded</w:t>
      </w:r>
      <w:r w:rsidRPr="009550DB">
        <w:rPr>
          <w:rFonts w:cs="Arial"/>
          <w:sz w:val="20"/>
        </w:rPr>
        <w:t xml:space="preserve"> by EU employers</w:t>
      </w:r>
      <w:r w:rsidR="00A853C0" w:rsidRPr="009550DB">
        <w:rPr>
          <w:rFonts w:cs="Arial"/>
          <w:sz w:val="20"/>
        </w:rPr>
        <w:t>.</w:t>
      </w:r>
    </w:p>
    <w:p w14:paraId="4F66DCB6" w14:textId="20FB4116" w:rsidR="00174018" w:rsidRPr="009550DB" w:rsidRDefault="00174018" w:rsidP="0071161B">
      <w:pPr>
        <w:spacing w:after="120" w:line="276" w:lineRule="auto"/>
        <w:ind w:firstLine="0"/>
        <w:rPr>
          <w:rFonts w:cs="Arial"/>
          <w:sz w:val="20"/>
        </w:rPr>
      </w:pPr>
      <w:r w:rsidRPr="009550DB">
        <w:rPr>
          <w:rFonts w:cs="Arial"/>
          <w:sz w:val="20"/>
        </w:rPr>
        <w:t xml:space="preserve">More formally, we estimate a linear probability </w:t>
      </w:r>
      <w:r w:rsidR="00C4506D" w:rsidRPr="009550DB">
        <w:rPr>
          <w:rFonts w:cs="Arial"/>
          <w:sz w:val="20"/>
        </w:rPr>
        <w:t xml:space="preserve">or logit </w:t>
      </w:r>
      <w:r w:rsidRPr="009550DB">
        <w:rPr>
          <w:rFonts w:cs="Arial"/>
          <w:sz w:val="20"/>
        </w:rPr>
        <w:t xml:space="preserve">model </w:t>
      </w:r>
      <w:r w:rsidR="00B508C0" w:rsidRPr="009550DB">
        <w:rPr>
          <w:rFonts w:cs="Arial"/>
          <w:sz w:val="20"/>
        </w:rPr>
        <w:t>that detects the</w:t>
      </w:r>
      <w:r w:rsidRPr="009550DB">
        <w:rPr>
          <w:rFonts w:cs="Arial"/>
          <w:sz w:val="20"/>
        </w:rPr>
        <w:t xml:space="preserve"> latent </w:t>
      </w:r>
      <w:r w:rsidR="00B508C0" w:rsidRPr="009550DB">
        <w:rPr>
          <w:rFonts w:cs="Arial"/>
          <w:sz w:val="20"/>
        </w:rPr>
        <w:t xml:space="preserve">relationship between the </w:t>
      </w:r>
      <w:r w:rsidRPr="009550DB">
        <w:rPr>
          <w:rFonts w:cs="Arial"/>
          <w:sz w:val="20"/>
        </w:rPr>
        <w:t xml:space="preserve">“true” automatability of occupations, as extracted from the FO training data, and </w:t>
      </w:r>
      <w:r w:rsidR="00A853C0" w:rsidRPr="009550DB">
        <w:rPr>
          <w:rFonts w:cs="Arial"/>
          <w:sz w:val="20"/>
        </w:rPr>
        <w:t xml:space="preserve">the OVATE list of </w:t>
      </w:r>
      <w:r w:rsidRPr="009550DB">
        <w:rPr>
          <w:rFonts w:cs="Arial"/>
          <w:sz w:val="20"/>
        </w:rPr>
        <w:t>required skills-tasks-technologies, as follows:</w:t>
      </w:r>
    </w:p>
    <w:p w14:paraId="3F35BDD2" w14:textId="784F647B" w:rsidR="00174018" w:rsidRPr="009550DB" w:rsidRDefault="00B508C0" w:rsidP="0071161B">
      <w:pPr>
        <w:spacing w:before="240" w:after="120" w:line="276" w:lineRule="auto"/>
        <w:jc w:val="center"/>
        <w:rPr>
          <w:rFonts w:cs="Arial"/>
          <w:sz w:val="20"/>
          <w:lang w:val="en-IE"/>
        </w:rPr>
      </w:pPr>
      <m:oMath>
        <m:r>
          <w:rPr>
            <w:rFonts w:ascii="Cambria Math" w:hAnsi="Cambria Math" w:cs="Arial"/>
            <w:sz w:val="20"/>
            <w:lang w:val="en-IE"/>
          </w:rPr>
          <m:t>P</m:t>
        </m:r>
        <m:d>
          <m:dPr>
            <m:ctrlPr>
              <w:rPr>
                <w:rFonts w:ascii="Cambria Math" w:hAnsi="Cambria Math" w:cs="Arial"/>
                <w:i/>
                <w:sz w:val="20"/>
                <w:lang w:val="en-IE"/>
              </w:rPr>
            </m:ctrlPr>
          </m:dPr>
          <m:e>
            <m:sSup>
              <m:sSupPr>
                <m:ctrlPr>
                  <w:rPr>
                    <w:rFonts w:ascii="Cambria Math" w:hAnsi="Cambria Math" w:cs="Arial"/>
                    <w:i/>
                    <w:sz w:val="20"/>
                    <w:lang w:val="en-IE"/>
                  </w:rPr>
                </m:ctrlPr>
              </m:sSupPr>
              <m:e>
                <m:sSub>
                  <m:sSubPr>
                    <m:ctrlPr>
                      <w:rPr>
                        <w:rFonts w:ascii="Cambria Math" w:hAnsi="Cambria Math" w:cs="Arial"/>
                        <w:i/>
                        <w:sz w:val="20"/>
                        <w:lang w:val="en-IE"/>
                      </w:rPr>
                    </m:ctrlPr>
                  </m:sSubPr>
                  <m:e>
                    <m:r>
                      <w:rPr>
                        <w:rFonts w:ascii="Cambria Math" w:hAnsi="Cambria Math" w:cs="Arial"/>
                        <w:sz w:val="20"/>
                        <w:lang w:val="en-IE"/>
                      </w:rPr>
                      <m:t>y</m:t>
                    </m:r>
                  </m:e>
                  <m:sub>
                    <m:r>
                      <w:rPr>
                        <w:rFonts w:ascii="Cambria Math" w:hAnsi="Cambria Math" w:cs="Arial"/>
                        <w:sz w:val="20"/>
                        <w:lang w:val="en-IE"/>
                      </w:rPr>
                      <m:t>ao</m:t>
                    </m:r>
                  </m:sub>
                </m:sSub>
              </m:e>
              <m:sup>
                <m:r>
                  <w:rPr>
                    <w:rFonts w:ascii="Cambria Math" w:hAnsi="Cambria Math" w:cs="Arial"/>
                    <w:sz w:val="20"/>
                    <w:lang w:val="en-IE"/>
                  </w:rPr>
                  <m:t>*</m:t>
                </m:r>
              </m:sup>
            </m:sSup>
            <m:r>
              <w:rPr>
                <w:rFonts w:ascii="Cambria Math" w:hAnsi="Cambria Math" w:cs="Arial"/>
                <w:sz w:val="20"/>
                <w:lang w:val="en-IE"/>
              </w:rPr>
              <m:t>=1</m:t>
            </m:r>
          </m:e>
        </m:d>
        <m:r>
          <w:rPr>
            <w:rFonts w:ascii="Cambria Math" w:hAnsi="Cambria Math" w:cs="Arial"/>
            <w:sz w:val="20"/>
            <w:lang w:val="en-IE"/>
          </w:rPr>
          <m:t>=</m:t>
        </m:r>
        <m:sSub>
          <m:sSubPr>
            <m:ctrlPr>
              <w:rPr>
                <w:rFonts w:ascii="Cambria Math" w:hAnsi="Cambria Math" w:cs="Arial"/>
                <w:i/>
                <w:sz w:val="20"/>
                <w:lang w:val="en-IE"/>
              </w:rPr>
            </m:ctrlPr>
          </m:sSubPr>
          <m:e>
            <m:r>
              <w:rPr>
                <w:rFonts w:ascii="Cambria Math" w:hAnsi="Cambria Math" w:cs="Arial"/>
                <w:sz w:val="20"/>
                <w:lang w:val="en-IE"/>
              </w:rPr>
              <m:t>β</m:t>
            </m:r>
          </m:e>
          <m:sub>
            <m:r>
              <w:rPr>
                <w:rFonts w:ascii="Cambria Math" w:hAnsi="Cambria Math" w:cs="Arial"/>
                <w:sz w:val="20"/>
                <w:lang w:val="en-IE"/>
              </w:rPr>
              <m:t>0o</m:t>
            </m:r>
          </m:sub>
        </m:sSub>
        <m:r>
          <w:rPr>
            <w:rFonts w:ascii="Cambria Math" w:hAnsi="Cambria Math" w:cs="Arial"/>
            <w:sz w:val="20"/>
            <w:lang w:val="en-IE"/>
          </w:rPr>
          <m:t>+</m:t>
        </m:r>
        <m:sSub>
          <m:sSubPr>
            <m:ctrlPr>
              <w:rPr>
                <w:rFonts w:ascii="Cambria Math" w:hAnsi="Cambria Math" w:cs="Arial"/>
                <w:i/>
                <w:sz w:val="20"/>
                <w:lang w:val="en-IE"/>
              </w:rPr>
            </m:ctrlPr>
          </m:sSubPr>
          <m:e>
            <m:r>
              <w:rPr>
                <w:rFonts w:ascii="Cambria Math" w:hAnsi="Cambria Math" w:cs="Arial"/>
                <w:sz w:val="20"/>
                <w:lang w:val="en-IE"/>
              </w:rPr>
              <m:t>β</m:t>
            </m:r>
          </m:e>
          <m:sub>
            <m:r>
              <w:rPr>
                <w:rFonts w:ascii="Cambria Math" w:hAnsi="Cambria Math" w:cs="Arial"/>
                <w:sz w:val="20"/>
                <w:lang w:val="en-IE"/>
              </w:rPr>
              <m:t>1</m:t>
            </m:r>
          </m:sub>
        </m:sSub>
        <m:sSub>
          <m:sSubPr>
            <m:ctrlPr>
              <w:rPr>
                <w:rFonts w:ascii="Cambria Math" w:hAnsi="Cambria Math" w:cs="Arial"/>
                <w:i/>
                <w:sz w:val="20"/>
                <w:lang w:val="en-IE"/>
              </w:rPr>
            </m:ctrlPr>
          </m:sSubPr>
          <m:e>
            <m:r>
              <w:rPr>
                <w:rFonts w:ascii="Cambria Math" w:hAnsi="Cambria Math" w:cs="Arial"/>
                <w:sz w:val="20"/>
                <w:lang w:val="en-IE"/>
              </w:rPr>
              <m:t>XS</m:t>
            </m:r>
          </m:e>
          <m:sub>
            <m:r>
              <w:rPr>
                <w:rFonts w:ascii="Cambria Math" w:hAnsi="Cambria Math" w:cs="Arial"/>
                <w:sz w:val="20"/>
                <w:lang w:val="en-IE"/>
              </w:rPr>
              <m:t>o</m:t>
            </m:r>
          </m:sub>
        </m:sSub>
        <m:r>
          <w:rPr>
            <w:rFonts w:ascii="Cambria Math" w:hAnsi="Cambria Math" w:cs="Arial"/>
            <w:sz w:val="20"/>
            <w:lang w:val="en-IE"/>
          </w:rPr>
          <m:t>+</m:t>
        </m:r>
        <m:sSub>
          <m:sSubPr>
            <m:ctrlPr>
              <w:rPr>
                <w:rFonts w:ascii="Cambria Math" w:hAnsi="Cambria Math" w:cs="Arial"/>
                <w:i/>
                <w:sz w:val="20"/>
                <w:lang w:val="en-IE"/>
              </w:rPr>
            </m:ctrlPr>
          </m:sSubPr>
          <m:e>
            <m:r>
              <w:rPr>
                <w:rFonts w:ascii="Cambria Math" w:hAnsi="Cambria Math" w:cs="Arial"/>
                <w:sz w:val="20"/>
                <w:lang w:val="en-IE"/>
              </w:rPr>
              <m:t>β</m:t>
            </m:r>
          </m:e>
          <m:sub>
            <m:r>
              <w:rPr>
                <w:rFonts w:ascii="Cambria Math" w:hAnsi="Cambria Math" w:cs="Arial"/>
                <w:sz w:val="20"/>
                <w:lang w:val="en-IE"/>
              </w:rPr>
              <m:t>2</m:t>
            </m:r>
          </m:sub>
        </m:sSub>
        <m:sSub>
          <m:sSubPr>
            <m:ctrlPr>
              <w:rPr>
                <w:rFonts w:ascii="Cambria Math" w:hAnsi="Cambria Math" w:cs="Arial"/>
                <w:i/>
                <w:sz w:val="20"/>
                <w:lang w:val="en-IE"/>
              </w:rPr>
            </m:ctrlPr>
          </m:sSubPr>
          <m:e>
            <m:r>
              <w:rPr>
                <w:rFonts w:ascii="Cambria Math" w:hAnsi="Cambria Math" w:cs="Arial"/>
                <w:sz w:val="20"/>
                <w:lang w:val="en-IE"/>
              </w:rPr>
              <m:t>WA</m:t>
            </m:r>
          </m:e>
          <m:sub>
            <m:r>
              <w:rPr>
                <w:rFonts w:ascii="Cambria Math" w:hAnsi="Cambria Math" w:cs="Arial"/>
                <w:sz w:val="20"/>
                <w:lang w:val="en-IE"/>
              </w:rPr>
              <m:t>o</m:t>
            </m:r>
          </m:sub>
        </m:sSub>
        <m:r>
          <w:rPr>
            <w:rFonts w:ascii="Cambria Math" w:hAnsi="Cambria Math" w:cs="Arial"/>
            <w:sz w:val="20"/>
            <w:lang w:val="en-IE"/>
          </w:rPr>
          <m:t>+</m:t>
        </m:r>
        <m:sSub>
          <m:sSubPr>
            <m:ctrlPr>
              <w:rPr>
                <w:rFonts w:ascii="Cambria Math" w:hAnsi="Cambria Math" w:cs="Arial"/>
                <w:i/>
                <w:sz w:val="20"/>
                <w:lang w:val="en-IE"/>
              </w:rPr>
            </m:ctrlPr>
          </m:sSubPr>
          <m:e>
            <m:r>
              <w:rPr>
                <w:rFonts w:ascii="Cambria Math" w:hAnsi="Cambria Math" w:cs="Arial"/>
                <w:sz w:val="20"/>
                <w:lang w:val="en-IE"/>
              </w:rPr>
              <m:t>β</m:t>
            </m:r>
          </m:e>
          <m:sub>
            <m:r>
              <w:rPr>
                <w:rFonts w:ascii="Cambria Math" w:hAnsi="Cambria Math" w:cs="Arial"/>
                <w:sz w:val="20"/>
                <w:lang w:val="en-IE"/>
              </w:rPr>
              <m:t>3</m:t>
            </m:r>
          </m:sub>
        </m:sSub>
        <m:sSub>
          <m:sSubPr>
            <m:ctrlPr>
              <w:rPr>
                <w:rFonts w:ascii="Cambria Math" w:hAnsi="Cambria Math" w:cs="Arial"/>
                <w:i/>
                <w:sz w:val="20"/>
                <w:lang w:val="en-IE"/>
              </w:rPr>
            </m:ctrlPr>
          </m:sSubPr>
          <m:e>
            <m:r>
              <w:rPr>
                <w:rFonts w:ascii="Cambria Math" w:hAnsi="Cambria Math" w:cs="Arial"/>
                <w:sz w:val="20"/>
                <w:lang w:val="en-IE"/>
              </w:rPr>
              <m:t>T</m:t>
            </m:r>
          </m:e>
          <m:sub>
            <m:r>
              <w:rPr>
                <w:rFonts w:ascii="Cambria Math" w:hAnsi="Cambria Math" w:cs="Arial"/>
                <w:sz w:val="20"/>
                <w:lang w:val="en-IE"/>
              </w:rPr>
              <m:t>o</m:t>
            </m:r>
          </m:sub>
        </m:sSub>
        <m:r>
          <w:rPr>
            <w:rFonts w:ascii="Cambria Math" w:hAnsi="Cambria Math" w:cs="Arial"/>
            <w:sz w:val="20"/>
            <w:lang w:val="en-IE"/>
          </w:rPr>
          <m:t>+</m:t>
        </m:r>
        <m:sSub>
          <m:sSubPr>
            <m:ctrlPr>
              <w:rPr>
                <w:rFonts w:ascii="Cambria Math" w:hAnsi="Cambria Math" w:cs="Arial"/>
                <w:i/>
                <w:sz w:val="20"/>
                <w:lang w:val="en-IE"/>
              </w:rPr>
            </m:ctrlPr>
          </m:sSubPr>
          <m:e>
            <m:r>
              <w:rPr>
                <w:rFonts w:ascii="Cambria Math" w:hAnsi="Cambria Math" w:cs="Arial"/>
                <w:sz w:val="20"/>
                <w:lang w:val="en-IE"/>
              </w:rPr>
              <m:t>u</m:t>
            </m:r>
          </m:e>
          <m:sub>
            <m:r>
              <w:rPr>
                <w:rFonts w:ascii="Cambria Math" w:hAnsi="Cambria Math" w:cs="Arial"/>
                <w:sz w:val="20"/>
                <w:lang w:val="en-IE"/>
              </w:rPr>
              <m:t>o</m:t>
            </m:r>
          </m:sub>
        </m:sSub>
      </m:oMath>
      <w:r w:rsidR="00174018" w:rsidRPr="009550DB">
        <w:rPr>
          <w:rFonts w:cs="Arial"/>
          <w:sz w:val="20"/>
          <w:lang w:val="en-IE"/>
        </w:rPr>
        <w:tab/>
        <w:t>[</w:t>
      </w:r>
      <w:r w:rsidR="004A7E9F" w:rsidRPr="009550DB">
        <w:rPr>
          <w:rFonts w:cs="Arial"/>
          <w:sz w:val="20"/>
          <w:lang w:val="en-IE"/>
        </w:rPr>
        <w:t>2</w:t>
      </w:r>
      <w:r w:rsidR="00174018" w:rsidRPr="009550DB">
        <w:rPr>
          <w:rFonts w:cs="Arial"/>
          <w:sz w:val="20"/>
          <w:lang w:val="en-IE"/>
        </w:rPr>
        <w:t>]</w:t>
      </w:r>
    </w:p>
    <w:p w14:paraId="51E08644" w14:textId="7D35B1BA" w:rsidR="004A7E9F" w:rsidRPr="009550DB" w:rsidRDefault="00174018" w:rsidP="0071161B">
      <w:pPr>
        <w:spacing w:after="120" w:line="276" w:lineRule="auto"/>
        <w:ind w:firstLine="0"/>
        <w:rPr>
          <w:rFonts w:eastAsiaTheme="minorEastAsia" w:cs="Arial"/>
          <w:i/>
          <w:sz w:val="20"/>
        </w:rPr>
      </w:pPr>
      <w:r w:rsidRPr="009550DB">
        <w:rPr>
          <w:rFonts w:cs="Arial"/>
          <w:sz w:val="20"/>
        </w:rPr>
        <w:t xml:space="preserve">where </w:t>
      </w:r>
      <m:oMath>
        <m:r>
          <w:rPr>
            <w:rFonts w:ascii="Cambria Math" w:hAnsi="Cambria Math" w:cs="Arial"/>
            <w:sz w:val="20"/>
          </w:rPr>
          <m:t>y∈{0,1}</m:t>
        </m:r>
      </m:oMath>
      <w:r w:rsidRPr="009550DB">
        <w:rPr>
          <w:rFonts w:cs="Arial"/>
          <w:sz w:val="20"/>
        </w:rPr>
        <w:fldChar w:fldCharType="begin"/>
      </w:r>
      <w:r w:rsidRPr="009550DB">
        <w:rPr>
          <w:rFonts w:cs="Arial"/>
          <w:sz w:val="20"/>
        </w:rPr>
        <w:instrText xml:space="preserve"> QUOTE </w:instrText>
      </w:r>
      <w:r w:rsidRPr="009550DB">
        <w:rPr>
          <w:rFonts w:cs="Arial"/>
          <w:noProof/>
          <w:sz w:val="20"/>
        </w:rPr>
        <w:drawing>
          <wp:inline distT="0" distB="0" distL="0" distR="0" wp14:anchorId="53EF312C" wp14:editId="1A3E4AD1">
            <wp:extent cx="152400" cy="1752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52400" cy="175260"/>
                    </a:xfrm>
                    <a:prstGeom prst="rect">
                      <a:avLst/>
                    </a:prstGeom>
                    <a:noFill/>
                    <a:ln w="9525">
                      <a:noFill/>
                      <a:miter lim="800000"/>
                      <a:headEnd/>
                      <a:tailEnd/>
                    </a:ln>
                  </pic:spPr>
                </pic:pic>
              </a:graphicData>
            </a:graphic>
          </wp:inline>
        </w:drawing>
      </w:r>
      <w:r w:rsidRPr="009550DB">
        <w:rPr>
          <w:rFonts w:cs="Arial"/>
          <w:sz w:val="20"/>
        </w:rPr>
        <w:instrText xml:space="preserve"> </w:instrText>
      </w:r>
      <w:r w:rsidRPr="009550DB">
        <w:rPr>
          <w:rFonts w:cs="Arial"/>
          <w:sz w:val="20"/>
        </w:rPr>
        <w:fldChar w:fldCharType="end"/>
      </w:r>
      <w:r w:rsidRPr="009550DB">
        <w:rPr>
          <w:rFonts w:cs="Arial"/>
          <w:sz w:val="20"/>
        </w:rPr>
        <w:t xml:space="preserve"> is a vector of the occupational automatability assessment</w:t>
      </w:r>
      <w:r w:rsidR="004A7E9F" w:rsidRPr="009550DB">
        <w:rPr>
          <w:rFonts w:cs="Arial"/>
          <w:sz w:val="20"/>
        </w:rPr>
        <w:t xml:space="preserve">, </w:t>
      </w:r>
      <w:r w:rsidR="004A7E9F" w:rsidRPr="009550DB">
        <w:rPr>
          <w:rFonts w:cs="Arial"/>
          <w:i/>
          <w:sz w:val="20"/>
        </w:rPr>
        <w:t>S</w:t>
      </w:r>
      <w:r w:rsidRPr="009550DB">
        <w:rPr>
          <w:rFonts w:cs="Arial"/>
          <w:i/>
          <w:sz w:val="20"/>
        </w:rPr>
        <w:t xml:space="preserve"> </w:t>
      </w:r>
      <w:r w:rsidRPr="009550DB">
        <w:rPr>
          <w:rFonts w:cs="Arial"/>
          <w:sz w:val="20"/>
        </w:rPr>
        <w:t xml:space="preserve">is a matrix of </w:t>
      </w:r>
      <w:r w:rsidR="004A7E9F" w:rsidRPr="009550DB">
        <w:rPr>
          <w:rFonts w:cs="Arial"/>
          <w:sz w:val="20"/>
        </w:rPr>
        <w:t>employers’</w:t>
      </w:r>
      <w:r w:rsidRPr="009550DB">
        <w:rPr>
          <w:rFonts w:cs="Arial"/>
          <w:sz w:val="20"/>
        </w:rPr>
        <w:t xml:space="preserve"> skill-requirements</w:t>
      </w:r>
      <w:r w:rsidR="00A853C0" w:rsidRPr="009550DB">
        <w:rPr>
          <w:rFonts w:cs="Arial"/>
          <w:sz w:val="20"/>
        </w:rPr>
        <w:t xml:space="preserve"> as calculated in equation (1)</w:t>
      </w:r>
      <w:r w:rsidR="004A7E9F" w:rsidRPr="009550DB">
        <w:rPr>
          <w:rFonts w:cs="Arial"/>
          <w:sz w:val="20"/>
        </w:rPr>
        <w:t xml:space="preserve">, </w:t>
      </w:r>
      <w:r w:rsidR="004A7E9F" w:rsidRPr="009550DB">
        <w:rPr>
          <w:rFonts w:cs="Arial"/>
          <w:i/>
          <w:sz w:val="20"/>
        </w:rPr>
        <w:t>WA</w:t>
      </w:r>
      <w:r w:rsidR="004A7E9F" w:rsidRPr="009550DB">
        <w:rPr>
          <w:rFonts w:cs="Arial"/>
          <w:sz w:val="20"/>
        </w:rPr>
        <w:t xml:space="preserve"> </w:t>
      </w:r>
      <w:r w:rsidR="00A853C0" w:rsidRPr="009550DB">
        <w:rPr>
          <w:rFonts w:cs="Arial"/>
          <w:sz w:val="20"/>
        </w:rPr>
        <w:t xml:space="preserve">refers to </w:t>
      </w:r>
      <w:r w:rsidR="004A7E9F" w:rsidRPr="009550DB">
        <w:rPr>
          <w:rFonts w:cs="Arial"/>
          <w:sz w:val="20"/>
        </w:rPr>
        <w:t xml:space="preserve">occupational work activities and </w:t>
      </w:r>
      <w:r w:rsidR="004A7E9F" w:rsidRPr="009550DB">
        <w:rPr>
          <w:rFonts w:cs="Arial"/>
          <w:i/>
          <w:sz w:val="20"/>
        </w:rPr>
        <w:t>T</w:t>
      </w:r>
      <w:r w:rsidR="004A7E9F" w:rsidRPr="009550DB">
        <w:rPr>
          <w:rFonts w:cs="Arial"/>
          <w:sz w:val="20"/>
        </w:rPr>
        <w:t xml:space="preserve"> are </w:t>
      </w:r>
      <w:r w:rsidR="00A853C0" w:rsidRPr="009550DB">
        <w:rPr>
          <w:rFonts w:cs="Arial"/>
          <w:sz w:val="20"/>
        </w:rPr>
        <w:t xml:space="preserve">demanded </w:t>
      </w:r>
      <w:r w:rsidR="004A7E9F" w:rsidRPr="009550DB">
        <w:rPr>
          <w:rFonts w:cs="Arial"/>
          <w:sz w:val="20"/>
        </w:rPr>
        <w:t>occupational technologies</w:t>
      </w:r>
      <w:r w:rsidRPr="009550DB">
        <w:rPr>
          <w:rFonts w:cs="Arial"/>
          <w:sz w:val="20"/>
        </w:rPr>
        <w:t xml:space="preserve">. The coefficients </w:t>
      </w:r>
      <m:oMath>
        <m:r>
          <w:rPr>
            <w:rFonts w:ascii="Cambria Math" w:hAnsi="Cambria Math" w:cs="Arial"/>
            <w:sz w:val="20"/>
          </w:rPr>
          <m:t>β</m:t>
        </m:r>
      </m:oMath>
      <w:r w:rsidRPr="009550DB">
        <w:rPr>
          <w:rFonts w:eastAsiaTheme="minorEastAsia" w:cs="Arial"/>
          <w:sz w:val="20"/>
        </w:rPr>
        <w:t xml:space="preserve"> are estimated on a pooled </w:t>
      </w:r>
      <w:r w:rsidR="004A7E9F" w:rsidRPr="009550DB">
        <w:rPr>
          <w:rFonts w:eastAsiaTheme="minorEastAsia" w:cs="Arial"/>
          <w:sz w:val="20"/>
        </w:rPr>
        <w:t>sample of 403 occupations</w:t>
      </w:r>
      <w:r w:rsidRPr="009550DB">
        <w:rPr>
          <w:rFonts w:eastAsiaTheme="minorEastAsia" w:cs="Arial"/>
          <w:sz w:val="20"/>
        </w:rPr>
        <w:t xml:space="preserve"> from all EU countries</w:t>
      </w:r>
      <w:r w:rsidRPr="009550DB">
        <w:rPr>
          <w:rFonts w:eastAsiaTheme="minorEastAsia" w:cs="Arial"/>
          <w:i/>
          <w:sz w:val="20"/>
        </w:rPr>
        <w:t>.</w:t>
      </w:r>
    </w:p>
    <w:p w14:paraId="1D63C3BD" w14:textId="70486169" w:rsidR="00174018" w:rsidRPr="009550DB" w:rsidRDefault="00174018" w:rsidP="00CA054A">
      <w:pPr>
        <w:spacing w:after="240" w:line="276" w:lineRule="auto"/>
        <w:ind w:firstLine="0"/>
        <w:rPr>
          <w:rFonts w:eastAsiaTheme="minorEastAsia" w:cs="Arial"/>
          <w:i/>
          <w:sz w:val="20"/>
        </w:rPr>
      </w:pPr>
      <w:r w:rsidRPr="009550DB">
        <w:rPr>
          <w:rFonts w:cs="Arial"/>
          <w:sz w:val="20"/>
        </w:rPr>
        <w:t xml:space="preserve">Having estimated the latent relationship </w:t>
      </w:r>
      <w:r w:rsidR="00BE74C1" w:rsidRPr="009550DB">
        <w:rPr>
          <w:rFonts w:cs="Arial"/>
          <w:sz w:val="20"/>
        </w:rPr>
        <w:t>(2)</w:t>
      </w:r>
      <w:r w:rsidRPr="009550DB">
        <w:rPr>
          <w:rFonts w:cs="Arial"/>
          <w:sz w:val="20"/>
        </w:rPr>
        <w:t xml:space="preserve">, the coefficients of the model are subsequently applied to all other </w:t>
      </w:r>
      <w:r w:rsidR="00A853C0" w:rsidRPr="009550DB">
        <w:rPr>
          <w:rFonts w:cs="Arial"/>
          <w:sz w:val="20"/>
        </w:rPr>
        <w:t xml:space="preserve">4-digit </w:t>
      </w:r>
      <w:r w:rsidRPr="009550DB">
        <w:rPr>
          <w:rFonts w:cs="Arial"/>
          <w:sz w:val="20"/>
        </w:rPr>
        <w:t xml:space="preserve">occupations to obtain an out-of-sample prediction of the occupational risk of automation. </w:t>
      </w:r>
      <w:r w:rsidR="004A7E9F" w:rsidRPr="009550DB">
        <w:rPr>
          <w:rFonts w:cs="Arial"/>
          <w:sz w:val="20"/>
        </w:rPr>
        <w:t xml:space="preserve">Given the predicted automatability score of occupations, the analysis subsequently investigates which </w:t>
      </w:r>
      <w:r w:rsidR="00A853C0" w:rsidRPr="009550DB">
        <w:rPr>
          <w:rFonts w:cs="Arial"/>
          <w:sz w:val="20"/>
        </w:rPr>
        <w:t>‘</w:t>
      </w:r>
      <w:r w:rsidR="004A7E9F" w:rsidRPr="009550DB">
        <w:rPr>
          <w:rFonts w:cs="Arial"/>
          <w:sz w:val="20"/>
        </w:rPr>
        <w:t>skills-work activities-technologies</w:t>
      </w:r>
      <w:r w:rsidR="00A853C0" w:rsidRPr="009550DB">
        <w:rPr>
          <w:rFonts w:cs="Arial"/>
          <w:sz w:val="20"/>
        </w:rPr>
        <w:t>’</w:t>
      </w:r>
      <w:r w:rsidR="004A7E9F" w:rsidRPr="009550DB">
        <w:rPr>
          <w:rFonts w:cs="Arial"/>
          <w:sz w:val="20"/>
        </w:rPr>
        <w:t xml:space="preserve"> bundles are associated with occupations at high</w:t>
      </w:r>
      <w:r w:rsidR="00A853C0" w:rsidRPr="009550DB">
        <w:rPr>
          <w:rFonts w:cs="Arial"/>
          <w:sz w:val="20"/>
        </w:rPr>
        <w:t xml:space="preserve"> or low</w:t>
      </w:r>
      <w:r w:rsidR="004A7E9F" w:rsidRPr="009550DB">
        <w:rPr>
          <w:rFonts w:cs="Arial"/>
          <w:sz w:val="20"/>
        </w:rPr>
        <w:t xml:space="preserve"> risk of automation</w:t>
      </w:r>
      <w:r w:rsidR="00A853C0" w:rsidRPr="009550DB">
        <w:rPr>
          <w:rFonts w:cs="Arial"/>
          <w:sz w:val="20"/>
        </w:rPr>
        <w:t xml:space="preserve"> using clustering (unsupervised learning) techniques</w:t>
      </w:r>
      <w:r w:rsidR="004A7E9F" w:rsidRPr="009550DB">
        <w:rPr>
          <w:rFonts w:cs="Arial"/>
          <w:sz w:val="20"/>
        </w:rPr>
        <w:t>.</w:t>
      </w:r>
    </w:p>
    <w:p w14:paraId="43A9E10F" w14:textId="77777777" w:rsidR="00413F67" w:rsidRPr="009550DB" w:rsidRDefault="00413F67" w:rsidP="0071161B">
      <w:pPr>
        <w:pStyle w:val="Abstracttext"/>
        <w:spacing w:after="120" w:line="360" w:lineRule="auto"/>
        <w:ind w:right="-292"/>
        <w:rPr>
          <w:rFonts w:cs="Arial"/>
          <w:b/>
          <w:color w:val="auto"/>
          <w:sz w:val="24"/>
          <w:lang w:eastAsia="el-GR"/>
        </w:rPr>
      </w:pPr>
      <w:r w:rsidRPr="009550DB">
        <w:rPr>
          <w:rFonts w:cs="Arial"/>
          <w:b/>
          <w:color w:val="auto"/>
          <w:sz w:val="24"/>
          <w:lang w:eastAsia="el-GR"/>
        </w:rPr>
        <w:t>Preliminary findings</w:t>
      </w:r>
    </w:p>
    <w:p w14:paraId="4A06E262" w14:textId="123F1F52" w:rsidR="00957F2A" w:rsidRDefault="00AF7B81" w:rsidP="0071161B">
      <w:pPr>
        <w:spacing w:before="120" w:after="120" w:line="276" w:lineRule="auto"/>
        <w:ind w:right="237" w:firstLine="0"/>
        <w:rPr>
          <w:rFonts w:cs="Arial"/>
          <w:sz w:val="20"/>
          <w:lang w:eastAsia="el-GR"/>
        </w:rPr>
      </w:pPr>
      <w:r w:rsidRPr="009550DB">
        <w:rPr>
          <w:rFonts w:cs="Arial"/>
          <w:sz w:val="20"/>
          <w:lang w:eastAsia="el-GR"/>
        </w:rPr>
        <w:t xml:space="preserve">Our analysis </w:t>
      </w:r>
      <w:r w:rsidR="00A853C0" w:rsidRPr="009550DB">
        <w:rPr>
          <w:rFonts w:cs="Arial"/>
          <w:sz w:val="20"/>
          <w:lang w:eastAsia="el-GR"/>
        </w:rPr>
        <w:t xml:space="preserve">of the big data </w:t>
      </w:r>
      <w:r w:rsidRPr="009550DB">
        <w:rPr>
          <w:rFonts w:cs="Arial"/>
          <w:sz w:val="20"/>
          <w:lang w:eastAsia="el-GR"/>
        </w:rPr>
        <w:t xml:space="preserve">available from EU employers’ online job advertisements reveals that </w:t>
      </w:r>
      <w:r w:rsidR="00A853C0" w:rsidRPr="009550DB">
        <w:rPr>
          <w:rFonts w:cs="Arial"/>
          <w:sz w:val="20"/>
          <w:lang w:eastAsia="el-GR"/>
        </w:rPr>
        <w:t xml:space="preserve">the core </w:t>
      </w:r>
      <w:r w:rsidR="00957F2A" w:rsidRPr="009550DB">
        <w:rPr>
          <w:rFonts w:cs="Arial"/>
          <w:sz w:val="20"/>
          <w:lang w:eastAsia="el-GR"/>
        </w:rPr>
        <w:t>skills insulated from automation</w:t>
      </w:r>
      <w:r w:rsidRPr="009550DB">
        <w:rPr>
          <w:rFonts w:cs="Arial"/>
          <w:sz w:val="20"/>
          <w:lang w:eastAsia="el-GR"/>
        </w:rPr>
        <w:t xml:space="preserve"> include </w:t>
      </w:r>
      <w:r w:rsidR="00957F2A" w:rsidRPr="009550DB">
        <w:rPr>
          <w:rFonts w:cs="Arial"/>
          <w:sz w:val="20"/>
          <w:lang w:eastAsia="el-GR"/>
        </w:rPr>
        <w:t xml:space="preserve">creativity, leadership, organisational and interpersonal communication skills (Figure 1). Interaction with digital devices is also a key trait of occupations that have lower automation risk, one which has assumed greater significance in the Covid-era given the growing need for workers to carry out their jobs remotely. </w:t>
      </w:r>
      <w:r w:rsidRPr="009550DB">
        <w:rPr>
          <w:rFonts w:cs="Arial"/>
          <w:sz w:val="20"/>
          <w:lang w:eastAsia="el-GR"/>
        </w:rPr>
        <w:t xml:space="preserve">By contrast, skills </w:t>
      </w:r>
      <w:r w:rsidR="00A853C0" w:rsidRPr="009550DB">
        <w:rPr>
          <w:rFonts w:cs="Arial"/>
          <w:sz w:val="20"/>
          <w:lang w:eastAsia="el-GR"/>
        </w:rPr>
        <w:t>that</w:t>
      </w:r>
      <w:r w:rsidRPr="009550DB">
        <w:rPr>
          <w:rFonts w:cs="Arial"/>
          <w:sz w:val="20"/>
          <w:lang w:eastAsia="el-GR"/>
        </w:rPr>
        <w:t xml:space="preserve"> are associated with mechanical knowledge and </w:t>
      </w:r>
      <w:r w:rsidR="00A853C0" w:rsidRPr="009550DB">
        <w:rPr>
          <w:rFonts w:cs="Arial"/>
          <w:sz w:val="20"/>
          <w:lang w:eastAsia="el-GR"/>
        </w:rPr>
        <w:t xml:space="preserve">physical or monitoring </w:t>
      </w:r>
      <w:r w:rsidRPr="009550DB">
        <w:rPr>
          <w:rFonts w:cs="Arial"/>
          <w:sz w:val="20"/>
          <w:lang w:eastAsia="el-GR"/>
        </w:rPr>
        <w:t xml:space="preserve">activities </w:t>
      </w:r>
      <w:r w:rsidR="00A853C0" w:rsidRPr="009550DB">
        <w:rPr>
          <w:rFonts w:cs="Arial"/>
          <w:sz w:val="20"/>
          <w:lang w:eastAsia="el-GR"/>
        </w:rPr>
        <w:t xml:space="preserve">and objects in the workplace </w:t>
      </w:r>
      <w:r w:rsidRPr="009550DB">
        <w:rPr>
          <w:rFonts w:cs="Arial"/>
          <w:sz w:val="20"/>
          <w:lang w:eastAsia="el-GR"/>
        </w:rPr>
        <w:t xml:space="preserve">are more prone to </w:t>
      </w:r>
      <w:r w:rsidR="00A853C0" w:rsidRPr="009550DB">
        <w:rPr>
          <w:rFonts w:cs="Arial"/>
          <w:sz w:val="20"/>
          <w:lang w:eastAsia="el-GR"/>
        </w:rPr>
        <w:t xml:space="preserve">higher </w:t>
      </w:r>
      <w:r w:rsidRPr="009550DB">
        <w:rPr>
          <w:rFonts w:cs="Arial"/>
          <w:sz w:val="20"/>
          <w:lang w:eastAsia="el-GR"/>
        </w:rPr>
        <w:t>automation risk.</w:t>
      </w:r>
    </w:p>
    <w:p w14:paraId="362E4DC2" w14:textId="77777777" w:rsidR="00FD03F7" w:rsidRPr="009550DB" w:rsidRDefault="00FD03F7" w:rsidP="00FD03F7">
      <w:pPr>
        <w:spacing w:before="120" w:after="120" w:line="276" w:lineRule="auto"/>
        <w:ind w:right="237" w:firstLine="0"/>
        <w:rPr>
          <w:rFonts w:cs="Arial"/>
          <w:sz w:val="20"/>
          <w:lang w:eastAsia="el-GR"/>
        </w:rPr>
      </w:pPr>
      <w:r w:rsidRPr="009550DB">
        <w:rPr>
          <w:rFonts w:cs="Arial"/>
          <w:sz w:val="20"/>
          <w:lang w:eastAsia="el-GR"/>
        </w:rPr>
        <w:t>The analysis further reveals that assemblers, numerical clerks, refuse and other elementary workers, metal and machinery workers as well as drivers and mobile plant operators are some of the occupations facing highest risk of displacement. This contrasts with personal services and personal care workers, teaching, health and ICT professionals, who have low automatability. Overall, the clustering analysis illustrates that a core group of occupations facing the highest risk of automation is characterised by similar qualities, namely they involve work activities such as ‘evaluating standards’, ‘operating vehicles’, ‘monitoring processes’ and the use of technologies that include ‘information retrieval’, ‘application server software’ and analytical and scientific software’.</w:t>
      </w:r>
    </w:p>
    <w:p w14:paraId="1AA139AC" w14:textId="061CD89B" w:rsidR="00FD03F7" w:rsidRPr="009550DB" w:rsidRDefault="00FD03F7" w:rsidP="0071161B">
      <w:pPr>
        <w:spacing w:before="120" w:after="120" w:line="276" w:lineRule="auto"/>
        <w:ind w:right="237" w:firstLine="0"/>
        <w:rPr>
          <w:rFonts w:cs="Arial"/>
          <w:sz w:val="20"/>
          <w:lang w:eastAsia="el-GR"/>
        </w:rPr>
      </w:pPr>
      <w:r>
        <w:rPr>
          <w:rFonts w:cs="Arial"/>
          <w:sz w:val="20"/>
          <w:lang w:eastAsia="el-GR"/>
        </w:rPr>
        <w:t xml:space="preserve">Overall, the paper’s conclusions </w:t>
      </w:r>
      <w:bookmarkStart w:id="1" w:name="_GoBack"/>
      <w:bookmarkEnd w:id="1"/>
      <w:r>
        <w:rPr>
          <w:rFonts w:cs="Arial"/>
          <w:sz w:val="20"/>
          <w:lang w:eastAsia="el-GR"/>
        </w:rPr>
        <w:t xml:space="preserve">provide useful input for the effective design of upskilling and reskilling policies that can facilitate adjustment of individuals, firms and economies to the automation </w:t>
      </w:r>
      <w:r w:rsidR="00213995">
        <w:rPr>
          <w:rFonts w:cs="Arial"/>
          <w:sz w:val="20"/>
          <w:lang w:eastAsia="el-GR"/>
        </w:rPr>
        <w:t>dynamics</w:t>
      </w:r>
      <w:r>
        <w:rPr>
          <w:rFonts w:cs="Arial"/>
          <w:sz w:val="20"/>
          <w:lang w:eastAsia="el-GR"/>
        </w:rPr>
        <w:t xml:space="preserve"> of new and emerging digital technologies.</w:t>
      </w:r>
    </w:p>
    <w:p w14:paraId="0527A17F" w14:textId="0C44C732" w:rsidR="00957F2A" w:rsidRPr="009550DB" w:rsidRDefault="00957F2A" w:rsidP="00957F2A">
      <w:pPr>
        <w:pStyle w:val="Caption"/>
        <w:spacing w:line="276" w:lineRule="auto"/>
        <w:ind w:left="0" w:right="237" w:firstLine="0"/>
        <w:jc w:val="both"/>
        <w:rPr>
          <w:rFonts w:cs="Arial"/>
          <w:szCs w:val="20"/>
          <w:lang w:eastAsia="el-GR"/>
        </w:rPr>
      </w:pPr>
      <w:bookmarkStart w:id="2" w:name="_Ref39478281"/>
      <w:bookmarkStart w:id="3" w:name="_Toc40186155"/>
      <w:r w:rsidRPr="009550DB">
        <w:rPr>
          <w:rFonts w:cs="Arial"/>
          <w:b w:val="0"/>
          <w:bCs/>
          <w:szCs w:val="20"/>
        </w:rPr>
        <w:lastRenderedPageBreak/>
        <w:t>Figure 1</w:t>
      </w:r>
      <w:bookmarkEnd w:id="2"/>
      <w:r w:rsidRPr="009550DB">
        <w:rPr>
          <w:rFonts w:cs="Arial"/>
          <w:b w:val="0"/>
          <w:bCs/>
          <w:szCs w:val="20"/>
        </w:rPr>
        <w:t>.</w:t>
      </w:r>
      <w:r w:rsidRPr="009550DB">
        <w:rPr>
          <w:rFonts w:cs="Arial"/>
          <w:szCs w:val="20"/>
        </w:rPr>
        <w:t xml:space="preserve"> </w:t>
      </w:r>
      <w:bookmarkEnd w:id="3"/>
      <w:r w:rsidR="007D7CD7">
        <w:rPr>
          <w:rFonts w:cs="Arial"/>
          <w:szCs w:val="20"/>
        </w:rPr>
        <w:t>Job profiles</w:t>
      </w:r>
      <w:r w:rsidRPr="009550DB">
        <w:rPr>
          <w:rFonts w:cs="Arial"/>
          <w:szCs w:val="20"/>
        </w:rPr>
        <w:t xml:space="preserve"> </w:t>
      </w:r>
      <w:r w:rsidR="007D7CD7">
        <w:rPr>
          <w:rFonts w:cs="Arial"/>
          <w:szCs w:val="20"/>
        </w:rPr>
        <w:t>and</w:t>
      </w:r>
      <w:r w:rsidRPr="009550DB">
        <w:rPr>
          <w:rFonts w:cs="Arial"/>
          <w:szCs w:val="20"/>
        </w:rPr>
        <w:t xml:space="preserve"> automation risk</w:t>
      </w:r>
    </w:p>
    <w:p w14:paraId="5C6B3B15" w14:textId="77777777" w:rsidR="00957F2A" w:rsidRPr="009550DB" w:rsidRDefault="00957F2A" w:rsidP="00957F2A">
      <w:pPr>
        <w:spacing w:before="120" w:after="120" w:line="360" w:lineRule="auto"/>
        <w:ind w:right="237" w:firstLine="0"/>
        <w:rPr>
          <w:rFonts w:cs="Arial"/>
          <w:lang w:eastAsia="el-GR"/>
        </w:rPr>
      </w:pPr>
      <w:r w:rsidRPr="009550DB">
        <w:rPr>
          <w:rFonts w:cs="Arial"/>
          <w:lang w:eastAsia="el-GR"/>
        </w:rPr>
        <w:t xml:space="preserve">  </w:t>
      </w:r>
      <w:r w:rsidRPr="009550DB">
        <w:rPr>
          <w:rFonts w:cs="Arial"/>
          <w:noProof/>
          <w:lang w:eastAsia="el-GR"/>
        </w:rPr>
        <w:drawing>
          <wp:inline distT="0" distB="0" distL="0" distR="0" wp14:anchorId="5ABD555B" wp14:editId="3F3778F1">
            <wp:extent cx="5417546" cy="3886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978"/>
                    <a:stretch/>
                  </pic:blipFill>
                  <pic:spPr bwMode="auto">
                    <a:xfrm>
                      <a:off x="0" y="0"/>
                      <a:ext cx="5486472" cy="3935643"/>
                    </a:xfrm>
                    <a:prstGeom prst="rect">
                      <a:avLst/>
                    </a:prstGeom>
                    <a:noFill/>
                    <a:ln>
                      <a:noFill/>
                    </a:ln>
                    <a:extLst>
                      <a:ext uri="{53640926-AAD7-44D8-BBD7-CCE9431645EC}">
                        <a14:shadowObscured xmlns:a14="http://schemas.microsoft.com/office/drawing/2010/main"/>
                      </a:ext>
                    </a:extLst>
                  </pic:spPr>
                </pic:pic>
              </a:graphicData>
            </a:graphic>
          </wp:inline>
        </w:drawing>
      </w:r>
    </w:p>
    <w:p w14:paraId="18C68C71" w14:textId="1F6DD03F" w:rsidR="00957F2A" w:rsidRPr="009550DB" w:rsidRDefault="00957F2A" w:rsidP="00957F2A">
      <w:pPr>
        <w:pStyle w:val="Picture"/>
        <w:ind w:right="1938"/>
        <w:rPr>
          <w:rFonts w:cs="Arial"/>
          <w:sz w:val="16"/>
          <w:lang w:eastAsia="el-GR"/>
        </w:rPr>
      </w:pPr>
      <w:r w:rsidRPr="009550DB">
        <w:rPr>
          <w:rFonts w:cs="Arial"/>
          <w:i/>
          <w:sz w:val="16"/>
          <w:lang w:eastAsia="el-GR"/>
        </w:rPr>
        <w:t>Note</w:t>
      </w:r>
      <w:r w:rsidRPr="009550DB">
        <w:rPr>
          <w:rFonts w:cs="Arial"/>
          <w:sz w:val="16"/>
          <w:lang w:eastAsia="el-GR"/>
        </w:rPr>
        <w:t xml:space="preserve">: The list of skills and work activities are obtained from </w:t>
      </w:r>
      <w:proofErr w:type="spellStart"/>
      <w:r w:rsidRPr="009550DB">
        <w:rPr>
          <w:rFonts w:cs="Arial"/>
          <w:sz w:val="16"/>
          <w:lang w:eastAsia="el-GR"/>
        </w:rPr>
        <w:t>Cedefop’s</w:t>
      </w:r>
      <w:proofErr w:type="spellEnd"/>
      <w:r w:rsidRPr="009550DB">
        <w:rPr>
          <w:rFonts w:cs="Arial"/>
          <w:sz w:val="16"/>
          <w:lang w:eastAsia="el-GR"/>
        </w:rPr>
        <w:t xml:space="preserve"> European database of online job advertisements (</w:t>
      </w:r>
      <w:hyperlink r:id="rId11" w:history="1">
        <w:r w:rsidRPr="009550DB">
          <w:rPr>
            <w:rStyle w:val="Hyperlink"/>
            <w:rFonts w:cs="Arial"/>
            <w:sz w:val="16"/>
            <w:lang w:eastAsia="el-GR"/>
          </w:rPr>
          <w:t>Skills OVATE</w:t>
        </w:r>
      </w:hyperlink>
      <w:r w:rsidRPr="009550DB">
        <w:rPr>
          <w:rFonts w:cs="Arial"/>
          <w:sz w:val="16"/>
          <w:lang w:eastAsia="el-GR"/>
        </w:rPr>
        <w:t xml:space="preserve">); occupations are distinguished into automatable and non-automatable </w:t>
      </w:r>
      <w:r w:rsidR="00AF7B81" w:rsidRPr="009550DB">
        <w:rPr>
          <w:rFonts w:cs="Arial"/>
          <w:sz w:val="16"/>
          <w:lang w:eastAsia="el-GR"/>
        </w:rPr>
        <w:t xml:space="preserve">after matching Frey and Osborne (2013) </w:t>
      </w:r>
      <w:r w:rsidR="001A18A2" w:rsidRPr="009550DB">
        <w:rPr>
          <w:rFonts w:cs="Arial"/>
          <w:sz w:val="16"/>
          <w:lang w:eastAsia="el-GR"/>
        </w:rPr>
        <w:t xml:space="preserve">training dataset </w:t>
      </w:r>
      <w:r w:rsidR="00AF7B81" w:rsidRPr="009550DB">
        <w:rPr>
          <w:rFonts w:cs="Arial"/>
          <w:sz w:val="16"/>
          <w:lang w:eastAsia="el-GR"/>
        </w:rPr>
        <w:t xml:space="preserve">to 4-digit </w:t>
      </w:r>
      <w:r w:rsidR="001A18A2" w:rsidRPr="009550DB">
        <w:rPr>
          <w:rFonts w:cs="Arial"/>
          <w:sz w:val="16"/>
          <w:lang w:eastAsia="el-GR"/>
        </w:rPr>
        <w:t xml:space="preserve">OVATE </w:t>
      </w:r>
      <w:r w:rsidR="00AF7B81" w:rsidRPr="009550DB">
        <w:rPr>
          <w:rFonts w:cs="Arial"/>
          <w:sz w:val="16"/>
          <w:lang w:eastAsia="el-GR"/>
        </w:rPr>
        <w:t>occupations</w:t>
      </w:r>
      <w:r w:rsidRPr="009550DB">
        <w:rPr>
          <w:rFonts w:cs="Arial"/>
          <w:sz w:val="16"/>
          <w:lang w:eastAsia="el-GR"/>
        </w:rPr>
        <w:t>.</w:t>
      </w:r>
    </w:p>
    <w:p w14:paraId="1B52852D" w14:textId="77777777" w:rsidR="009550DB" w:rsidRPr="009550DB" w:rsidRDefault="009550DB" w:rsidP="00CA054A">
      <w:pPr>
        <w:spacing w:after="240" w:line="360" w:lineRule="auto"/>
        <w:ind w:right="238" w:firstLine="0"/>
        <w:rPr>
          <w:rFonts w:cs="Arial"/>
        </w:rPr>
      </w:pPr>
    </w:p>
    <w:p w14:paraId="74482F03" w14:textId="77777777" w:rsidR="007A1EAD" w:rsidRPr="006E69DD" w:rsidRDefault="007A1EAD" w:rsidP="007A1EAD">
      <w:pPr>
        <w:pStyle w:val="Abstracttext"/>
        <w:spacing w:line="360" w:lineRule="auto"/>
        <w:ind w:right="-292"/>
        <w:rPr>
          <w:rFonts w:cs="Arial"/>
          <w:b/>
          <w:color w:val="auto"/>
          <w:sz w:val="24"/>
          <w:lang w:eastAsia="el-GR"/>
        </w:rPr>
      </w:pPr>
      <w:r w:rsidRPr="006E69DD">
        <w:rPr>
          <w:rFonts w:cs="Arial"/>
          <w:b/>
          <w:color w:val="auto"/>
          <w:sz w:val="24"/>
          <w:lang w:eastAsia="el-GR"/>
        </w:rPr>
        <w:t>Key references</w:t>
      </w:r>
    </w:p>
    <w:p w14:paraId="73B2AAA5" w14:textId="77777777" w:rsidR="009550DB" w:rsidRPr="00FD03F7" w:rsidRDefault="009550DB" w:rsidP="009550DB">
      <w:pPr>
        <w:spacing w:after="120" w:line="240" w:lineRule="auto"/>
        <w:ind w:left="426" w:hanging="426"/>
        <w:rPr>
          <w:rFonts w:cs="Arial"/>
          <w:sz w:val="19"/>
          <w:szCs w:val="19"/>
        </w:rPr>
      </w:pPr>
      <w:proofErr w:type="spellStart"/>
      <w:r w:rsidRPr="00FD03F7">
        <w:rPr>
          <w:rFonts w:cs="Arial"/>
          <w:sz w:val="19"/>
          <w:szCs w:val="19"/>
        </w:rPr>
        <w:t>Arntz</w:t>
      </w:r>
      <w:proofErr w:type="spellEnd"/>
      <w:r w:rsidRPr="00FD03F7">
        <w:rPr>
          <w:rFonts w:cs="Arial"/>
          <w:sz w:val="19"/>
          <w:szCs w:val="19"/>
        </w:rPr>
        <w:t xml:space="preserve">, M., Gregory, T. and </w:t>
      </w:r>
      <w:proofErr w:type="spellStart"/>
      <w:r w:rsidRPr="00FD03F7">
        <w:rPr>
          <w:rFonts w:cs="Arial"/>
          <w:sz w:val="19"/>
          <w:szCs w:val="19"/>
        </w:rPr>
        <w:t>Zierahn</w:t>
      </w:r>
      <w:proofErr w:type="spellEnd"/>
      <w:r w:rsidRPr="00FD03F7">
        <w:rPr>
          <w:rFonts w:cs="Arial"/>
          <w:sz w:val="19"/>
          <w:szCs w:val="19"/>
        </w:rPr>
        <w:t xml:space="preserve">, U. (2017). “Revisiting the Risk of Automation”. </w:t>
      </w:r>
      <w:r w:rsidRPr="00FD03F7">
        <w:rPr>
          <w:rFonts w:cs="Arial"/>
          <w:i/>
          <w:iCs/>
          <w:sz w:val="19"/>
          <w:szCs w:val="19"/>
        </w:rPr>
        <w:t>Economics Letters</w:t>
      </w:r>
      <w:r w:rsidRPr="00FD03F7">
        <w:rPr>
          <w:rFonts w:cs="Arial"/>
          <w:sz w:val="19"/>
          <w:szCs w:val="19"/>
        </w:rPr>
        <w:t>, Vol. 159, pp. 157-160.</w:t>
      </w:r>
    </w:p>
    <w:p w14:paraId="28497866" w14:textId="77777777" w:rsidR="009550DB" w:rsidRPr="00FD03F7" w:rsidRDefault="009550DB" w:rsidP="009550DB">
      <w:pPr>
        <w:spacing w:after="120" w:line="240" w:lineRule="auto"/>
        <w:ind w:left="426" w:hanging="426"/>
        <w:rPr>
          <w:rFonts w:cs="Arial"/>
          <w:sz w:val="19"/>
          <w:szCs w:val="19"/>
        </w:rPr>
      </w:pPr>
      <w:r w:rsidRPr="00FD03F7">
        <w:rPr>
          <w:rFonts w:cs="Arial"/>
          <w:sz w:val="19"/>
          <w:szCs w:val="19"/>
        </w:rPr>
        <w:t xml:space="preserve">Brynjolfsson, E., and McAfee, A. (2014). </w:t>
      </w:r>
      <w:r w:rsidRPr="00FD03F7">
        <w:rPr>
          <w:rFonts w:cs="Arial"/>
          <w:i/>
          <w:iCs/>
          <w:sz w:val="19"/>
          <w:szCs w:val="19"/>
        </w:rPr>
        <w:t>The second machine age: Work, progress, and prosperity in a time of brilliant technologies</w:t>
      </w:r>
      <w:r w:rsidRPr="00FD03F7">
        <w:rPr>
          <w:rFonts w:cs="Arial"/>
          <w:sz w:val="19"/>
          <w:szCs w:val="19"/>
        </w:rPr>
        <w:t>. New York: WW Norton &amp; Company.</w:t>
      </w:r>
    </w:p>
    <w:p w14:paraId="259CAFA8" w14:textId="77777777" w:rsidR="009550DB" w:rsidRPr="00213995" w:rsidRDefault="009550DB" w:rsidP="009550DB">
      <w:pPr>
        <w:pStyle w:val="Bibliographytext"/>
        <w:spacing w:line="240" w:lineRule="auto"/>
        <w:ind w:left="426" w:right="-292" w:hanging="426"/>
        <w:rPr>
          <w:rFonts w:cs="Arial"/>
          <w:sz w:val="19"/>
          <w:szCs w:val="19"/>
        </w:rPr>
      </w:pPr>
      <w:r w:rsidRPr="00FD03F7">
        <w:rPr>
          <w:rFonts w:cs="Arial"/>
          <w:sz w:val="19"/>
          <w:szCs w:val="19"/>
        </w:rPr>
        <w:t xml:space="preserve">Cedefop (2019). </w:t>
      </w:r>
      <w:r w:rsidRPr="00FD03F7">
        <w:rPr>
          <w:rFonts w:cs="Arial"/>
          <w:i/>
          <w:sz w:val="19"/>
          <w:szCs w:val="19"/>
        </w:rPr>
        <w:t>The online job vacancy market in the EU - driving forces and emerging trends</w:t>
      </w:r>
      <w:r w:rsidRPr="00FD03F7">
        <w:rPr>
          <w:rFonts w:cs="Arial"/>
          <w:sz w:val="19"/>
          <w:szCs w:val="19"/>
        </w:rPr>
        <w:t xml:space="preserve">. Available online: </w:t>
      </w:r>
      <w:hyperlink r:id="rId12" w:history="1">
        <w:r w:rsidRPr="00FD03F7">
          <w:rPr>
            <w:rStyle w:val="Hyperlink"/>
            <w:rFonts w:cs="Arial"/>
            <w:sz w:val="19"/>
            <w:szCs w:val="19"/>
          </w:rPr>
          <w:t>https://www.cedefop.europa.eu/files/5572_en.pdf</w:t>
        </w:r>
      </w:hyperlink>
      <w:r w:rsidRPr="00213995">
        <w:rPr>
          <w:rFonts w:cs="Arial"/>
          <w:sz w:val="19"/>
          <w:szCs w:val="19"/>
        </w:rPr>
        <w:t xml:space="preserve"> </w:t>
      </w:r>
    </w:p>
    <w:p w14:paraId="070B8844" w14:textId="77777777" w:rsidR="009550DB" w:rsidRPr="00FD03F7" w:rsidRDefault="009550DB" w:rsidP="009550DB">
      <w:pPr>
        <w:spacing w:after="120" w:line="240" w:lineRule="auto"/>
        <w:ind w:left="426" w:hanging="426"/>
        <w:rPr>
          <w:rFonts w:cs="Arial"/>
          <w:sz w:val="19"/>
          <w:szCs w:val="19"/>
        </w:rPr>
      </w:pPr>
      <w:r w:rsidRPr="00FD03F7">
        <w:rPr>
          <w:rFonts w:cs="Arial"/>
          <w:sz w:val="19"/>
          <w:szCs w:val="19"/>
        </w:rPr>
        <w:t xml:space="preserve">Chernoff, A.W. and Warman, C. (2020), Covid-19 and implications for automation, NBER WP 27249 </w:t>
      </w:r>
      <w:hyperlink r:id="rId13" w:history="1">
        <w:r w:rsidRPr="00FD03F7">
          <w:rPr>
            <w:rStyle w:val="Hyperlink"/>
            <w:rFonts w:eastAsiaTheme="minorHAnsi" w:cs="Arial"/>
            <w:sz w:val="19"/>
            <w:szCs w:val="19"/>
            <w:lang w:eastAsia="en-US"/>
          </w:rPr>
          <w:t>http://www.nber.org/papers/w27249</w:t>
        </w:r>
      </w:hyperlink>
      <w:r w:rsidRPr="00FD03F7">
        <w:rPr>
          <w:rFonts w:eastAsiaTheme="minorHAnsi" w:cs="Arial"/>
          <w:sz w:val="19"/>
          <w:szCs w:val="19"/>
          <w:lang w:eastAsia="en-US"/>
        </w:rPr>
        <w:t xml:space="preserve"> </w:t>
      </w:r>
    </w:p>
    <w:p w14:paraId="60775013" w14:textId="77777777" w:rsidR="009550DB" w:rsidRPr="00FD03F7" w:rsidRDefault="009550DB" w:rsidP="009550DB">
      <w:pPr>
        <w:spacing w:after="120" w:line="240" w:lineRule="auto"/>
        <w:ind w:left="426" w:hanging="426"/>
        <w:rPr>
          <w:rFonts w:cs="Arial"/>
          <w:sz w:val="19"/>
          <w:szCs w:val="19"/>
        </w:rPr>
      </w:pPr>
      <w:r w:rsidRPr="00FD03F7">
        <w:rPr>
          <w:rFonts w:cs="Arial"/>
          <w:sz w:val="19"/>
          <w:szCs w:val="19"/>
        </w:rPr>
        <w:t xml:space="preserve">Ford, M. (2015). </w:t>
      </w:r>
      <w:r w:rsidRPr="00FD03F7">
        <w:rPr>
          <w:rFonts w:cs="Arial"/>
          <w:i/>
          <w:sz w:val="19"/>
          <w:szCs w:val="19"/>
        </w:rPr>
        <w:t>Rise of the robots: technology and the threat of a jobless future</w:t>
      </w:r>
      <w:r w:rsidRPr="00FD03F7">
        <w:rPr>
          <w:rFonts w:cs="Arial"/>
          <w:sz w:val="19"/>
          <w:szCs w:val="19"/>
        </w:rPr>
        <w:t xml:space="preserve">, Basic books: New York.  </w:t>
      </w:r>
    </w:p>
    <w:p w14:paraId="5C47CBA8" w14:textId="77777777" w:rsidR="009550DB" w:rsidRPr="00FD03F7" w:rsidRDefault="009550DB" w:rsidP="009550DB">
      <w:pPr>
        <w:autoSpaceDE w:val="0"/>
        <w:autoSpaceDN w:val="0"/>
        <w:adjustRightInd w:val="0"/>
        <w:spacing w:after="120" w:line="240" w:lineRule="auto"/>
        <w:ind w:left="426" w:hanging="426"/>
        <w:rPr>
          <w:rFonts w:cs="Arial"/>
          <w:sz w:val="19"/>
          <w:szCs w:val="19"/>
        </w:rPr>
      </w:pPr>
      <w:r w:rsidRPr="00FD03F7">
        <w:rPr>
          <w:rFonts w:cs="Arial"/>
          <w:sz w:val="19"/>
          <w:szCs w:val="19"/>
        </w:rPr>
        <w:t xml:space="preserve">Frey, C. and Osborne, M. (2013). </w:t>
      </w:r>
      <w:r w:rsidRPr="00FD03F7">
        <w:rPr>
          <w:rFonts w:cs="Arial"/>
          <w:i/>
          <w:iCs/>
          <w:sz w:val="19"/>
          <w:szCs w:val="19"/>
        </w:rPr>
        <w:t>The future of employment: how susceptible are jobs to computerisation</w:t>
      </w:r>
      <w:r w:rsidRPr="00FD03F7">
        <w:rPr>
          <w:rFonts w:cs="Arial"/>
          <w:sz w:val="19"/>
          <w:szCs w:val="19"/>
        </w:rPr>
        <w:t>, University of Oxford.</w:t>
      </w:r>
    </w:p>
    <w:p w14:paraId="495CD54E" w14:textId="77777777" w:rsidR="009550DB" w:rsidRPr="00FD03F7" w:rsidRDefault="009550DB" w:rsidP="009550DB">
      <w:pPr>
        <w:spacing w:after="120" w:line="240" w:lineRule="auto"/>
        <w:ind w:left="426" w:hanging="426"/>
        <w:rPr>
          <w:rFonts w:cs="Arial"/>
          <w:sz w:val="19"/>
          <w:szCs w:val="19"/>
        </w:rPr>
      </w:pPr>
      <w:proofErr w:type="spellStart"/>
      <w:r w:rsidRPr="00FD03F7">
        <w:rPr>
          <w:rFonts w:cs="Arial"/>
          <w:sz w:val="19"/>
          <w:szCs w:val="19"/>
        </w:rPr>
        <w:t>Nedelkoska</w:t>
      </w:r>
      <w:proofErr w:type="spellEnd"/>
      <w:r w:rsidRPr="00FD03F7">
        <w:rPr>
          <w:rFonts w:cs="Arial"/>
          <w:sz w:val="19"/>
          <w:szCs w:val="19"/>
        </w:rPr>
        <w:t xml:space="preserve">, L. and G. </w:t>
      </w:r>
      <w:proofErr w:type="spellStart"/>
      <w:r w:rsidRPr="00FD03F7">
        <w:rPr>
          <w:rFonts w:cs="Arial"/>
          <w:sz w:val="19"/>
          <w:szCs w:val="19"/>
        </w:rPr>
        <w:t>Quintini</w:t>
      </w:r>
      <w:proofErr w:type="spellEnd"/>
      <w:r w:rsidRPr="00FD03F7">
        <w:rPr>
          <w:rFonts w:cs="Arial"/>
          <w:sz w:val="19"/>
          <w:szCs w:val="19"/>
        </w:rPr>
        <w:t xml:space="preserve"> (2018). “Automation, skills use and training”, </w:t>
      </w:r>
      <w:r w:rsidRPr="00FD03F7">
        <w:rPr>
          <w:rFonts w:cs="Arial"/>
          <w:i/>
          <w:iCs/>
          <w:sz w:val="19"/>
          <w:szCs w:val="19"/>
        </w:rPr>
        <w:t>OECD Social, Employment and Migration Working Papers</w:t>
      </w:r>
      <w:r w:rsidRPr="00FD03F7">
        <w:rPr>
          <w:rFonts w:cs="Arial"/>
          <w:sz w:val="19"/>
          <w:szCs w:val="19"/>
        </w:rPr>
        <w:t xml:space="preserve">, No. 202, OECD Publishing, Paris. </w:t>
      </w:r>
    </w:p>
    <w:p w14:paraId="096FF30C" w14:textId="77777777" w:rsidR="009550DB" w:rsidRPr="00FD03F7" w:rsidRDefault="009550DB" w:rsidP="009550DB">
      <w:pPr>
        <w:spacing w:after="120" w:line="240" w:lineRule="auto"/>
        <w:ind w:left="426" w:hanging="426"/>
        <w:rPr>
          <w:rFonts w:cs="Arial"/>
          <w:sz w:val="19"/>
          <w:szCs w:val="19"/>
        </w:rPr>
      </w:pPr>
      <w:proofErr w:type="spellStart"/>
      <w:r w:rsidRPr="00FD03F7">
        <w:rPr>
          <w:rFonts w:cs="Arial"/>
          <w:sz w:val="19"/>
          <w:szCs w:val="19"/>
        </w:rPr>
        <w:t>Pouliakas,</w:t>
      </w:r>
      <w:proofErr w:type="spellEnd"/>
      <w:r w:rsidRPr="00FD03F7">
        <w:rPr>
          <w:rFonts w:cs="Arial"/>
          <w:sz w:val="19"/>
          <w:szCs w:val="19"/>
        </w:rPr>
        <w:t xml:space="preserve"> K. (2018). “Automation risk in the EU labour market: a skill-needs approach”, in Hogarth, T. (ed) </w:t>
      </w:r>
      <w:r w:rsidRPr="00FD03F7">
        <w:rPr>
          <w:rFonts w:cs="Arial"/>
          <w:i/>
          <w:sz w:val="19"/>
          <w:szCs w:val="19"/>
        </w:rPr>
        <w:t>Economy, employment and skills: European, regional and global perspectives in an age of uncertainty</w:t>
      </w:r>
      <w:r w:rsidRPr="00FD03F7">
        <w:rPr>
          <w:rFonts w:cs="Arial"/>
          <w:sz w:val="19"/>
          <w:szCs w:val="19"/>
        </w:rPr>
        <w:t>, Rome.</w:t>
      </w:r>
    </w:p>
    <w:p w14:paraId="26CBC171" w14:textId="77777777" w:rsidR="009550DB" w:rsidRPr="00FD03F7" w:rsidRDefault="009550DB" w:rsidP="009550DB">
      <w:pPr>
        <w:autoSpaceDE w:val="0"/>
        <w:autoSpaceDN w:val="0"/>
        <w:adjustRightInd w:val="0"/>
        <w:spacing w:line="240" w:lineRule="auto"/>
        <w:ind w:left="284" w:hanging="284"/>
        <w:rPr>
          <w:rFonts w:cs="Arial"/>
          <w:color w:val="548ED5"/>
          <w:sz w:val="19"/>
          <w:szCs w:val="19"/>
        </w:rPr>
      </w:pPr>
      <w:proofErr w:type="spellStart"/>
      <w:r w:rsidRPr="00FD03F7">
        <w:rPr>
          <w:rFonts w:cs="Arial"/>
          <w:color w:val="000000"/>
          <w:sz w:val="19"/>
          <w:szCs w:val="19"/>
        </w:rPr>
        <w:t>Pouliakas,</w:t>
      </w:r>
      <w:proofErr w:type="spellEnd"/>
      <w:r w:rsidRPr="00FD03F7">
        <w:rPr>
          <w:rFonts w:cs="Arial"/>
          <w:color w:val="000000"/>
          <w:sz w:val="19"/>
          <w:szCs w:val="19"/>
        </w:rPr>
        <w:t xml:space="preserve"> K. and </w:t>
      </w:r>
      <w:proofErr w:type="spellStart"/>
      <w:r w:rsidRPr="00FD03F7">
        <w:rPr>
          <w:rFonts w:cs="Arial"/>
          <w:color w:val="000000"/>
          <w:sz w:val="19"/>
          <w:szCs w:val="19"/>
        </w:rPr>
        <w:t>Branka</w:t>
      </w:r>
      <w:proofErr w:type="spellEnd"/>
      <w:r w:rsidRPr="00FD03F7">
        <w:rPr>
          <w:rFonts w:cs="Arial"/>
          <w:color w:val="000000"/>
          <w:sz w:val="19"/>
          <w:szCs w:val="19"/>
        </w:rPr>
        <w:t xml:space="preserve">, J. (2020). </w:t>
      </w:r>
      <w:r w:rsidRPr="00FD03F7">
        <w:rPr>
          <w:rFonts w:cs="Arial"/>
          <w:i/>
          <w:iCs/>
          <w:color w:val="000000"/>
          <w:sz w:val="19"/>
          <w:szCs w:val="19"/>
        </w:rPr>
        <w:t xml:space="preserve">EU jobs at highest risk of Covid-19 social distancing: Is the pandemic exacerbating the labour market divide? </w:t>
      </w:r>
      <w:r w:rsidRPr="00FD03F7">
        <w:rPr>
          <w:rFonts w:cs="Arial"/>
          <w:color w:val="000000"/>
          <w:sz w:val="19"/>
          <w:szCs w:val="19"/>
        </w:rPr>
        <w:t xml:space="preserve">Luxembourg: Publications Office of the European Union. Cedefop working paper; No 1. </w:t>
      </w:r>
      <w:hyperlink r:id="rId14" w:history="1">
        <w:r w:rsidRPr="00FD03F7">
          <w:rPr>
            <w:rStyle w:val="Hyperlink"/>
            <w:rFonts w:cs="Arial"/>
            <w:sz w:val="19"/>
            <w:szCs w:val="19"/>
          </w:rPr>
          <w:t>http://data.europa.eu/doi/10.2801/968483</w:t>
        </w:r>
      </w:hyperlink>
    </w:p>
    <w:p w14:paraId="5B919D00" w14:textId="77777777" w:rsidR="00B752FB" w:rsidRPr="009550DB" w:rsidRDefault="00B752FB" w:rsidP="00F165D7">
      <w:pPr>
        <w:pStyle w:val="Bibliographytext"/>
        <w:ind w:left="426" w:right="-292" w:hanging="426"/>
        <w:rPr>
          <w:rFonts w:cs="Arial"/>
          <w:sz w:val="18"/>
        </w:rPr>
      </w:pPr>
    </w:p>
    <w:sectPr w:rsidR="00B752FB" w:rsidRPr="009550D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DE614" w14:textId="77777777" w:rsidR="003220DC" w:rsidRDefault="003220DC" w:rsidP="00C670B9">
      <w:pPr>
        <w:spacing w:line="240" w:lineRule="auto"/>
      </w:pPr>
      <w:r>
        <w:separator/>
      </w:r>
    </w:p>
  </w:endnote>
  <w:endnote w:type="continuationSeparator" w:id="0">
    <w:p w14:paraId="4F813B3C" w14:textId="77777777" w:rsidR="003220DC" w:rsidRDefault="003220DC" w:rsidP="00C67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464632"/>
      <w:docPartObj>
        <w:docPartGallery w:val="Page Numbers (Bottom of Page)"/>
        <w:docPartUnique/>
      </w:docPartObj>
    </w:sdtPr>
    <w:sdtEndPr>
      <w:rPr>
        <w:noProof/>
      </w:rPr>
    </w:sdtEndPr>
    <w:sdtContent>
      <w:p w14:paraId="61F57F5B" w14:textId="77777777" w:rsidR="003220DC" w:rsidRDefault="00322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23A718" w14:textId="77777777" w:rsidR="003220DC" w:rsidRDefault="00322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E2390" w14:textId="77777777" w:rsidR="003220DC" w:rsidRDefault="003220DC" w:rsidP="00C670B9">
      <w:pPr>
        <w:spacing w:line="240" w:lineRule="auto"/>
      </w:pPr>
      <w:r>
        <w:separator/>
      </w:r>
    </w:p>
  </w:footnote>
  <w:footnote w:type="continuationSeparator" w:id="0">
    <w:p w14:paraId="4434B547" w14:textId="77777777" w:rsidR="003220DC" w:rsidRDefault="003220DC" w:rsidP="00C670B9">
      <w:pPr>
        <w:spacing w:line="240" w:lineRule="auto"/>
      </w:pPr>
      <w:r>
        <w:continuationSeparator/>
      </w:r>
    </w:p>
  </w:footnote>
  <w:footnote w:id="1">
    <w:p w14:paraId="41DE05F5" w14:textId="6C4D2A43" w:rsidR="00C4506D" w:rsidRPr="001A18A2" w:rsidRDefault="00C4506D" w:rsidP="001A18A2">
      <w:pPr>
        <w:spacing w:line="240" w:lineRule="auto"/>
        <w:ind w:right="-292" w:firstLine="0"/>
        <w:rPr>
          <w:rFonts w:asciiTheme="minorHAnsi" w:hAnsiTheme="minorHAnsi" w:cstheme="minorHAnsi"/>
          <w:iCs/>
          <w:sz w:val="20"/>
          <w:szCs w:val="20"/>
        </w:rPr>
      </w:pPr>
      <w:r w:rsidRPr="00BE2407">
        <w:rPr>
          <w:rFonts w:asciiTheme="minorHAnsi" w:hAnsiTheme="minorHAnsi" w:cstheme="minorHAnsi"/>
          <w:sz w:val="20"/>
          <w:szCs w:val="20"/>
        </w:rPr>
        <w:t>(</w:t>
      </w:r>
      <w:r w:rsidRPr="00BE2407">
        <w:rPr>
          <w:rStyle w:val="FootnoteReference"/>
          <w:rFonts w:asciiTheme="minorHAnsi" w:hAnsiTheme="minorHAnsi" w:cstheme="minorHAnsi"/>
          <w:sz w:val="20"/>
          <w:szCs w:val="20"/>
        </w:rPr>
        <w:footnoteRef/>
      </w:r>
      <w:r w:rsidRPr="00BE2407">
        <w:rPr>
          <w:rFonts w:asciiTheme="minorHAnsi" w:hAnsiTheme="minorHAnsi" w:cstheme="minorHAnsi"/>
          <w:sz w:val="20"/>
          <w:szCs w:val="20"/>
        </w:rPr>
        <w:t xml:space="preserve">) Contact information: Cedefop, Europe 123, 57001 </w:t>
      </w:r>
      <w:proofErr w:type="spellStart"/>
      <w:r w:rsidRPr="00BE2407">
        <w:rPr>
          <w:rFonts w:asciiTheme="minorHAnsi" w:hAnsiTheme="minorHAnsi" w:cstheme="minorHAnsi"/>
          <w:sz w:val="20"/>
          <w:szCs w:val="20"/>
        </w:rPr>
        <w:t>Thermi</w:t>
      </w:r>
      <w:proofErr w:type="spellEnd"/>
      <w:r w:rsidRPr="00BE2407">
        <w:rPr>
          <w:rFonts w:asciiTheme="minorHAnsi" w:hAnsiTheme="minorHAnsi" w:cstheme="minorHAnsi"/>
          <w:sz w:val="20"/>
          <w:szCs w:val="20"/>
        </w:rPr>
        <w:t xml:space="preserve">, Thessaloniki, Greece; Tel: +030 490 292; email: </w:t>
      </w:r>
      <w:hyperlink r:id="rId1" w:history="1">
        <w:r w:rsidRPr="00BE2407">
          <w:rPr>
            <w:rStyle w:val="Hyperlink"/>
            <w:rFonts w:asciiTheme="minorHAnsi" w:hAnsiTheme="minorHAnsi" w:cstheme="minorHAnsi"/>
            <w:sz w:val="20"/>
            <w:szCs w:val="20"/>
          </w:rPr>
          <w:t>konstantinos.pouliakas@cedefop.europa.eu</w:t>
        </w:r>
      </w:hyperlink>
      <w:r w:rsidRPr="00BE2407">
        <w:rPr>
          <w:rStyle w:val="Hyperlink"/>
          <w:rFonts w:asciiTheme="minorHAnsi" w:hAnsiTheme="minorHAnsi" w:cstheme="minorHAnsi"/>
          <w:sz w:val="20"/>
          <w:szCs w:val="20"/>
        </w:rPr>
        <w:t xml:space="preserve"> </w:t>
      </w:r>
    </w:p>
  </w:footnote>
  <w:footnote w:id="2">
    <w:p w14:paraId="710DB209" w14:textId="33359206" w:rsidR="003220DC" w:rsidRPr="00A61ED4" w:rsidRDefault="001A18A2">
      <w:pPr>
        <w:pStyle w:val="FootnoteText"/>
        <w:rPr>
          <w:rFonts w:asciiTheme="minorHAnsi" w:hAnsiTheme="minorHAnsi" w:cstheme="minorHAnsi"/>
        </w:rPr>
      </w:pPr>
      <w:r>
        <w:rPr>
          <w:rFonts w:asciiTheme="minorHAnsi" w:hAnsiTheme="minorHAnsi" w:cstheme="minorHAnsi"/>
        </w:rPr>
        <w:t>(</w:t>
      </w:r>
      <w:r w:rsidR="003220DC" w:rsidRPr="00A61ED4">
        <w:rPr>
          <w:rStyle w:val="FootnoteReference"/>
          <w:rFonts w:asciiTheme="minorHAnsi" w:hAnsiTheme="minorHAnsi" w:cstheme="minorHAnsi"/>
        </w:rPr>
        <w:footnoteRef/>
      </w:r>
      <w:r>
        <w:rPr>
          <w:rFonts w:asciiTheme="minorHAnsi" w:hAnsiTheme="minorHAnsi" w:cstheme="minorHAnsi"/>
        </w:rPr>
        <w:t>)</w:t>
      </w:r>
      <w:r w:rsidR="003220DC" w:rsidRPr="00A61ED4">
        <w:rPr>
          <w:rFonts w:asciiTheme="minorHAnsi" w:hAnsiTheme="minorHAnsi" w:cstheme="minorHAnsi"/>
        </w:rPr>
        <w:t xml:space="preserve"> </w:t>
      </w:r>
      <w:hyperlink r:id="rId2" w:history="1">
        <w:r w:rsidR="003220DC" w:rsidRPr="00A61ED4">
          <w:rPr>
            <w:rStyle w:val="Hyperlink"/>
            <w:rFonts w:asciiTheme="minorHAnsi" w:hAnsiTheme="minorHAnsi" w:cstheme="minorHAnsi"/>
          </w:rPr>
          <w:t>https://ec.europa.eu/social/main.jsp?catId=1223&amp;langId=en</w:t>
        </w:r>
      </w:hyperlink>
      <w:r w:rsidR="003220DC" w:rsidRPr="00A61ED4">
        <w:rPr>
          <w:rFonts w:asciiTheme="minorHAnsi" w:hAnsiTheme="minorHAnsi" w:cstheme="minorHAnsi"/>
        </w:rPr>
        <w:t xml:space="preserve"> </w:t>
      </w:r>
    </w:p>
  </w:footnote>
  <w:footnote w:id="3">
    <w:p w14:paraId="7951BE7E" w14:textId="180EAB6A" w:rsidR="00C4506D" w:rsidRDefault="001A18A2" w:rsidP="009550DB">
      <w:pPr>
        <w:spacing w:after="240" w:line="276" w:lineRule="auto"/>
        <w:ind w:firstLine="0"/>
      </w:pPr>
      <w:r>
        <w:rPr>
          <w:rFonts w:asciiTheme="minorHAnsi" w:hAnsiTheme="minorHAnsi" w:cstheme="minorHAnsi"/>
          <w:sz w:val="18"/>
        </w:rPr>
        <w:t>(</w:t>
      </w:r>
      <w:r w:rsidR="00C4506D" w:rsidRPr="00C4506D">
        <w:rPr>
          <w:rStyle w:val="FootnoteReference"/>
          <w:rFonts w:asciiTheme="minorHAnsi" w:hAnsiTheme="minorHAnsi" w:cstheme="minorHAnsi"/>
          <w:sz w:val="18"/>
        </w:rPr>
        <w:footnoteRef/>
      </w:r>
      <w:r>
        <w:rPr>
          <w:rFonts w:asciiTheme="minorHAnsi" w:hAnsiTheme="minorHAnsi" w:cstheme="minorHAnsi"/>
          <w:sz w:val="18"/>
        </w:rPr>
        <w:t>)</w:t>
      </w:r>
      <w:r w:rsidR="00C4506D" w:rsidRPr="00C4506D">
        <w:rPr>
          <w:rFonts w:asciiTheme="minorHAnsi" w:hAnsiTheme="minorHAnsi" w:cstheme="minorHAnsi"/>
          <w:sz w:val="18"/>
        </w:rPr>
        <w:t xml:space="preserve"> Within each broad ‘skill cluster’ lies a range of individual, more detailed, skills e.g. ‘interacting with computers’ is comprised of ‘use a computer’ / ‘use Microsoft office’ / ‘use office systems’ / ‘use spreadsheets’ etc</w:t>
      </w:r>
      <w:r>
        <w:rPr>
          <w:rFonts w:asciiTheme="minorHAnsi" w:hAnsiTheme="minorHAnsi" w:cstheme="minorHAnsi"/>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A0DC6"/>
    <w:multiLevelType w:val="hybridMultilevel"/>
    <w:tmpl w:val="4330D5D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61621F"/>
    <w:multiLevelType w:val="hybridMultilevel"/>
    <w:tmpl w:val="F402A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7C11868"/>
    <w:multiLevelType w:val="hybridMultilevel"/>
    <w:tmpl w:val="714280F0"/>
    <w:lvl w:ilvl="0" w:tplc="44B2EC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478F9"/>
    <w:multiLevelType w:val="hybridMultilevel"/>
    <w:tmpl w:val="810A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B9"/>
    <w:rsid w:val="0005278A"/>
    <w:rsid w:val="00062C42"/>
    <w:rsid w:val="0008684D"/>
    <w:rsid w:val="000A7052"/>
    <w:rsid w:val="000B12D3"/>
    <w:rsid w:val="000B653C"/>
    <w:rsid w:val="00160C26"/>
    <w:rsid w:val="00174018"/>
    <w:rsid w:val="001A18A2"/>
    <w:rsid w:val="00213995"/>
    <w:rsid w:val="003220DC"/>
    <w:rsid w:val="00377954"/>
    <w:rsid w:val="00413F67"/>
    <w:rsid w:val="004A7E9F"/>
    <w:rsid w:val="0060102E"/>
    <w:rsid w:val="006A3962"/>
    <w:rsid w:val="006E69DD"/>
    <w:rsid w:val="0071161B"/>
    <w:rsid w:val="0071762B"/>
    <w:rsid w:val="007533DF"/>
    <w:rsid w:val="007A1EAD"/>
    <w:rsid w:val="007C44FC"/>
    <w:rsid w:val="007D7CD7"/>
    <w:rsid w:val="00813C1C"/>
    <w:rsid w:val="00822F3C"/>
    <w:rsid w:val="00880FE8"/>
    <w:rsid w:val="009550DB"/>
    <w:rsid w:val="00957F2A"/>
    <w:rsid w:val="0096434F"/>
    <w:rsid w:val="009C68AD"/>
    <w:rsid w:val="00A61ED4"/>
    <w:rsid w:val="00A62859"/>
    <w:rsid w:val="00A853C0"/>
    <w:rsid w:val="00AF7B81"/>
    <w:rsid w:val="00B508C0"/>
    <w:rsid w:val="00B655FF"/>
    <w:rsid w:val="00B752FB"/>
    <w:rsid w:val="00BA2429"/>
    <w:rsid w:val="00BE2407"/>
    <w:rsid w:val="00BE74C1"/>
    <w:rsid w:val="00C169FA"/>
    <w:rsid w:val="00C4506D"/>
    <w:rsid w:val="00C541DD"/>
    <w:rsid w:val="00C670B9"/>
    <w:rsid w:val="00CA054A"/>
    <w:rsid w:val="00D06494"/>
    <w:rsid w:val="00D30734"/>
    <w:rsid w:val="00D3510F"/>
    <w:rsid w:val="00DD5916"/>
    <w:rsid w:val="00E159BF"/>
    <w:rsid w:val="00F165D7"/>
    <w:rsid w:val="00F215E6"/>
    <w:rsid w:val="00F42D72"/>
    <w:rsid w:val="00FD03F7"/>
    <w:rsid w:val="00FD672F"/>
    <w:rsid w:val="00FE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1DE5"/>
  <w15:chartTrackingRefBased/>
  <w15:docId w15:val="{323CFFF1-1902-486A-A54E-71901A38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670B9"/>
    <w:pPr>
      <w:spacing w:after="0" w:line="320" w:lineRule="exact"/>
      <w:ind w:firstLine="454"/>
      <w:jc w:val="both"/>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70B9"/>
    <w:rPr>
      <w:color w:val="548DD4"/>
    </w:rPr>
  </w:style>
  <w:style w:type="paragraph" w:customStyle="1" w:styleId="Abstracttext">
    <w:name w:val="Abstract text"/>
    <w:basedOn w:val="Normal"/>
    <w:locked/>
    <w:rsid w:val="00C670B9"/>
    <w:pPr>
      <w:spacing w:after="60"/>
      <w:ind w:firstLine="0"/>
      <w:jc w:val="left"/>
    </w:pPr>
    <w:rPr>
      <w:color w:val="003399"/>
      <w:sz w:val="28"/>
    </w:rPr>
  </w:style>
  <w:style w:type="paragraph" w:customStyle="1" w:styleId="Subtitle1">
    <w:name w:val="Subtitle1"/>
    <w:basedOn w:val="Normal"/>
    <w:link w:val="subtitleChar"/>
    <w:locked/>
    <w:rsid w:val="00C670B9"/>
    <w:pPr>
      <w:spacing w:before="480" w:line="240" w:lineRule="auto"/>
      <w:ind w:firstLine="0"/>
      <w:jc w:val="center"/>
      <w:outlineLvl w:val="7"/>
    </w:pPr>
    <w:rPr>
      <w:iCs/>
      <w:sz w:val="28"/>
      <w:lang w:val="en-IE"/>
    </w:rPr>
  </w:style>
  <w:style w:type="character" w:customStyle="1" w:styleId="subtitleChar">
    <w:name w:val="subtitle Char"/>
    <w:link w:val="Subtitle1"/>
    <w:rsid w:val="00C670B9"/>
    <w:rPr>
      <w:rFonts w:ascii="Arial" w:eastAsia="Times New Roman" w:hAnsi="Arial" w:cs="Times New Roman"/>
      <w:iCs/>
      <w:sz w:val="28"/>
      <w:lang w:val="en-IE" w:eastAsia="en-GB"/>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ADB,f,Footnote,o"/>
    <w:basedOn w:val="Normal"/>
    <w:link w:val="FootnoteTextChar"/>
    <w:uiPriority w:val="99"/>
    <w:qFormat/>
    <w:rsid w:val="00C670B9"/>
    <w:pPr>
      <w:spacing w:after="80" w:line="240" w:lineRule="exact"/>
      <w:ind w:left="397" w:hanging="397"/>
    </w:pPr>
    <w:rPr>
      <w:sz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qFormat/>
    <w:rsid w:val="00C670B9"/>
    <w:rPr>
      <w:rFonts w:ascii="Arial" w:eastAsia="Times New Roman" w:hAnsi="Arial" w:cs="Times New Roman"/>
      <w:sz w:val="20"/>
      <w:lang w:eastAsia="en-GB"/>
    </w:rPr>
  </w:style>
  <w:style w:type="character" w:styleId="FootnoteReference">
    <w:name w:val="footnote reference"/>
    <w:aliases w:val="Footnote symbol,-E Fußnotenzeichen,Times 10 Point,Exposant 3 Point,Fußnotenzeichen2,Voetnootverwijzing,Footnote Reference Superscript,Footnote reference number,EN Footnote Reference,note TESI,Ref,de nota al pie,SUPERS,number,BVI fnr"/>
    <w:link w:val="FootnotesymbolCarZchn"/>
    <w:uiPriority w:val="99"/>
    <w:qFormat/>
    <w:rsid w:val="00C670B9"/>
    <w:rPr>
      <w:vertAlign w:val="superscript"/>
    </w:rPr>
  </w:style>
  <w:style w:type="paragraph" w:customStyle="1" w:styleId="Normalnoindent">
    <w:name w:val="Normal (no indent)"/>
    <w:basedOn w:val="Normal"/>
    <w:next w:val="Normal"/>
    <w:link w:val="NormalnoindentChar"/>
    <w:qFormat/>
    <w:locked/>
    <w:rsid w:val="00C670B9"/>
    <w:pPr>
      <w:ind w:firstLine="0"/>
    </w:pPr>
  </w:style>
  <w:style w:type="character" w:customStyle="1" w:styleId="NormalnoindentChar">
    <w:name w:val="Normal (no indent) Char"/>
    <w:basedOn w:val="DefaultParagraphFont"/>
    <w:link w:val="Normalnoindent"/>
    <w:rsid w:val="00C670B9"/>
    <w:rPr>
      <w:rFonts w:ascii="Arial" w:eastAsia="Times New Roman" w:hAnsi="Arial" w:cs="Times New Roman"/>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locked/>
    <w:rsid w:val="00C670B9"/>
    <w:pPr>
      <w:spacing w:after="160" w:line="240" w:lineRule="exact"/>
      <w:ind w:firstLine="0"/>
    </w:pPr>
    <w:rPr>
      <w:rFonts w:asciiTheme="minorHAnsi" w:eastAsiaTheme="minorHAnsi" w:hAnsiTheme="minorHAnsi" w:cstheme="minorBidi"/>
      <w:vertAlign w:val="superscript"/>
      <w:lang w:eastAsia="en-US"/>
    </w:rPr>
  </w:style>
  <w:style w:type="paragraph" w:styleId="ListParagraph">
    <w:name w:val="List Paragraph"/>
    <w:basedOn w:val="Normal"/>
    <w:uiPriority w:val="34"/>
    <w:qFormat/>
    <w:rsid w:val="00413F67"/>
    <w:pPr>
      <w:ind w:left="720"/>
      <w:contextualSpacing/>
    </w:pPr>
  </w:style>
  <w:style w:type="paragraph" w:styleId="Header">
    <w:name w:val="header"/>
    <w:basedOn w:val="Normal"/>
    <w:link w:val="HeaderChar"/>
    <w:uiPriority w:val="99"/>
    <w:unhideWhenUsed/>
    <w:rsid w:val="00BA2429"/>
    <w:pPr>
      <w:tabs>
        <w:tab w:val="center" w:pos="4513"/>
        <w:tab w:val="right" w:pos="9026"/>
      </w:tabs>
      <w:spacing w:line="240" w:lineRule="auto"/>
    </w:pPr>
  </w:style>
  <w:style w:type="character" w:customStyle="1" w:styleId="HeaderChar">
    <w:name w:val="Header Char"/>
    <w:basedOn w:val="DefaultParagraphFont"/>
    <w:link w:val="Header"/>
    <w:uiPriority w:val="99"/>
    <w:rsid w:val="00BA2429"/>
    <w:rPr>
      <w:rFonts w:ascii="Arial" w:eastAsia="Times New Roman" w:hAnsi="Arial" w:cs="Times New Roman"/>
      <w:lang w:eastAsia="en-GB"/>
    </w:rPr>
  </w:style>
  <w:style w:type="paragraph" w:styleId="Footer">
    <w:name w:val="footer"/>
    <w:basedOn w:val="Normal"/>
    <w:link w:val="FooterChar"/>
    <w:uiPriority w:val="99"/>
    <w:unhideWhenUsed/>
    <w:rsid w:val="00BA2429"/>
    <w:pPr>
      <w:tabs>
        <w:tab w:val="center" w:pos="4513"/>
        <w:tab w:val="right" w:pos="9026"/>
      </w:tabs>
      <w:spacing w:line="240" w:lineRule="auto"/>
    </w:pPr>
  </w:style>
  <w:style w:type="character" w:customStyle="1" w:styleId="FooterChar">
    <w:name w:val="Footer Char"/>
    <w:basedOn w:val="DefaultParagraphFont"/>
    <w:link w:val="Footer"/>
    <w:uiPriority w:val="99"/>
    <w:rsid w:val="00BA2429"/>
    <w:rPr>
      <w:rFonts w:ascii="Arial" w:eastAsia="Times New Roman" w:hAnsi="Arial" w:cs="Times New Roman"/>
      <w:lang w:eastAsia="en-GB"/>
    </w:rPr>
  </w:style>
  <w:style w:type="paragraph" w:customStyle="1" w:styleId="Bibliographytext">
    <w:name w:val="Bibliography text"/>
    <w:basedOn w:val="Normal"/>
    <w:locked/>
    <w:rsid w:val="007A1EAD"/>
    <w:pPr>
      <w:spacing w:after="60" w:line="280" w:lineRule="exact"/>
      <w:ind w:left="454" w:hanging="454"/>
    </w:pPr>
  </w:style>
  <w:style w:type="character" w:styleId="Strong">
    <w:name w:val="Strong"/>
    <w:basedOn w:val="DefaultParagraphFont"/>
    <w:uiPriority w:val="22"/>
    <w:qFormat/>
    <w:rsid w:val="007A1EAD"/>
    <w:rPr>
      <w:b/>
      <w:bCs/>
    </w:rPr>
  </w:style>
  <w:style w:type="paragraph" w:styleId="BalloonText">
    <w:name w:val="Balloon Text"/>
    <w:basedOn w:val="Normal"/>
    <w:link w:val="BalloonTextChar"/>
    <w:uiPriority w:val="99"/>
    <w:semiHidden/>
    <w:unhideWhenUsed/>
    <w:rsid w:val="00052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78A"/>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05278A"/>
    <w:rPr>
      <w:color w:val="954F72" w:themeColor="followedHyperlink"/>
      <w:u w:val="single"/>
    </w:rPr>
  </w:style>
  <w:style w:type="paragraph" w:styleId="Caption">
    <w:name w:val="caption"/>
    <w:basedOn w:val="Normal"/>
    <w:next w:val="Normal"/>
    <w:link w:val="CaptionChar"/>
    <w:uiPriority w:val="35"/>
    <w:qFormat/>
    <w:rsid w:val="00D06494"/>
    <w:pPr>
      <w:keepNext/>
      <w:spacing w:before="360" w:after="120" w:line="240" w:lineRule="auto"/>
      <w:ind w:left="1134" w:hanging="1134"/>
      <w:jc w:val="left"/>
    </w:pPr>
    <w:rPr>
      <w:b/>
      <w:sz w:val="20"/>
    </w:rPr>
  </w:style>
  <w:style w:type="character" w:customStyle="1" w:styleId="CaptionChar">
    <w:name w:val="Caption Char"/>
    <w:link w:val="Caption"/>
    <w:uiPriority w:val="35"/>
    <w:rsid w:val="00D06494"/>
    <w:rPr>
      <w:rFonts w:ascii="Arial" w:eastAsia="Times New Roman" w:hAnsi="Arial" w:cs="Times New Roman"/>
      <w:b/>
      <w:sz w:val="20"/>
      <w:lang w:eastAsia="en-GB"/>
    </w:rPr>
  </w:style>
  <w:style w:type="paragraph" w:customStyle="1" w:styleId="Picture">
    <w:name w:val="Picture"/>
    <w:basedOn w:val="Normal"/>
    <w:locked/>
    <w:rsid w:val="00D06494"/>
    <w:pPr>
      <w:spacing w:line="240" w:lineRule="auto"/>
      <w:ind w:firstLine="0"/>
    </w:pPr>
  </w:style>
  <w:style w:type="character" w:styleId="UnresolvedMention">
    <w:name w:val="Unresolved Mention"/>
    <w:basedOn w:val="DefaultParagraphFont"/>
    <w:uiPriority w:val="99"/>
    <w:semiHidden/>
    <w:unhideWhenUsed/>
    <w:rsid w:val="00A6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3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er.org/papers/w27249.pdf" TargetMode="External"/><Relationship Id="rId13" Type="http://schemas.openxmlformats.org/officeDocument/2006/relationships/hyperlink" Target="http://www.nber.org/papers/w27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defop.europa.eu/files/5572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defop.europa.eu/en/events-and-projects/projects/skills-online-job-vacan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ata.europa.eu/doi/10.2801/96848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social/main.jsp?catId=1223&amp;langId=en" TargetMode="External"/><Relationship Id="rId1" Type="http://schemas.openxmlformats.org/officeDocument/2006/relationships/hyperlink" Target="mailto:konstantinos.pouliakas@cedefop.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C17B-9D5C-4BFA-8DF9-0DF89C46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POULIAKAS, Konstantinos</dc:creator>
  <cp:keywords/>
  <dc:description/>
  <cp:lastModifiedBy>POULIAKAS, Konstantinos</cp:lastModifiedBy>
  <cp:revision>23</cp:revision>
  <dcterms:created xsi:type="dcterms:W3CDTF">2020-10-15T16:36:00Z</dcterms:created>
  <dcterms:modified xsi:type="dcterms:W3CDTF">2020-10-15T19:58:00Z</dcterms:modified>
</cp:coreProperties>
</file>