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ECB" w:rsidRDefault="00802ECB" w:rsidP="00802ECB">
      <w:pPr>
        <w:pStyle w:val="Title"/>
      </w:pPr>
      <w:r>
        <w:t>Nowcasting aggregate services trade</w:t>
      </w:r>
    </w:p>
    <w:p w:rsidR="00BF47F7" w:rsidRPr="001204AD" w:rsidRDefault="00BF47F7" w:rsidP="00243A2C">
      <w:pPr>
        <w:rPr>
          <w:b/>
          <w:sz w:val="5"/>
          <w:szCs w:val="5"/>
          <w:u w:val="single"/>
        </w:rPr>
      </w:pPr>
    </w:p>
    <w:p w:rsidR="00243A2C" w:rsidRPr="002B36BD" w:rsidRDefault="00243A2C" w:rsidP="00243A2C">
      <w:pPr>
        <w:rPr>
          <w:szCs w:val="24"/>
        </w:rPr>
      </w:pPr>
      <w:r w:rsidRPr="002B36BD">
        <w:rPr>
          <w:b/>
          <w:szCs w:val="24"/>
          <w:u w:val="single"/>
        </w:rPr>
        <w:t>Keywords</w:t>
      </w:r>
      <w:r w:rsidRPr="002B36BD">
        <w:rPr>
          <w:b/>
          <w:szCs w:val="24"/>
        </w:rPr>
        <w:t>:</w:t>
      </w:r>
      <w:r w:rsidRPr="002B36BD">
        <w:rPr>
          <w:szCs w:val="24"/>
        </w:rPr>
        <w:t xml:space="preserve"> </w:t>
      </w:r>
      <w:bookmarkStart w:id="0" w:name="_GoBack"/>
      <w:r w:rsidR="00802ECB" w:rsidRPr="002B36BD">
        <w:rPr>
          <w:szCs w:val="24"/>
        </w:rPr>
        <w:t xml:space="preserve">Nowcasting, international trade, services, </w:t>
      </w:r>
      <w:r w:rsidR="00F4536E" w:rsidRPr="002B36BD">
        <w:rPr>
          <w:szCs w:val="24"/>
        </w:rPr>
        <w:t>Google trends</w:t>
      </w:r>
      <w:r w:rsidR="00802ECB" w:rsidRPr="002B36BD">
        <w:rPr>
          <w:szCs w:val="24"/>
        </w:rPr>
        <w:t>, Lasso</w:t>
      </w:r>
      <w:bookmarkEnd w:id="0"/>
    </w:p>
    <w:p w:rsidR="002012A8" w:rsidRPr="002B36BD" w:rsidRDefault="002012A8" w:rsidP="002012A8">
      <w:pPr>
        <w:pStyle w:val="Heading1"/>
        <w:rPr>
          <w:szCs w:val="24"/>
        </w:rPr>
      </w:pPr>
      <w:r w:rsidRPr="002B36BD">
        <w:rPr>
          <w:szCs w:val="24"/>
        </w:rPr>
        <w:t>Introduction</w:t>
      </w:r>
    </w:p>
    <w:p w:rsidR="00E13D45" w:rsidRPr="002B36BD" w:rsidRDefault="00802ECB" w:rsidP="00802ECB">
      <w:pPr>
        <w:rPr>
          <w:szCs w:val="24"/>
        </w:rPr>
      </w:pPr>
      <w:r w:rsidRPr="002B36BD">
        <w:rPr>
          <w:szCs w:val="24"/>
        </w:rPr>
        <w:t>The increasing importance of services trade in the global economy contrasts with the lack of timely data to</w:t>
      </w:r>
      <w:r w:rsidR="00207E83" w:rsidRPr="002B36BD">
        <w:rPr>
          <w:szCs w:val="24"/>
        </w:rPr>
        <w:t xml:space="preserve"> monitor </w:t>
      </w:r>
      <w:r w:rsidR="00345DEC" w:rsidRPr="002B36BD">
        <w:rPr>
          <w:szCs w:val="24"/>
        </w:rPr>
        <w:t>current trends</w:t>
      </w:r>
      <w:r w:rsidRPr="002B36BD">
        <w:rPr>
          <w:szCs w:val="24"/>
        </w:rPr>
        <w:t>. Monthly balance of payment data</w:t>
      </w:r>
      <w:r w:rsidR="0007543A">
        <w:rPr>
          <w:szCs w:val="24"/>
        </w:rPr>
        <w:t>, which are the most timely source of services trade data,</w:t>
      </w:r>
      <w:r w:rsidRPr="002B36BD">
        <w:rPr>
          <w:szCs w:val="24"/>
        </w:rPr>
        <w:t xml:space="preserve"> are published with a lag</w:t>
      </w:r>
      <w:r w:rsidR="00E51380" w:rsidRPr="002B36BD">
        <w:rPr>
          <w:szCs w:val="24"/>
        </w:rPr>
        <w:t>.</w:t>
      </w:r>
      <w:r w:rsidRPr="002B36BD">
        <w:rPr>
          <w:szCs w:val="24"/>
        </w:rPr>
        <w:t xml:space="preserve"> </w:t>
      </w:r>
      <w:r w:rsidR="00E51380" w:rsidRPr="002B36BD">
        <w:rPr>
          <w:szCs w:val="24"/>
        </w:rPr>
        <w:t>This</w:t>
      </w:r>
      <w:r w:rsidRPr="002B36BD">
        <w:rPr>
          <w:szCs w:val="24"/>
        </w:rPr>
        <w:t xml:space="preserve"> information gap poses challenges for policy-makers during times of economic volatility, as has become evident during the COVID-19 pandemic.</w:t>
      </w:r>
      <w:r w:rsidR="00E13D45" w:rsidRPr="002B36BD">
        <w:rPr>
          <w:szCs w:val="24"/>
        </w:rPr>
        <w:t xml:space="preserve"> </w:t>
      </w:r>
      <w:r w:rsidR="00345DEC" w:rsidRPr="002B36BD">
        <w:rPr>
          <w:szCs w:val="24"/>
        </w:rPr>
        <w:t>Th</w:t>
      </w:r>
      <w:r w:rsidR="00E51380" w:rsidRPr="002B36BD">
        <w:rPr>
          <w:szCs w:val="24"/>
        </w:rPr>
        <w:t xml:space="preserve">is </w:t>
      </w:r>
      <w:r w:rsidR="00345DEC" w:rsidRPr="002B36BD">
        <w:rPr>
          <w:szCs w:val="24"/>
        </w:rPr>
        <w:t xml:space="preserve">paper </w:t>
      </w:r>
      <w:r w:rsidR="00F4536E" w:rsidRPr="002B36BD">
        <w:rPr>
          <w:szCs w:val="24"/>
        </w:rPr>
        <w:t>presents a</w:t>
      </w:r>
      <w:r w:rsidR="00E13D45" w:rsidRPr="002B36BD">
        <w:rPr>
          <w:szCs w:val="24"/>
        </w:rPr>
        <w:t xml:space="preserve"> nowcasting</w:t>
      </w:r>
      <w:r w:rsidR="00345DEC" w:rsidRPr="002B36BD">
        <w:rPr>
          <w:szCs w:val="24"/>
        </w:rPr>
        <w:t xml:space="preserve"> approach </w:t>
      </w:r>
      <w:r w:rsidR="00F4536E" w:rsidRPr="002B36BD">
        <w:rPr>
          <w:szCs w:val="24"/>
        </w:rPr>
        <w:t>aimed at</w:t>
      </w:r>
      <w:r w:rsidR="00345DEC" w:rsidRPr="002B36BD">
        <w:rPr>
          <w:szCs w:val="24"/>
        </w:rPr>
        <w:t xml:space="preserve"> provid</w:t>
      </w:r>
      <w:r w:rsidR="00F4536E" w:rsidRPr="002B36BD">
        <w:rPr>
          <w:szCs w:val="24"/>
        </w:rPr>
        <w:t>ing</w:t>
      </w:r>
      <w:r w:rsidR="00345DEC" w:rsidRPr="002B36BD">
        <w:rPr>
          <w:szCs w:val="24"/>
        </w:rPr>
        <w:t xml:space="preserve"> insights on current developments in aggregate services trade, as measured by the monthly balance of payments.</w:t>
      </w:r>
    </w:p>
    <w:p w:rsidR="00F4237A" w:rsidRPr="002B36BD" w:rsidRDefault="00F4237A" w:rsidP="00F4237A">
      <w:pPr>
        <w:rPr>
          <w:szCs w:val="24"/>
        </w:rPr>
      </w:pPr>
      <w:r w:rsidRPr="002B36BD">
        <w:rPr>
          <w:szCs w:val="24"/>
        </w:rPr>
        <w:t xml:space="preserve">Existing </w:t>
      </w:r>
      <w:r w:rsidR="00E51380" w:rsidRPr="002B36BD">
        <w:rPr>
          <w:szCs w:val="24"/>
        </w:rPr>
        <w:t xml:space="preserve">trade-related </w:t>
      </w:r>
      <w:r w:rsidRPr="002B36BD">
        <w:rPr>
          <w:szCs w:val="24"/>
        </w:rPr>
        <w:t xml:space="preserve">nowcasting approaches often prioritise merchandise trade. While a limited set of contributions does consider services trade, the corresponding approaches estimate global trade flows </w:t>
      </w:r>
      <w:r w:rsidR="00E51380" w:rsidRPr="002B36BD">
        <w:rPr>
          <w:szCs w:val="24"/>
        </w:rPr>
        <w:t>(</w:t>
      </w:r>
      <w:r w:rsidR="00E24E44" w:rsidRPr="002B36BD">
        <w:rPr>
          <w:szCs w:val="24"/>
        </w:rPr>
        <w:t>[1]</w:t>
      </w:r>
      <w:r w:rsidR="00E51380" w:rsidRPr="002B36BD">
        <w:rPr>
          <w:szCs w:val="24"/>
        </w:rPr>
        <w:t>)</w:t>
      </w:r>
      <w:r w:rsidRPr="002B36BD">
        <w:rPr>
          <w:szCs w:val="24"/>
        </w:rPr>
        <w:t xml:space="preserve">. In contrast, this paper </w:t>
      </w:r>
      <w:r w:rsidR="00E51380" w:rsidRPr="002B36BD">
        <w:rPr>
          <w:szCs w:val="24"/>
        </w:rPr>
        <w:t>focuses on</w:t>
      </w:r>
      <w:r w:rsidRPr="002B36BD">
        <w:rPr>
          <w:szCs w:val="24"/>
        </w:rPr>
        <w:t xml:space="preserve"> country-specific aggregate services imports and exports as r</w:t>
      </w:r>
      <w:r w:rsidRPr="00542107">
        <w:rPr>
          <w:szCs w:val="24"/>
        </w:rPr>
        <w:t xml:space="preserve">ecorded in the </w:t>
      </w:r>
      <w:r w:rsidR="00D22532" w:rsidRPr="00542107">
        <w:rPr>
          <w:szCs w:val="24"/>
        </w:rPr>
        <w:t xml:space="preserve">monthly </w:t>
      </w:r>
      <w:r w:rsidRPr="00542107">
        <w:rPr>
          <w:szCs w:val="24"/>
        </w:rPr>
        <w:t xml:space="preserve">balance of payments. </w:t>
      </w:r>
      <w:r w:rsidR="00BF47F7" w:rsidRPr="00542107">
        <w:rPr>
          <w:szCs w:val="24"/>
        </w:rPr>
        <w:t>T</w:t>
      </w:r>
      <w:r w:rsidRPr="00542107">
        <w:rPr>
          <w:szCs w:val="24"/>
        </w:rPr>
        <w:t xml:space="preserve">he results </w:t>
      </w:r>
      <w:r w:rsidR="00BF47F7" w:rsidRPr="00542107">
        <w:rPr>
          <w:szCs w:val="24"/>
        </w:rPr>
        <w:t xml:space="preserve">presented in this abstract </w:t>
      </w:r>
      <w:r w:rsidRPr="00542107">
        <w:rPr>
          <w:szCs w:val="24"/>
        </w:rPr>
        <w:t>refer to the United States</w:t>
      </w:r>
      <w:r w:rsidR="009A7E0B" w:rsidRPr="00542107">
        <w:rPr>
          <w:szCs w:val="24"/>
        </w:rPr>
        <w:t xml:space="preserve"> –</w:t>
      </w:r>
      <w:r w:rsidRPr="00542107">
        <w:rPr>
          <w:szCs w:val="24"/>
        </w:rPr>
        <w:t xml:space="preserve"> the world’s largest importer and exporter of services. Yet, the approach was </w:t>
      </w:r>
      <w:r w:rsidR="00246371" w:rsidRPr="00542107">
        <w:rPr>
          <w:szCs w:val="24"/>
        </w:rPr>
        <w:t>tested for</w:t>
      </w:r>
      <w:r w:rsidRPr="00542107">
        <w:rPr>
          <w:szCs w:val="24"/>
        </w:rPr>
        <w:t xml:space="preserve"> all G7 countries and could generally be </w:t>
      </w:r>
      <w:r w:rsidR="00246371" w:rsidRPr="00542107">
        <w:rPr>
          <w:szCs w:val="24"/>
        </w:rPr>
        <w:t>applied to</w:t>
      </w:r>
      <w:r w:rsidRPr="00542107">
        <w:rPr>
          <w:szCs w:val="24"/>
        </w:rPr>
        <w:t xml:space="preserve"> all major advanced economies.</w:t>
      </w:r>
      <w:r w:rsidRPr="002B36BD">
        <w:rPr>
          <w:szCs w:val="24"/>
        </w:rPr>
        <w:t xml:space="preserve"> </w:t>
      </w:r>
    </w:p>
    <w:p w:rsidR="00345DEC" w:rsidRPr="002B36BD" w:rsidRDefault="000131B5" w:rsidP="00802ECB">
      <w:pPr>
        <w:rPr>
          <w:szCs w:val="24"/>
        </w:rPr>
      </w:pPr>
      <w:r w:rsidRPr="002B36BD">
        <w:rPr>
          <w:szCs w:val="24"/>
        </w:rPr>
        <w:t xml:space="preserve">The </w:t>
      </w:r>
      <w:r w:rsidR="00C40652" w:rsidRPr="002B36BD">
        <w:rPr>
          <w:szCs w:val="24"/>
        </w:rPr>
        <w:t xml:space="preserve">methodology </w:t>
      </w:r>
      <w:r w:rsidR="009A7E0B" w:rsidRPr="002B36BD">
        <w:rPr>
          <w:szCs w:val="24"/>
        </w:rPr>
        <w:t>employs</w:t>
      </w:r>
      <w:r w:rsidR="00C40652" w:rsidRPr="002B36BD">
        <w:rPr>
          <w:szCs w:val="24"/>
        </w:rPr>
        <w:t xml:space="preserve"> supervised machine learning to identify indicators </w:t>
      </w:r>
      <w:r w:rsidR="00A00055">
        <w:rPr>
          <w:szCs w:val="24"/>
        </w:rPr>
        <w:t>of</w:t>
      </w:r>
      <w:r w:rsidR="00EC23E7" w:rsidRPr="002B36BD">
        <w:rPr>
          <w:szCs w:val="24"/>
        </w:rPr>
        <w:t xml:space="preserve"> </w:t>
      </w:r>
      <w:r w:rsidR="00C40652" w:rsidRPr="002B36BD">
        <w:rPr>
          <w:szCs w:val="24"/>
        </w:rPr>
        <w:t xml:space="preserve">high predictive </w:t>
      </w:r>
      <w:r w:rsidR="00BF47F7" w:rsidRPr="002B36BD">
        <w:rPr>
          <w:szCs w:val="24"/>
        </w:rPr>
        <w:t>power</w:t>
      </w:r>
      <w:r w:rsidR="00C40652" w:rsidRPr="002B36BD">
        <w:rPr>
          <w:szCs w:val="24"/>
        </w:rPr>
        <w:t xml:space="preserve">. The approach </w:t>
      </w:r>
      <w:r w:rsidR="00886602" w:rsidRPr="002B36BD">
        <w:rPr>
          <w:szCs w:val="24"/>
        </w:rPr>
        <w:t>combines</w:t>
      </w:r>
      <w:r w:rsidR="00C40652" w:rsidRPr="002B36BD">
        <w:rPr>
          <w:szCs w:val="24"/>
        </w:rPr>
        <w:t xml:space="preserve"> traditional indicators of demand </w:t>
      </w:r>
      <w:r w:rsidR="00886602" w:rsidRPr="002B36BD">
        <w:rPr>
          <w:szCs w:val="24"/>
        </w:rPr>
        <w:t>and supply, survey-based data capturing</w:t>
      </w:r>
      <w:r w:rsidR="00C40652" w:rsidRPr="002B36BD">
        <w:rPr>
          <w:szCs w:val="24"/>
        </w:rPr>
        <w:t xml:space="preserve"> perceptions of economic prospects, </w:t>
      </w:r>
      <w:r w:rsidR="00886602" w:rsidRPr="002B36BD">
        <w:rPr>
          <w:szCs w:val="24"/>
        </w:rPr>
        <w:t>as well as</w:t>
      </w:r>
      <w:r w:rsidR="00C40652" w:rsidRPr="002B36BD">
        <w:rPr>
          <w:szCs w:val="24"/>
        </w:rPr>
        <w:t xml:space="preserve"> financial data and indicators of uncertainty. It also exploits Google Trends </w:t>
      </w:r>
      <w:r w:rsidR="00D22532">
        <w:rPr>
          <w:szCs w:val="24"/>
        </w:rPr>
        <w:t xml:space="preserve">search </w:t>
      </w:r>
      <w:r w:rsidR="00C40652" w:rsidRPr="002B36BD">
        <w:rPr>
          <w:szCs w:val="24"/>
        </w:rPr>
        <w:t>data,</w:t>
      </w:r>
      <w:r w:rsidR="00BF47F7" w:rsidRPr="002B36BD">
        <w:rPr>
          <w:szCs w:val="24"/>
        </w:rPr>
        <w:t xml:space="preserve"> a timely source of information</w:t>
      </w:r>
      <w:r w:rsidR="00C40652" w:rsidRPr="002B36BD">
        <w:rPr>
          <w:szCs w:val="24"/>
        </w:rPr>
        <w:t xml:space="preserve"> available for a large set of economies. </w:t>
      </w:r>
    </w:p>
    <w:p w:rsidR="00BC6AFE" w:rsidRPr="002B36BD" w:rsidRDefault="00BC6AFE" w:rsidP="00BC6AFE">
      <w:pPr>
        <w:pStyle w:val="Heading1"/>
        <w:rPr>
          <w:szCs w:val="24"/>
        </w:rPr>
      </w:pPr>
      <w:r w:rsidRPr="002B36BD">
        <w:rPr>
          <w:szCs w:val="24"/>
        </w:rPr>
        <w:t>Methods</w:t>
      </w:r>
    </w:p>
    <w:p w:rsidR="00BC6AFE" w:rsidRPr="002B36BD" w:rsidRDefault="00C40652" w:rsidP="001B50CE">
      <w:pPr>
        <w:pStyle w:val="Heading2"/>
        <w:tabs>
          <w:tab w:val="num" w:pos="482"/>
        </w:tabs>
        <w:ind w:left="482" w:hanging="482"/>
        <w:rPr>
          <w:szCs w:val="24"/>
        </w:rPr>
      </w:pPr>
      <w:r w:rsidRPr="002B36BD">
        <w:rPr>
          <w:szCs w:val="24"/>
        </w:rPr>
        <w:t xml:space="preserve">Data </w:t>
      </w:r>
    </w:p>
    <w:p w:rsidR="00E13D45" w:rsidRPr="002B36BD" w:rsidRDefault="00E13D45" w:rsidP="00F4237A">
      <w:pPr>
        <w:pStyle w:val="Text2"/>
        <w:ind w:left="0"/>
        <w:rPr>
          <w:szCs w:val="24"/>
        </w:rPr>
      </w:pPr>
      <w:r w:rsidRPr="002B36BD">
        <w:rPr>
          <w:szCs w:val="24"/>
        </w:rPr>
        <w:t>In a first step, four categories of potentially relevant predictors are defined</w:t>
      </w:r>
      <w:r w:rsidR="00263F4B">
        <w:rPr>
          <w:szCs w:val="24"/>
        </w:rPr>
        <w:t xml:space="preserve"> (Table 1)</w:t>
      </w:r>
      <w:r w:rsidRPr="002B36BD">
        <w:rPr>
          <w:szCs w:val="24"/>
        </w:rPr>
        <w:t xml:space="preserve">: (1) hard indicators, (2) soft and financial indicators, (3) indicators of uncertainty, (4) Google search requests. </w:t>
      </w:r>
      <w:r w:rsidR="00C6771F" w:rsidRPr="002B36BD">
        <w:rPr>
          <w:szCs w:val="24"/>
        </w:rPr>
        <w:t xml:space="preserve">The first three categories rely on information from international organisations (Eurostat, OECD, IMF, World Bank, IEA) and scholars (policyuncertainty.com). Google data were provided by Google. </w:t>
      </w:r>
    </w:p>
    <w:p w:rsidR="00E13D45" w:rsidRPr="002B36BD" w:rsidRDefault="00E13D45" w:rsidP="00CC4F83">
      <w:pPr>
        <w:pStyle w:val="Text2"/>
        <w:ind w:left="0"/>
        <w:rPr>
          <w:szCs w:val="24"/>
        </w:rPr>
      </w:pPr>
      <w:r w:rsidRPr="002B36BD">
        <w:rPr>
          <w:szCs w:val="24"/>
        </w:rPr>
        <w:t xml:space="preserve">The first category </w:t>
      </w:r>
      <w:r w:rsidR="000F6F65" w:rsidRPr="002B36BD">
        <w:rPr>
          <w:szCs w:val="24"/>
        </w:rPr>
        <w:t>also includes trade in goods</w:t>
      </w:r>
      <w:r w:rsidR="00D22532">
        <w:rPr>
          <w:szCs w:val="24"/>
        </w:rPr>
        <w:t xml:space="preserve">, which </w:t>
      </w:r>
      <w:r w:rsidR="00542107">
        <w:rPr>
          <w:szCs w:val="24"/>
        </w:rPr>
        <w:t>is</w:t>
      </w:r>
      <w:r w:rsidRPr="002B36BD">
        <w:rPr>
          <w:szCs w:val="24"/>
        </w:rPr>
        <w:t xml:space="preserve"> intertwined with </w:t>
      </w:r>
      <w:r w:rsidR="00D22532">
        <w:rPr>
          <w:szCs w:val="24"/>
        </w:rPr>
        <w:t>services</w:t>
      </w:r>
      <w:r w:rsidR="00D22532" w:rsidRPr="002B36BD">
        <w:rPr>
          <w:szCs w:val="24"/>
        </w:rPr>
        <w:t xml:space="preserve"> </w:t>
      </w:r>
      <w:r w:rsidRPr="002B36BD">
        <w:rPr>
          <w:szCs w:val="24"/>
        </w:rPr>
        <w:t>activities ([</w:t>
      </w:r>
      <w:r w:rsidR="00E24E44" w:rsidRPr="002B36BD">
        <w:rPr>
          <w:szCs w:val="24"/>
        </w:rPr>
        <w:t>2</w:t>
      </w:r>
      <w:r w:rsidRPr="002B36BD">
        <w:rPr>
          <w:szCs w:val="24"/>
        </w:rPr>
        <w:t>]</w:t>
      </w:r>
      <w:r w:rsidR="00096716" w:rsidRPr="002B36BD">
        <w:rPr>
          <w:szCs w:val="24"/>
        </w:rPr>
        <w:t xml:space="preserve">, </w:t>
      </w:r>
      <w:r w:rsidR="00E24E44" w:rsidRPr="002B36BD">
        <w:rPr>
          <w:szCs w:val="24"/>
        </w:rPr>
        <w:t>[3]</w:t>
      </w:r>
      <w:r w:rsidRPr="002B36BD">
        <w:rPr>
          <w:szCs w:val="24"/>
        </w:rPr>
        <w:t xml:space="preserve">). </w:t>
      </w:r>
      <w:r w:rsidR="001E307C">
        <w:rPr>
          <w:szCs w:val="24"/>
        </w:rPr>
        <w:t>In</w:t>
      </w:r>
      <w:r w:rsidR="0020348C">
        <w:rPr>
          <w:szCs w:val="24"/>
        </w:rPr>
        <w:t xml:space="preserve"> th</w:t>
      </w:r>
      <w:r w:rsidRPr="002B36BD">
        <w:rPr>
          <w:szCs w:val="24"/>
        </w:rPr>
        <w:t>e second category</w:t>
      </w:r>
      <w:r w:rsidR="004C1BA4">
        <w:rPr>
          <w:szCs w:val="24"/>
        </w:rPr>
        <w:t>, survey-based measures</w:t>
      </w:r>
      <w:r w:rsidR="00542107">
        <w:rPr>
          <w:szCs w:val="24"/>
        </w:rPr>
        <w:t>,</w:t>
      </w:r>
      <w:r w:rsidRPr="002B36BD">
        <w:rPr>
          <w:szCs w:val="24"/>
        </w:rPr>
        <w:t xml:space="preserve"> </w:t>
      </w:r>
      <w:r w:rsidR="00542107">
        <w:rPr>
          <w:szCs w:val="24"/>
        </w:rPr>
        <w:t>for example regarding</w:t>
      </w:r>
      <w:r w:rsidR="001E307C">
        <w:rPr>
          <w:szCs w:val="24"/>
        </w:rPr>
        <w:t xml:space="preserve"> business confidence</w:t>
      </w:r>
      <w:r w:rsidR="004C1BA4">
        <w:rPr>
          <w:szCs w:val="24"/>
        </w:rPr>
        <w:t>,</w:t>
      </w:r>
      <w:r w:rsidRPr="002B36BD">
        <w:rPr>
          <w:szCs w:val="24"/>
        </w:rPr>
        <w:t xml:space="preserve"> </w:t>
      </w:r>
      <w:r w:rsidR="00D22532">
        <w:rPr>
          <w:szCs w:val="24"/>
        </w:rPr>
        <w:t xml:space="preserve">are often used as </w:t>
      </w:r>
      <w:r w:rsidR="00542107">
        <w:rPr>
          <w:szCs w:val="24"/>
        </w:rPr>
        <w:t xml:space="preserve">a </w:t>
      </w:r>
      <w:r w:rsidR="00D22532">
        <w:rPr>
          <w:szCs w:val="24"/>
        </w:rPr>
        <w:t>predictor of economic activity and of the business climate</w:t>
      </w:r>
      <w:r w:rsidRPr="002B36BD">
        <w:rPr>
          <w:szCs w:val="24"/>
        </w:rPr>
        <w:t xml:space="preserve">. Available at high frequency, </w:t>
      </w:r>
      <w:r w:rsidR="002B36BD" w:rsidRPr="002B36BD">
        <w:rPr>
          <w:szCs w:val="24"/>
        </w:rPr>
        <w:t>financial</w:t>
      </w:r>
      <w:r w:rsidR="00BF3FA2" w:rsidRPr="002B36BD">
        <w:rPr>
          <w:szCs w:val="24"/>
        </w:rPr>
        <w:t xml:space="preserve"> indicators </w:t>
      </w:r>
      <w:r w:rsidRPr="002B36BD">
        <w:rPr>
          <w:szCs w:val="24"/>
        </w:rPr>
        <w:t>reflect expectations of future developments ([</w:t>
      </w:r>
      <w:r w:rsidR="00E24E44" w:rsidRPr="002B36BD">
        <w:rPr>
          <w:szCs w:val="24"/>
        </w:rPr>
        <w:t>4</w:t>
      </w:r>
      <w:r w:rsidRPr="002B36BD">
        <w:rPr>
          <w:szCs w:val="24"/>
        </w:rPr>
        <w:t>]).</w:t>
      </w:r>
      <w:r w:rsidR="002B36BD" w:rsidRPr="002B36BD">
        <w:rPr>
          <w:szCs w:val="24"/>
        </w:rPr>
        <w:t xml:space="preserve"> </w:t>
      </w:r>
      <w:r w:rsidRPr="002B36BD">
        <w:rPr>
          <w:szCs w:val="24"/>
        </w:rPr>
        <w:t>The third category comprises measures of uncertainty</w:t>
      </w:r>
      <w:r w:rsidR="008078E5" w:rsidRPr="002B36BD">
        <w:rPr>
          <w:szCs w:val="24"/>
        </w:rPr>
        <w:t>, including the</w:t>
      </w:r>
      <w:r w:rsidRPr="002B36BD">
        <w:rPr>
          <w:szCs w:val="24"/>
        </w:rPr>
        <w:t xml:space="preserve"> economic policy uncertainty index (EPUI) ([</w:t>
      </w:r>
      <w:r w:rsidR="0067420F" w:rsidRPr="002B36BD">
        <w:rPr>
          <w:szCs w:val="24"/>
        </w:rPr>
        <w:t>5</w:t>
      </w:r>
      <w:r w:rsidRPr="002B36BD">
        <w:rPr>
          <w:szCs w:val="24"/>
        </w:rPr>
        <w:t>]). Based on newspaper sentiment analysis, the EPUI has been linked to changes in economic outcomes ([</w:t>
      </w:r>
      <w:r w:rsidR="0067420F" w:rsidRPr="002B36BD">
        <w:rPr>
          <w:szCs w:val="24"/>
        </w:rPr>
        <w:t>6</w:t>
      </w:r>
      <w:r w:rsidRPr="002B36BD">
        <w:rPr>
          <w:szCs w:val="24"/>
        </w:rPr>
        <w:t>]; [</w:t>
      </w:r>
      <w:r w:rsidR="0067420F" w:rsidRPr="002B36BD">
        <w:rPr>
          <w:szCs w:val="24"/>
        </w:rPr>
        <w:t>7</w:t>
      </w:r>
      <w:r w:rsidRPr="002B36BD">
        <w:rPr>
          <w:szCs w:val="24"/>
        </w:rPr>
        <w:t xml:space="preserve">]). </w:t>
      </w:r>
      <w:r w:rsidR="00840249" w:rsidRPr="002B36BD">
        <w:rPr>
          <w:szCs w:val="24"/>
        </w:rPr>
        <w:t>Furthermore</w:t>
      </w:r>
      <w:r w:rsidRPr="002B36BD">
        <w:rPr>
          <w:szCs w:val="24"/>
        </w:rPr>
        <w:t>, the infectious disease volatility tracker was added ([</w:t>
      </w:r>
      <w:r w:rsidR="0067420F" w:rsidRPr="002B36BD">
        <w:rPr>
          <w:szCs w:val="24"/>
        </w:rPr>
        <w:t>8</w:t>
      </w:r>
      <w:r w:rsidRPr="002B36BD">
        <w:rPr>
          <w:szCs w:val="24"/>
        </w:rPr>
        <w:t>]).</w:t>
      </w:r>
    </w:p>
    <w:p w:rsidR="00E13D45" w:rsidRPr="002B36BD" w:rsidRDefault="00E13D45" w:rsidP="00CC4F83">
      <w:pPr>
        <w:pStyle w:val="Text2"/>
        <w:ind w:left="0"/>
        <w:rPr>
          <w:szCs w:val="24"/>
        </w:rPr>
      </w:pPr>
      <w:r w:rsidRPr="002B36BD">
        <w:rPr>
          <w:szCs w:val="24"/>
        </w:rPr>
        <w:t>Variables based on Google search</w:t>
      </w:r>
      <w:r w:rsidR="006D2FD1">
        <w:rPr>
          <w:szCs w:val="24"/>
        </w:rPr>
        <w:t xml:space="preserve">es </w:t>
      </w:r>
      <w:r w:rsidRPr="002B36BD">
        <w:rPr>
          <w:szCs w:val="24"/>
        </w:rPr>
        <w:t xml:space="preserve">constitute the fourth category. </w:t>
      </w:r>
      <w:r w:rsidR="000F6F65" w:rsidRPr="002B36BD">
        <w:rPr>
          <w:szCs w:val="24"/>
        </w:rPr>
        <w:t>T</w:t>
      </w:r>
      <w:r w:rsidR="00485A63" w:rsidRPr="002B36BD">
        <w:rPr>
          <w:szCs w:val="24"/>
        </w:rPr>
        <w:t>he</w:t>
      </w:r>
      <w:r w:rsidR="00C448CF" w:rsidRPr="002B36BD">
        <w:rPr>
          <w:szCs w:val="24"/>
        </w:rPr>
        <w:t>ir</w:t>
      </w:r>
      <w:r w:rsidR="00485A63" w:rsidRPr="002B36BD">
        <w:rPr>
          <w:szCs w:val="24"/>
        </w:rPr>
        <w:t xml:space="preserve"> </w:t>
      </w:r>
      <w:r w:rsidR="006605AB">
        <w:rPr>
          <w:szCs w:val="24"/>
        </w:rPr>
        <w:t>strengths</w:t>
      </w:r>
      <w:r w:rsidR="00485A63" w:rsidRPr="002B36BD">
        <w:rPr>
          <w:szCs w:val="24"/>
        </w:rPr>
        <w:t xml:space="preserve"> are timeliness and extensive </w:t>
      </w:r>
      <w:r w:rsidR="00D22532" w:rsidRPr="00542107">
        <w:rPr>
          <w:szCs w:val="24"/>
        </w:rPr>
        <w:t>country</w:t>
      </w:r>
      <w:r w:rsidR="00D22532">
        <w:rPr>
          <w:szCs w:val="24"/>
        </w:rPr>
        <w:t xml:space="preserve"> </w:t>
      </w:r>
      <w:r w:rsidR="00485A63" w:rsidRPr="002B36BD">
        <w:rPr>
          <w:szCs w:val="24"/>
        </w:rPr>
        <w:t xml:space="preserve">coverage. </w:t>
      </w:r>
      <w:r w:rsidR="000F6F65" w:rsidRPr="002B36BD">
        <w:rPr>
          <w:szCs w:val="24"/>
        </w:rPr>
        <w:t>T</w:t>
      </w:r>
      <w:r w:rsidR="00485A63" w:rsidRPr="002B36BD">
        <w:rPr>
          <w:szCs w:val="24"/>
        </w:rPr>
        <w:t xml:space="preserve">he data are daily and not revised over time. </w:t>
      </w:r>
      <w:r w:rsidR="00AB6048">
        <w:rPr>
          <w:szCs w:val="24"/>
        </w:rPr>
        <w:t>They</w:t>
      </w:r>
      <w:r w:rsidR="00485A63" w:rsidRPr="002B36BD">
        <w:rPr>
          <w:szCs w:val="24"/>
        </w:rPr>
        <w:t xml:space="preserve"> provide a normalised measure of </w:t>
      </w:r>
      <w:r w:rsidR="00C448CF" w:rsidRPr="002B36BD">
        <w:rPr>
          <w:szCs w:val="24"/>
        </w:rPr>
        <w:t xml:space="preserve">a search term’s relative popularity </w:t>
      </w:r>
      <w:r w:rsidR="00AB6048">
        <w:rPr>
          <w:szCs w:val="24"/>
        </w:rPr>
        <w:t>in</w:t>
      </w:r>
      <w:r w:rsidR="00485A63" w:rsidRPr="002B36BD">
        <w:rPr>
          <w:szCs w:val="24"/>
        </w:rPr>
        <w:t xml:space="preserve"> a </w:t>
      </w:r>
      <w:r w:rsidR="00AB6048">
        <w:rPr>
          <w:szCs w:val="24"/>
        </w:rPr>
        <w:t>given</w:t>
      </w:r>
      <w:r w:rsidR="00485A63" w:rsidRPr="002B36BD">
        <w:rPr>
          <w:szCs w:val="24"/>
        </w:rPr>
        <w:t xml:space="preserve"> </w:t>
      </w:r>
      <w:r w:rsidR="00AB6048">
        <w:rPr>
          <w:szCs w:val="24"/>
        </w:rPr>
        <w:t>period</w:t>
      </w:r>
      <w:r w:rsidR="00D22532">
        <w:rPr>
          <w:szCs w:val="24"/>
        </w:rPr>
        <w:t xml:space="preserve"> for a given country</w:t>
      </w:r>
      <w:r w:rsidR="00485A63" w:rsidRPr="002B36BD">
        <w:rPr>
          <w:szCs w:val="24"/>
        </w:rPr>
        <w:t xml:space="preserve">. </w:t>
      </w:r>
      <w:r w:rsidR="001204AD">
        <w:rPr>
          <w:szCs w:val="24"/>
        </w:rPr>
        <w:t>T</w:t>
      </w:r>
      <w:r w:rsidR="000F6F65" w:rsidRPr="002B36BD">
        <w:rPr>
          <w:szCs w:val="24"/>
        </w:rPr>
        <w:t>erms</w:t>
      </w:r>
      <w:r w:rsidR="00485A63" w:rsidRPr="002B36BD">
        <w:rPr>
          <w:szCs w:val="24"/>
        </w:rPr>
        <w:t xml:space="preserve"> considered for this paper </w:t>
      </w:r>
      <w:r w:rsidR="006605AB">
        <w:rPr>
          <w:szCs w:val="24"/>
        </w:rPr>
        <w:t>include</w:t>
      </w:r>
      <w:r w:rsidRPr="002B36BD">
        <w:rPr>
          <w:szCs w:val="24"/>
        </w:rPr>
        <w:t xml:space="preserve"> searches </w:t>
      </w:r>
      <w:r w:rsidR="00C448CF" w:rsidRPr="002B36BD">
        <w:rPr>
          <w:szCs w:val="24"/>
        </w:rPr>
        <w:t>focused on</w:t>
      </w:r>
      <w:r w:rsidRPr="002B36BD">
        <w:rPr>
          <w:szCs w:val="24"/>
        </w:rPr>
        <w:t xml:space="preserve"> services (e.g. air transport) </w:t>
      </w:r>
      <w:r w:rsidR="00C448CF" w:rsidRPr="002B36BD">
        <w:rPr>
          <w:szCs w:val="24"/>
        </w:rPr>
        <w:t>and</w:t>
      </w:r>
      <w:r w:rsidRPr="002B36BD">
        <w:rPr>
          <w:szCs w:val="24"/>
        </w:rPr>
        <w:t xml:space="preserve"> searches </w:t>
      </w:r>
      <w:r w:rsidR="00AB6048">
        <w:rPr>
          <w:szCs w:val="24"/>
        </w:rPr>
        <w:t>related to</w:t>
      </w:r>
      <w:r w:rsidRPr="002B36BD">
        <w:rPr>
          <w:szCs w:val="24"/>
        </w:rPr>
        <w:t xml:space="preserve"> the </w:t>
      </w:r>
      <w:r w:rsidR="00096716" w:rsidRPr="002B36BD">
        <w:rPr>
          <w:szCs w:val="24"/>
        </w:rPr>
        <w:t>economic climate (e.g.</w:t>
      </w:r>
      <w:r w:rsidRPr="002B36BD">
        <w:rPr>
          <w:szCs w:val="24"/>
        </w:rPr>
        <w:t xml:space="preserve"> judicial liquidation). </w:t>
      </w:r>
    </w:p>
    <w:p w:rsidR="005F797E" w:rsidRPr="005F797E" w:rsidRDefault="005F797E" w:rsidP="005F797E">
      <w:pPr>
        <w:pStyle w:val="Caption"/>
      </w:pPr>
      <w:r w:rsidRPr="005F797E">
        <w:lastRenderedPageBreak/>
        <w:t xml:space="preserve">Table </w:t>
      </w:r>
      <w:r w:rsidR="00065A25">
        <w:fldChar w:fldCharType="begin"/>
      </w:r>
      <w:r w:rsidR="00065A25">
        <w:instrText xml:space="preserve"> SEQ Table \* ARABIC </w:instrText>
      </w:r>
      <w:r w:rsidR="00065A25">
        <w:fldChar w:fldCharType="separate"/>
      </w:r>
      <w:r w:rsidRPr="005F797E">
        <w:rPr>
          <w:noProof/>
        </w:rPr>
        <w:t>1</w:t>
      </w:r>
      <w:r w:rsidR="00065A25">
        <w:rPr>
          <w:noProof/>
        </w:rPr>
        <w:fldChar w:fldCharType="end"/>
      </w:r>
      <w:r w:rsidRPr="005F797E">
        <w:t>. Examples of predictors allocated to four categories</w:t>
      </w:r>
    </w:p>
    <w:tbl>
      <w:tblPr>
        <w:tblStyle w:val="PlainTable1"/>
        <w:tblW w:w="8784" w:type="dxa"/>
        <w:tblLook w:val="04A0" w:firstRow="1" w:lastRow="0" w:firstColumn="1" w:lastColumn="0" w:noHBand="0" w:noVBand="1"/>
      </w:tblPr>
      <w:tblGrid>
        <w:gridCol w:w="2410"/>
        <w:gridCol w:w="6374"/>
      </w:tblGrid>
      <w:tr w:rsidR="00F4536E" w:rsidTr="00DE42E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10" w:type="dxa"/>
          </w:tcPr>
          <w:p w:rsidR="00F4536E" w:rsidRPr="00DE42EB" w:rsidRDefault="00F4536E" w:rsidP="00A771E8">
            <w:pPr>
              <w:rPr>
                <w:sz w:val="20"/>
              </w:rPr>
            </w:pPr>
            <w:r w:rsidRPr="00DE42EB">
              <w:rPr>
                <w:sz w:val="20"/>
              </w:rPr>
              <w:t>Category</w:t>
            </w:r>
          </w:p>
        </w:tc>
        <w:tc>
          <w:tcPr>
            <w:tcW w:w="6374" w:type="dxa"/>
          </w:tcPr>
          <w:p w:rsidR="00F4536E" w:rsidRPr="00DE42EB" w:rsidRDefault="00F4536E" w:rsidP="00A771E8">
            <w:pPr>
              <w:cnfStyle w:val="100000000000" w:firstRow="1" w:lastRow="0" w:firstColumn="0" w:lastColumn="0" w:oddVBand="0" w:evenVBand="0" w:oddHBand="0" w:evenHBand="0" w:firstRowFirstColumn="0" w:firstRowLastColumn="0" w:lastRowFirstColumn="0" w:lastRowLastColumn="0"/>
              <w:rPr>
                <w:sz w:val="20"/>
              </w:rPr>
            </w:pPr>
            <w:r w:rsidRPr="00DE42EB">
              <w:rPr>
                <w:sz w:val="20"/>
              </w:rPr>
              <w:t>Examples of variables</w:t>
            </w:r>
          </w:p>
        </w:tc>
      </w:tr>
      <w:tr w:rsidR="00F4536E" w:rsidTr="00DE42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10" w:type="dxa"/>
          </w:tcPr>
          <w:p w:rsidR="00F4536E" w:rsidRPr="00DE42EB" w:rsidRDefault="00F4536E" w:rsidP="00A771E8">
            <w:pPr>
              <w:rPr>
                <w:sz w:val="20"/>
              </w:rPr>
            </w:pPr>
            <w:r w:rsidRPr="00DE42EB">
              <w:rPr>
                <w:sz w:val="20"/>
              </w:rPr>
              <w:t>Hard indicators</w:t>
            </w:r>
          </w:p>
        </w:tc>
        <w:tc>
          <w:tcPr>
            <w:tcW w:w="6374" w:type="dxa"/>
          </w:tcPr>
          <w:p w:rsidR="00F4536E" w:rsidRPr="00DE42EB" w:rsidRDefault="00F4536E" w:rsidP="00A771E8">
            <w:pPr>
              <w:cnfStyle w:val="000000100000" w:firstRow="0" w:lastRow="0" w:firstColumn="0" w:lastColumn="0" w:oddVBand="0" w:evenVBand="0" w:oddHBand="1" w:evenHBand="0" w:firstRowFirstColumn="0" w:firstRowLastColumn="0" w:lastRowFirstColumn="0" w:lastRowLastColumn="0"/>
              <w:rPr>
                <w:sz w:val="20"/>
              </w:rPr>
            </w:pPr>
            <w:r w:rsidRPr="00DE42EB">
              <w:rPr>
                <w:sz w:val="20"/>
              </w:rPr>
              <w:t xml:space="preserve">Unemployment rate, retail sales, car registrations, goods exports </w:t>
            </w:r>
          </w:p>
        </w:tc>
      </w:tr>
      <w:tr w:rsidR="00F4536E" w:rsidTr="00DE42EB">
        <w:trPr>
          <w:trHeight w:val="20"/>
        </w:trPr>
        <w:tc>
          <w:tcPr>
            <w:cnfStyle w:val="001000000000" w:firstRow="0" w:lastRow="0" w:firstColumn="1" w:lastColumn="0" w:oddVBand="0" w:evenVBand="0" w:oddHBand="0" w:evenHBand="0" w:firstRowFirstColumn="0" w:firstRowLastColumn="0" w:lastRowFirstColumn="0" w:lastRowLastColumn="0"/>
            <w:tcW w:w="2410" w:type="dxa"/>
          </w:tcPr>
          <w:p w:rsidR="00F4536E" w:rsidRPr="00DE42EB" w:rsidRDefault="00F4536E" w:rsidP="005F797E">
            <w:pPr>
              <w:rPr>
                <w:sz w:val="20"/>
              </w:rPr>
            </w:pPr>
            <w:r w:rsidRPr="00DE42EB">
              <w:rPr>
                <w:sz w:val="20"/>
              </w:rPr>
              <w:t xml:space="preserve">Soft and financial </w:t>
            </w:r>
          </w:p>
        </w:tc>
        <w:tc>
          <w:tcPr>
            <w:tcW w:w="6374" w:type="dxa"/>
          </w:tcPr>
          <w:p w:rsidR="00F4536E" w:rsidRPr="00DE42EB" w:rsidRDefault="00F4536E" w:rsidP="00A771E8">
            <w:pPr>
              <w:cnfStyle w:val="000000000000" w:firstRow="0" w:lastRow="0" w:firstColumn="0" w:lastColumn="0" w:oddVBand="0" w:evenVBand="0" w:oddHBand="0" w:evenHBand="0" w:firstRowFirstColumn="0" w:firstRowLastColumn="0" w:lastRowFirstColumn="0" w:lastRowLastColumn="0"/>
              <w:rPr>
                <w:sz w:val="20"/>
              </w:rPr>
            </w:pPr>
            <w:r w:rsidRPr="00DE42EB">
              <w:rPr>
                <w:sz w:val="20"/>
              </w:rPr>
              <w:t>Business confidence, consumer confidence, stock market prices</w:t>
            </w:r>
          </w:p>
        </w:tc>
      </w:tr>
      <w:tr w:rsidR="00F4536E" w:rsidTr="00DE42E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10" w:type="dxa"/>
          </w:tcPr>
          <w:p w:rsidR="00F4536E" w:rsidRPr="00DE42EB" w:rsidRDefault="00F4536E" w:rsidP="00A771E8">
            <w:pPr>
              <w:rPr>
                <w:sz w:val="20"/>
              </w:rPr>
            </w:pPr>
            <w:r w:rsidRPr="00DE42EB">
              <w:rPr>
                <w:sz w:val="20"/>
              </w:rPr>
              <w:t>Uncertainty</w:t>
            </w:r>
          </w:p>
        </w:tc>
        <w:tc>
          <w:tcPr>
            <w:tcW w:w="6374" w:type="dxa"/>
          </w:tcPr>
          <w:p w:rsidR="00F4536E" w:rsidRPr="00DE42EB" w:rsidRDefault="00F4536E" w:rsidP="007C1E8B">
            <w:pPr>
              <w:cnfStyle w:val="000000100000" w:firstRow="0" w:lastRow="0" w:firstColumn="0" w:lastColumn="0" w:oddVBand="0" w:evenVBand="0" w:oddHBand="1" w:evenHBand="0" w:firstRowFirstColumn="0" w:firstRowLastColumn="0" w:lastRowFirstColumn="0" w:lastRowLastColumn="0"/>
              <w:rPr>
                <w:sz w:val="20"/>
              </w:rPr>
            </w:pPr>
            <w:r w:rsidRPr="00DE42EB">
              <w:rPr>
                <w:sz w:val="20"/>
              </w:rPr>
              <w:t>Infectious disease volatility tracker, economic policy uncertainty index</w:t>
            </w:r>
          </w:p>
        </w:tc>
      </w:tr>
      <w:tr w:rsidR="00F4536E" w:rsidTr="00DE42EB">
        <w:trPr>
          <w:trHeight w:val="20"/>
        </w:trPr>
        <w:tc>
          <w:tcPr>
            <w:cnfStyle w:val="001000000000" w:firstRow="0" w:lastRow="0" w:firstColumn="1" w:lastColumn="0" w:oddVBand="0" w:evenVBand="0" w:oddHBand="0" w:evenHBand="0" w:firstRowFirstColumn="0" w:firstRowLastColumn="0" w:lastRowFirstColumn="0" w:lastRowLastColumn="0"/>
            <w:tcW w:w="2410" w:type="dxa"/>
          </w:tcPr>
          <w:p w:rsidR="00F4536E" w:rsidRPr="00DE42EB" w:rsidRDefault="00F4536E" w:rsidP="00A771E8">
            <w:pPr>
              <w:rPr>
                <w:sz w:val="20"/>
              </w:rPr>
            </w:pPr>
            <w:r w:rsidRPr="00DE42EB">
              <w:rPr>
                <w:sz w:val="20"/>
              </w:rPr>
              <w:t>Google trend indicators</w:t>
            </w:r>
          </w:p>
        </w:tc>
        <w:tc>
          <w:tcPr>
            <w:tcW w:w="6374" w:type="dxa"/>
          </w:tcPr>
          <w:p w:rsidR="00F4536E" w:rsidRPr="00DE42EB" w:rsidRDefault="00F4536E" w:rsidP="00542107">
            <w:pPr>
              <w:cnfStyle w:val="000000000000" w:firstRow="0" w:lastRow="0" w:firstColumn="0" w:lastColumn="0" w:oddVBand="0" w:evenVBand="0" w:oddHBand="0" w:evenHBand="0" w:firstRowFirstColumn="0" w:firstRowLastColumn="0" w:lastRowFirstColumn="0" w:lastRowLastColumn="0"/>
              <w:rPr>
                <w:sz w:val="20"/>
              </w:rPr>
            </w:pPr>
            <w:r w:rsidRPr="00DE42EB">
              <w:rPr>
                <w:sz w:val="20"/>
              </w:rPr>
              <w:t xml:space="preserve">Searches related to advertising, hotels, air travel, </w:t>
            </w:r>
            <w:r w:rsidR="0007543A" w:rsidRPr="00542107">
              <w:rPr>
                <w:sz w:val="20"/>
              </w:rPr>
              <w:t>judicial liquidation</w:t>
            </w:r>
          </w:p>
        </w:tc>
      </w:tr>
    </w:tbl>
    <w:p w:rsidR="00F4536E" w:rsidRPr="00990B5F" w:rsidRDefault="00F4536E" w:rsidP="00E13D45">
      <w:pPr>
        <w:pStyle w:val="Text2"/>
        <w:ind w:left="0"/>
        <w:rPr>
          <w:sz w:val="7"/>
          <w:szCs w:val="7"/>
        </w:rPr>
      </w:pPr>
    </w:p>
    <w:p w:rsidR="002B36BD" w:rsidRPr="002B36BD" w:rsidRDefault="002B36BD" w:rsidP="00E13D45">
      <w:pPr>
        <w:pStyle w:val="Text2"/>
        <w:ind w:left="0"/>
        <w:rPr>
          <w:szCs w:val="24"/>
        </w:rPr>
      </w:pPr>
      <w:r w:rsidRPr="002B36BD">
        <w:rPr>
          <w:szCs w:val="24"/>
        </w:rPr>
        <w:t xml:space="preserve">The time span was divided into two periods to estimate the model and assess its performance: the training period spans between January 2004 and June 2017; the out-of-sample period covers all observations from July 2017 </w:t>
      </w:r>
      <w:r w:rsidR="0007543A">
        <w:rPr>
          <w:szCs w:val="24"/>
        </w:rPr>
        <w:t>to July 2020</w:t>
      </w:r>
      <w:r w:rsidRPr="002B36BD">
        <w:rPr>
          <w:szCs w:val="24"/>
        </w:rPr>
        <w:t>. The training sample was used to identify a parsimonious model and estimate its parameters. The subsequent evaluation of the models’ predictive accuracy relies on the out-of-sample period.</w:t>
      </w:r>
    </w:p>
    <w:p w:rsidR="001B50CE" w:rsidRPr="002B36BD" w:rsidRDefault="00C40652" w:rsidP="001B50CE">
      <w:pPr>
        <w:pStyle w:val="Heading2"/>
        <w:tabs>
          <w:tab w:val="num" w:pos="482"/>
        </w:tabs>
        <w:ind w:left="482" w:hanging="482"/>
        <w:rPr>
          <w:szCs w:val="24"/>
        </w:rPr>
      </w:pPr>
      <w:r w:rsidRPr="002B36BD">
        <w:rPr>
          <w:szCs w:val="24"/>
        </w:rPr>
        <w:t>Selection of predictors</w:t>
      </w:r>
    </w:p>
    <w:p w:rsidR="008078E5" w:rsidRPr="002B36BD" w:rsidRDefault="000131B5" w:rsidP="008078E5">
      <w:pPr>
        <w:pStyle w:val="Text2"/>
        <w:ind w:left="0"/>
        <w:rPr>
          <w:szCs w:val="24"/>
        </w:rPr>
      </w:pPr>
      <w:r w:rsidRPr="002B36BD">
        <w:rPr>
          <w:szCs w:val="24"/>
        </w:rPr>
        <w:t>T</w:t>
      </w:r>
      <w:r w:rsidR="008078E5" w:rsidRPr="002B36BD">
        <w:rPr>
          <w:szCs w:val="24"/>
        </w:rPr>
        <w:t xml:space="preserve">he list of potentially relevant predictors across those four categories includes 98 variables. Yet, some </w:t>
      </w:r>
      <w:r w:rsidR="004A7AF5" w:rsidRPr="002B36BD">
        <w:rPr>
          <w:szCs w:val="24"/>
        </w:rPr>
        <w:t>m</w:t>
      </w:r>
      <w:r w:rsidR="008078E5" w:rsidRPr="002B36BD">
        <w:rPr>
          <w:szCs w:val="24"/>
        </w:rPr>
        <w:t xml:space="preserve">ight capture similar information and might be redundant. The selection of variables follows several steps. It </w:t>
      </w:r>
      <w:r w:rsidR="0020317D">
        <w:rPr>
          <w:szCs w:val="24"/>
        </w:rPr>
        <w:t>first</w:t>
      </w:r>
      <w:r w:rsidR="008078E5" w:rsidRPr="002B36BD">
        <w:rPr>
          <w:szCs w:val="24"/>
        </w:rPr>
        <w:t xml:space="preserve"> use</w:t>
      </w:r>
      <w:r w:rsidR="0020317D">
        <w:rPr>
          <w:szCs w:val="24"/>
        </w:rPr>
        <w:t>s</w:t>
      </w:r>
      <w:r w:rsidR="008078E5" w:rsidRPr="002B36BD">
        <w:rPr>
          <w:szCs w:val="24"/>
        </w:rPr>
        <w:t xml:space="preserve"> regressions to identify variables associated with services trade. It then </w:t>
      </w:r>
      <w:r w:rsidR="0020317D">
        <w:rPr>
          <w:szCs w:val="24"/>
        </w:rPr>
        <w:t>employs</w:t>
      </w:r>
      <w:r w:rsidR="008078E5" w:rsidRPr="002B36BD">
        <w:rPr>
          <w:szCs w:val="24"/>
        </w:rPr>
        <w:t xml:space="preserve"> supervised machine learning to refine the selection.</w:t>
      </w:r>
    </w:p>
    <w:p w:rsidR="00753637" w:rsidRPr="002B36BD" w:rsidRDefault="008078E5" w:rsidP="00753637">
      <w:pPr>
        <w:pStyle w:val="Text2"/>
        <w:ind w:left="0"/>
        <w:rPr>
          <w:szCs w:val="24"/>
        </w:rPr>
      </w:pPr>
      <w:r w:rsidRPr="002B36BD">
        <w:rPr>
          <w:szCs w:val="24"/>
        </w:rPr>
        <w:t>In order to identify variables displaying a strong link with services trade, different versions of univariate regressions linking changes in services trade to changes in a given predictor were estimated.</w:t>
      </w:r>
      <w:r w:rsidR="00295657" w:rsidRPr="002B36BD">
        <w:rPr>
          <w:szCs w:val="24"/>
        </w:rPr>
        <w:t xml:space="preserve"> </w:t>
      </w:r>
      <w:r w:rsidRPr="002B36BD">
        <w:rPr>
          <w:szCs w:val="24"/>
        </w:rPr>
        <w:t xml:space="preserve">As the impact of some variables might not be immediate, regressions using five different lag structures with a maximum lag of four months were run. </w:t>
      </w:r>
      <w:r w:rsidR="00DD014B">
        <w:rPr>
          <w:szCs w:val="24"/>
        </w:rPr>
        <w:t>S</w:t>
      </w:r>
      <w:r w:rsidRPr="002B36BD">
        <w:rPr>
          <w:szCs w:val="24"/>
        </w:rPr>
        <w:t>eparate regressions were estimated for absolute changes (equation 1) and percentage changes (equation 2). All regressions were separately estimated using the month-on-month changes in exports as well changes in imports as the dependent variable.</w:t>
      </w:r>
      <w:r w:rsidR="00753637" w:rsidRPr="002B36BD">
        <w:rPr>
          <w:szCs w:val="24"/>
        </w:rPr>
        <w:t xml:space="preserve"> The number of statistically significant associations with the dependent variable was used to discard variables displaying a weak association with trade. 58 predictors were retained after this step. </w:t>
      </w:r>
    </w:p>
    <w:p w:rsidR="008078E5" w:rsidRPr="002B36BD" w:rsidRDefault="008078E5" w:rsidP="008078E5">
      <w:pPr>
        <w:pStyle w:val="Para0"/>
        <w:rPr>
          <w:sz w:val="24"/>
          <w:szCs w:val="24"/>
        </w:rPr>
      </w:pPr>
      <w:r w:rsidRPr="002B36BD">
        <w:rPr>
          <w:sz w:val="24"/>
          <w:szCs w:val="24"/>
        </w:rPr>
        <w:t xml:space="preserve">(1)  </w:t>
      </w:r>
      <w:r w:rsidRPr="002B36BD">
        <w:rPr>
          <w:sz w:val="24"/>
          <w:szCs w:val="24"/>
        </w:rPr>
        <w:tab/>
        <w:t>∆Services_trade= f(</w:t>
      </w:r>
      <m:oMath>
        <m:sSub>
          <m:sSubPr>
            <m:ctrlPr>
              <w:rPr>
                <w:rFonts w:ascii="Cambria Math" w:hAnsi="Cambria Math"/>
                <w:sz w:val="24"/>
                <w:szCs w:val="24"/>
              </w:rPr>
            </m:ctrlPr>
          </m:sSubPr>
          <m:e>
            <m:r>
              <m:rPr>
                <m:nor/>
              </m:rPr>
              <w:rPr>
                <w:sz w:val="24"/>
                <w:szCs w:val="24"/>
              </w:rPr>
              <m:t>(∆Predictor)</m:t>
            </m:r>
          </m:e>
          <m:sub>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p</m:t>
            </m:r>
          </m:sub>
        </m:sSub>
      </m:oMath>
      <w:r w:rsidRPr="002B36BD">
        <w:rPr>
          <w:sz w:val="24"/>
          <w:szCs w:val="24"/>
        </w:rPr>
        <w:t>) for p=0,1,2,3,4</w:t>
      </w:r>
    </w:p>
    <w:p w:rsidR="008078E5" w:rsidRPr="002B36BD" w:rsidRDefault="008078E5" w:rsidP="008078E5">
      <w:pPr>
        <w:pStyle w:val="Para0"/>
        <w:rPr>
          <w:sz w:val="24"/>
          <w:szCs w:val="24"/>
        </w:rPr>
      </w:pPr>
      <w:r w:rsidRPr="002B36BD">
        <w:rPr>
          <w:sz w:val="24"/>
          <w:szCs w:val="24"/>
        </w:rPr>
        <w:t xml:space="preserve">(2)  </w:t>
      </w:r>
      <w:r w:rsidRPr="002B36BD">
        <w:rPr>
          <w:sz w:val="24"/>
          <w:szCs w:val="24"/>
        </w:rPr>
        <w:tab/>
      </w:r>
      <m:oMath>
        <m:r>
          <m:rPr>
            <m:nor/>
          </m:rPr>
          <w:rPr>
            <w:sz w:val="24"/>
            <w:szCs w:val="24"/>
          </w:rPr>
          <m:t>%∆</m:t>
        </m:r>
        <m:r>
          <m:rPr>
            <m:sty m:val="p"/>
          </m:rPr>
          <w:rPr>
            <w:rFonts w:ascii="Cambria Math" w:hAnsi="Cambria Math"/>
            <w:sz w:val="24"/>
            <w:szCs w:val="24"/>
          </w:rPr>
          <m:t>Services_trade=</m:t>
        </m:r>
        <m:r>
          <w:rPr>
            <w:rFonts w:ascii="Cambria Math" w:hAnsi="Cambria Math"/>
            <w:sz w:val="24"/>
            <w:szCs w:val="24"/>
          </w:rPr>
          <m:t>f</m:t>
        </m:r>
        <m:r>
          <m:rPr>
            <m:nor/>
          </m:rPr>
          <w:rPr>
            <w:sz w:val="24"/>
            <w:szCs w:val="24"/>
          </w:rPr>
          <m:t>((</m:t>
        </m:r>
        <m:sSub>
          <m:sSubPr>
            <m:ctrlPr>
              <w:rPr>
                <w:rFonts w:ascii="Cambria Math" w:hAnsi="Cambria Math"/>
                <w:sz w:val="24"/>
                <w:szCs w:val="24"/>
              </w:rPr>
            </m:ctrlPr>
          </m:sSubPr>
          <m:e>
            <m:r>
              <m:rPr>
                <m:nor/>
              </m:rPr>
              <w:rPr>
                <w:sz w:val="24"/>
                <w:szCs w:val="24"/>
              </w:rPr>
              <m:t>%∆Predictor)</m:t>
            </m:r>
          </m:e>
          <m:sub>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p</m:t>
            </m:r>
          </m:sub>
        </m:sSub>
      </m:oMath>
      <w:r w:rsidRPr="002B36BD">
        <w:rPr>
          <w:sz w:val="24"/>
          <w:szCs w:val="24"/>
        </w:rPr>
        <w:t>) for p=0,1,2,3,4</w:t>
      </w:r>
    </w:p>
    <w:p w:rsidR="00B43A34" w:rsidRPr="00B43A34" w:rsidRDefault="008078E5" w:rsidP="00B43A34">
      <w:pPr>
        <w:pStyle w:val="Text2"/>
        <w:ind w:left="0"/>
        <w:rPr>
          <w:szCs w:val="24"/>
        </w:rPr>
      </w:pPr>
      <w:r w:rsidRPr="002B36BD">
        <w:rPr>
          <w:szCs w:val="24"/>
        </w:rPr>
        <w:t xml:space="preserve">As this list still contains variables likely to carry the same signals, a further step aimed at </w:t>
      </w:r>
      <w:r w:rsidR="004A7AF5" w:rsidRPr="002B36BD">
        <w:rPr>
          <w:szCs w:val="24"/>
        </w:rPr>
        <w:t>achieving a parsimonious model</w:t>
      </w:r>
      <w:r w:rsidRPr="002B36BD">
        <w:rPr>
          <w:szCs w:val="24"/>
        </w:rPr>
        <w:t xml:space="preserve"> was implemented.</w:t>
      </w:r>
      <w:r w:rsidR="00837D96" w:rsidRPr="002B36BD">
        <w:rPr>
          <w:szCs w:val="24"/>
        </w:rPr>
        <w:t xml:space="preserve"> Starting from the list of variables retained after the regressions, </w:t>
      </w:r>
      <w:r w:rsidR="00295657" w:rsidRPr="002B36BD">
        <w:rPr>
          <w:szCs w:val="24"/>
        </w:rPr>
        <w:t xml:space="preserve">a </w:t>
      </w:r>
      <w:r w:rsidR="00837D96" w:rsidRPr="002B36BD">
        <w:rPr>
          <w:szCs w:val="24"/>
        </w:rPr>
        <w:t>supervised machine learning technique w</w:t>
      </w:r>
      <w:r w:rsidR="00295657" w:rsidRPr="002B36BD">
        <w:rPr>
          <w:szCs w:val="24"/>
        </w:rPr>
        <w:t>as</w:t>
      </w:r>
      <w:r w:rsidR="00837D96" w:rsidRPr="002B36BD">
        <w:rPr>
          <w:szCs w:val="24"/>
        </w:rPr>
        <w:t xml:space="preserve"> used to identify the most relevant subset of predictors. The least absolute shrinkage and selection operator, known as Lasso</w:t>
      </w:r>
      <w:r w:rsidR="00753637" w:rsidRPr="002B36BD">
        <w:rPr>
          <w:szCs w:val="24"/>
        </w:rPr>
        <w:t xml:space="preserve"> ([9])</w:t>
      </w:r>
      <w:r w:rsidR="00837D96" w:rsidRPr="002B36BD">
        <w:rPr>
          <w:szCs w:val="24"/>
        </w:rPr>
        <w:t>, is a regularised regression method aimed at reducing model complexity. Capable of dealing with a large number of predictors, it provides a systematic, data-driven approach to model selection</w:t>
      </w:r>
      <w:r w:rsidR="0097178A" w:rsidRPr="002B36BD">
        <w:rPr>
          <w:szCs w:val="24"/>
        </w:rPr>
        <w:t xml:space="preserve"> ([10]). </w:t>
      </w:r>
      <w:r w:rsidR="00B43A34" w:rsidRPr="00B43A34">
        <w:rPr>
          <w:szCs w:val="24"/>
        </w:rPr>
        <w:t>Lasso minimises the mean squared error subject to a penalty on the sum of the absolute value of the coefficients.</w:t>
      </w:r>
    </w:p>
    <w:p w:rsidR="00B43A34" w:rsidRPr="00BF72FB" w:rsidRDefault="00065A25" w:rsidP="00B43A34">
      <w:pPr>
        <w:autoSpaceDE w:val="0"/>
        <w:autoSpaceDN w:val="0"/>
        <w:adjustRightInd w:val="0"/>
        <w:jc w:val="left"/>
        <w:rPr>
          <w:rFonts w:asciiTheme="minorHAnsi" w:hAnsiTheme="minorHAnsi" w:cstheme="minorHAnsi"/>
          <w:sz w:val="22"/>
          <w:szCs w:val="22"/>
        </w:rPr>
      </w:pPr>
      <m:oMathPara>
        <m:oMath>
          <m:sSub>
            <m:sSubPr>
              <m:ctrlPr>
                <w:rPr>
                  <w:rFonts w:ascii="Cambria Math" w:hAnsi="Cambria Math" w:cstheme="minorHAnsi"/>
                  <w:i/>
                  <w:sz w:val="22"/>
                  <w:szCs w:val="22"/>
                </w:rPr>
              </m:ctrlPr>
            </m:sSubPr>
            <m:e>
              <m:acc>
                <m:accPr>
                  <m:ctrlPr>
                    <w:rPr>
                      <w:rFonts w:ascii="Cambria Math" w:hAnsi="Cambria Math" w:cstheme="minorHAnsi"/>
                      <w:i/>
                      <w:sz w:val="22"/>
                      <w:szCs w:val="22"/>
                    </w:rPr>
                  </m:ctrlPr>
                </m:accPr>
                <m:e>
                  <m:r>
                    <w:rPr>
                      <w:rFonts w:ascii="Cambria Math" w:hAnsi="Cambria Math" w:cstheme="minorHAnsi"/>
                      <w:sz w:val="22"/>
                      <w:szCs w:val="22"/>
                    </w:rPr>
                    <m:t>β</m:t>
                  </m:r>
                </m:e>
              </m:acc>
            </m:e>
            <m:sub>
              <m:r>
                <w:rPr>
                  <w:rFonts w:ascii="Cambria Math" w:hAnsi="Cambria Math" w:cstheme="minorHAnsi"/>
                  <w:sz w:val="22"/>
                  <w:szCs w:val="22"/>
                </w:rPr>
                <m:t>Lasso</m:t>
              </m:r>
            </m:sub>
          </m:sSub>
          <m:r>
            <w:rPr>
              <w:rFonts w:ascii="Cambria Math" w:hAnsi="Cambria Math" w:cstheme="minorHAnsi"/>
              <w:sz w:val="22"/>
              <w:szCs w:val="22"/>
            </w:rPr>
            <m:t>=</m:t>
          </m:r>
          <m:func>
            <m:funcPr>
              <m:ctrlPr>
                <w:rPr>
                  <w:rFonts w:ascii="Cambria Math" w:hAnsi="Cambria Math" w:cstheme="minorHAnsi"/>
                  <w:i/>
                  <w:sz w:val="22"/>
                  <w:szCs w:val="22"/>
                </w:rPr>
              </m:ctrlPr>
            </m:funcPr>
            <m:fName>
              <m:r>
                <m:rPr>
                  <m:sty m:val="p"/>
                </m:rPr>
                <w:rPr>
                  <w:rFonts w:ascii="Cambria Math" w:hAnsi="Cambria Math" w:cstheme="minorHAnsi"/>
                  <w:sz w:val="22"/>
                  <w:szCs w:val="22"/>
                </w:rPr>
                <m:t>arg</m:t>
              </m:r>
            </m:fName>
            <m:e>
              <m:func>
                <m:funcPr>
                  <m:ctrlPr>
                    <w:rPr>
                      <w:rFonts w:ascii="Cambria Math" w:hAnsi="Cambria Math" w:cstheme="minorHAnsi"/>
                      <w:i/>
                      <w:sz w:val="22"/>
                      <w:szCs w:val="22"/>
                    </w:rPr>
                  </m:ctrlPr>
                </m:funcPr>
                <m:fName>
                  <m:r>
                    <m:rPr>
                      <m:sty m:val="p"/>
                    </m:rPr>
                    <w:rPr>
                      <w:rFonts w:ascii="Cambria Math" w:hAnsi="Cambria Math" w:cstheme="minorHAnsi"/>
                      <w:sz w:val="22"/>
                      <w:szCs w:val="22"/>
                    </w:rPr>
                    <m:t>min</m:t>
                  </m:r>
                </m:fName>
                <m:e>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n</m:t>
                      </m:r>
                    </m:den>
                  </m:f>
                </m:e>
              </m:func>
            </m:e>
          </m:func>
          <m:nary>
            <m:naryPr>
              <m:chr m:val="∑"/>
              <m:limLoc m:val="undOvr"/>
              <m:ctrlPr>
                <w:rPr>
                  <w:rFonts w:ascii="Cambria Math" w:hAnsi="Cambria Math" w:cstheme="minorHAnsi"/>
                  <w:i/>
                  <w:sz w:val="22"/>
                  <w:szCs w:val="22"/>
                </w:rPr>
              </m:ctrlPr>
            </m:naryPr>
            <m:sub>
              <m:r>
                <w:rPr>
                  <w:rFonts w:ascii="Cambria Math" w:hAnsi="Cambria Math" w:cstheme="minorHAnsi"/>
                  <w:sz w:val="22"/>
                  <w:szCs w:val="22"/>
                </w:rPr>
                <m:t>i=1</m:t>
              </m:r>
            </m:sub>
            <m:sup>
              <m:r>
                <w:rPr>
                  <w:rFonts w:ascii="Cambria Math" w:hAnsi="Cambria Math" w:cstheme="minorHAnsi"/>
                  <w:sz w:val="22"/>
                  <w:szCs w:val="22"/>
                </w:rPr>
                <m:t>n</m:t>
              </m:r>
            </m:sup>
            <m:e>
              <m:sSup>
                <m:sSupPr>
                  <m:ctrlPr>
                    <w:rPr>
                      <w:rFonts w:ascii="Cambria Math" w:hAnsi="Cambria Math" w:cstheme="minorHAnsi"/>
                      <w:i/>
                      <w:sz w:val="22"/>
                      <w:szCs w:val="22"/>
                    </w:rPr>
                  </m:ctrlPr>
                </m:sSupPr>
                <m:e>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r>
                        <w:rPr>
                          <w:rFonts w:ascii="Cambria Math" w:hAnsi="Cambria Math" w:cstheme="minorHAnsi"/>
                          <w:sz w:val="22"/>
                          <w:szCs w:val="22"/>
                        </w:rPr>
                        <m:t>β</m:t>
                      </m:r>
                    </m:e>
                  </m:d>
                </m:e>
                <m:sup>
                  <m:r>
                    <w:rPr>
                      <w:rFonts w:ascii="Cambria Math" w:hAnsi="Cambria Math" w:cstheme="minorHAnsi"/>
                      <w:sz w:val="22"/>
                      <w:szCs w:val="22"/>
                    </w:rPr>
                    <m:t>2</m:t>
                  </m:r>
                </m:sup>
              </m:sSup>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λ</m:t>
                  </m:r>
                </m:num>
                <m:den>
                  <m:r>
                    <w:rPr>
                      <w:rFonts w:ascii="Cambria Math" w:hAnsi="Cambria Math" w:cstheme="minorHAnsi"/>
                      <w:sz w:val="22"/>
                      <w:szCs w:val="22"/>
                    </w:rPr>
                    <m:t>n</m:t>
                  </m:r>
                </m:den>
              </m:f>
            </m:e>
          </m:nary>
          <m:nary>
            <m:naryPr>
              <m:chr m:val="∑"/>
              <m:limLoc m:val="undOvr"/>
              <m:ctrlPr>
                <w:rPr>
                  <w:rFonts w:ascii="Cambria Math" w:hAnsi="Cambria Math" w:cstheme="minorHAnsi"/>
                  <w:i/>
                  <w:sz w:val="22"/>
                  <w:szCs w:val="22"/>
                </w:rPr>
              </m:ctrlPr>
            </m:naryPr>
            <m:sub>
              <m:r>
                <w:rPr>
                  <w:rFonts w:ascii="Cambria Math" w:hAnsi="Cambria Math" w:cstheme="minorHAnsi"/>
                  <w:sz w:val="22"/>
                  <w:szCs w:val="22"/>
                </w:rPr>
                <m:t>j=1</m:t>
              </m:r>
            </m:sub>
            <m:sup>
              <m:r>
                <w:rPr>
                  <w:rFonts w:ascii="Cambria Math" w:hAnsi="Cambria Math" w:cstheme="minorHAnsi"/>
                  <w:sz w:val="22"/>
                  <w:szCs w:val="22"/>
                </w:rPr>
                <m:t>p</m:t>
              </m:r>
            </m:sup>
            <m:e>
              <m:sSub>
                <m:sSubPr>
                  <m:ctrlPr>
                    <w:rPr>
                      <w:rFonts w:ascii="Cambria Math" w:hAnsi="Cambria Math" w:cstheme="minorHAnsi"/>
                      <w:i/>
                      <w:sz w:val="22"/>
                      <w:szCs w:val="22"/>
                    </w:rPr>
                  </m:ctrlPr>
                </m:sSubPr>
                <m:e>
                  <m:r>
                    <w:rPr>
                      <w:rFonts w:ascii="Cambria Math" w:hAnsi="Cambria Math" w:cstheme="minorHAnsi"/>
                      <w:sz w:val="22"/>
                      <w:szCs w:val="22"/>
                    </w:rPr>
                    <m:t>ψ</m:t>
                  </m:r>
                </m:e>
                <m:sub>
                  <m:r>
                    <w:rPr>
                      <w:rFonts w:ascii="Cambria Math" w:hAnsi="Cambria Math" w:cstheme="minorHAnsi"/>
                      <w:sz w:val="22"/>
                      <w:szCs w:val="22"/>
                    </w:rPr>
                    <m:t>j</m:t>
                  </m:r>
                </m:sub>
              </m:sSub>
              <m:d>
                <m:dPr>
                  <m:begChr m:val="|"/>
                  <m:endChr m:val="|"/>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β</m:t>
                      </m:r>
                    </m:e>
                    <m:sub>
                      <m:r>
                        <w:rPr>
                          <w:rFonts w:ascii="Cambria Math" w:hAnsi="Cambria Math" w:cstheme="minorHAnsi"/>
                          <w:sz w:val="22"/>
                          <w:szCs w:val="22"/>
                        </w:rPr>
                        <m:t>j</m:t>
                      </m:r>
                    </m:sub>
                  </m:sSub>
                </m:e>
              </m:d>
            </m:e>
          </m:nary>
        </m:oMath>
      </m:oMathPara>
    </w:p>
    <w:p w:rsidR="00B43A34" w:rsidRDefault="00B43A34" w:rsidP="00B43A34">
      <w:pPr>
        <w:pStyle w:val="Para0"/>
        <w:ind w:left="0" w:right="-30"/>
        <w:rPr>
          <w:rFonts w:eastAsiaTheme="minorEastAsia"/>
          <w:sz w:val="24"/>
          <w:szCs w:val="24"/>
        </w:rPr>
      </w:pPr>
      <w:r w:rsidRPr="00B43A34">
        <w:rPr>
          <w:sz w:val="24"/>
          <w:szCs w:val="24"/>
        </w:rPr>
        <w:t xml:space="preserve">In the equation above, which assumes all variables have been mean-centred, </w:t>
      </w:r>
      <m:oMath>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β</m:t>
                </m:r>
              </m:e>
            </m:acc>
          </m:e>
          <m:sub>
            <m:r>
              <w:rPr>
                <w:rFonts w:ascii="Cambria Math" w:hAnsi="Cambria Math"/>
                <w:sz w:val="24"/>
                <w:szCs w:val="24"/>
              </w:rPr>
              <m:t>Lasso</m:t>
            </m:r>
          </m:sub>
        </m:sSub>
        <m:r>
          <w:rPr>
            <w:rFonts w:ascii="Cambria Math" w:hAnsi="Cambria Math"/>
            <w:sz w:val="24"/>
            <w:szCs w:val="24"/>
          </w:rPr>
          <m:t xml:space="preserve"> </m:t>
        </m:r>
      </m:oMath>
      <w:r w:rsidRPr="00B43A34">
        <w:rPr>
          <w:rFonts w:eastAsiaTheme="minorEastAsia"/>
          <w:sz w:val="24"/>
          <w:szCs w:val="24"/>
        </w:rPr>
        <w:t xml:space="preserve"> is the Lasso solution for the vector of parameters of interest. </w:t>
      </w:r>
      <w:r w:rsidRPr="00B43A34">
        <w:rPr>
          <w:sz w:val="24"/>
          <w:szCs w:val="24"/>
        </w:rPr>
        <w:t xml:space="preserve">The first term on the right side </w:t>
      </w:r>
      <w:r w:rsidRPr="00B43A34">
        <w:rPr>
          <w:sz w:val="24"/>
          <w:szCs w:val="24"/>
        </w:rPr>
        <w:lastRenderedPageBreak/>
        <w:t xml:space="preserve">corresponds to the least squares estimator. The second term introduces the penalisation, with λ determining the overall penalty level and </w:t>
      </w:r>
      <m:oMath>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j</m:t>
            </m:r>
          </m:sub>
        </m:sSub>
      </m:oMath>
      <w:r w:rsidRPr="00B43A34">
        <w:rPr>
          <w:rFonts w:eastAsiaTheme="minorEastAsia"/>
          <w:sz w:val="24"/>
          <w:szCs w:val="24"/>
        </w:rPr>
        <w:t xml:space="preserve"> representing predictor-specific penalty loadings. Through this penalisation, Lasso sets some coefficients to zero and removes all covariates whose estimated coefficients are zero from the model.</w:t>
      </w:r>
      <w:r>
        <w:rPr>
          <w:rFonts w:eastAsiaTheme="minorEastAsia"/>
          <w:sz w:val="24"/>
          <w:szCs w:val="24"/>
        </w:rPr>
        <w:t xml:space="preserve"> It thereby </w:t>
      </w:r>
      <w:r w:rsidRPr="00B43A34">
        <w:rPr>
          <w:sz w:val="24"/>
          <w:szCs w:val="24"/>
        </w:rPr>
        <w:t>helps to address the problem of overfitting.</w:t>
      </w:r>
      <w:r w:rsidRPr="00B43A34">
        <w:rPr>
          <w:rFonts w:eastAsiaTheme="minorEastAsia"/>
          <w:sz w:val="28"/>
          <w:szCs w:val="24"/>
        </w:rPr>
        <w:t xml:space="preserve"> </w:t>
      </w:r>
      <w:r w:rsidRPr="00B43A34">
        <w:rPr>
          <w:rFonts w:eastAsiaTheme="minorEastAsia"/>
          <w:sz w:val="24"/>
          <w:szCs w:val="24"/>
        </w:rPr>
        <w:t xml:space="preserve">Lasso introduces a bias but simultaneously reduces the variance of the prediction. Given the bias-variance trade-off, this selection is likely to improve the performance relative to OLS and facilitates interpretation </w:t>
      </w:r>
      <w:r>
        <w:rPr>
          <w:rFonts w:eastAsiaTheme="minorEastAsia"/>
          <w:sz w:val="24"/>
          <w:szCs w:val="24"/>
        </w:rPr>
        <w:t>([9]).</w:t>
      </w:r>
    </w:p>
    <w:p w:rsidR="00295657" w:rsidRPr="002B36BD" w:rsidRDefault="00295657" w:rsidP="00295657">
      <w:pPr>
        <w:pStyle w:val="Text2"/>
        <w:ind w:left="0"/>
        <w:rPr>
          <w:szCs w:val="24"/>
        </w:rPr>
      </w:pPr>
      <w:r w:rsidRPr="002B36BD">
        <w:rPr>
          <w:szCs w:val="24"/>
        </w:rPr>
        <w:t xml:space="preserve">First, Lasso was applied separately to each </w:t>
      </w:r>
      <w:r w:rsidR="002F7C4A" w:rsidRPr="002B36BD">
        <w:rPr>
          <w:szCs w:val="24"/>
        </w:rPr>
        <w:t>category</w:t>
      </w:r>
      <w:r w:rsidRPr="002B36BD">
        <w:rPr>
          <w:szCs w:val="24"/>
        </w:rPr>
        <w:t xml:space="preserve"> of indicators. </w:t>
      </w:r>
      <w:r w:rsidR="009915DD">
        <w:rPr>
          <w:szCs w:val="24"/>
        </w:rPr>
        <w:t>For each category, t</w:t>
      </w:r>
      <w:r w:rsidRPr="002B36BD">
        <w:rPr>
          <w:szCs w:val="24"/>
        </w:rPr>
        <w:t>he selection of indicators identified by Lasso was retained. The category-specific selections were combined in order to create two lists of predictors – one for imports and one for exports. In a second step, Lasso was applied to different variations of the variable list obtained after the first Lasso-based step</w:t>
      </w:r>
      <w:r w:rsidR="001815F4" w:rsidRPr="002B36BD">
        <w:rPr>
          <w:szCs w:val="24"/>
        </w:rPr>
        <w:t xml:space="preserve">: Different lags </w:t>
      </w:r>
      <w:r w:rsidRPr="002B36BD">
        <w:rPr>
          <w:szCs w:val="24"/>
        </w:rPr>
        <w:t xml:space="preserve">of the predictors from the four categories </w:t>
      </w:r>
      <w:r w:rsidR="009915DD">
        <w:rPr>
          <w:szCs w:val="24"/>
        </w:rPr>
        <w:t>and</w:t>
      </w:r>
      <w:r w:rsidR="001815F4" w:rsidRPr="002B36BD">
        <w:rPr>
          <w:szCs w:val="24"/>
        </w:rPr>
        <w:t xml:space="preserve"> version</w:t>
      </w:r>
      <w:r w:rsidR="00A77F8A">
        <w:rPr>
          <w:szCs w:val="24"/>
        </w:rPr>
        <w:t>s</w:t>
      </w:r>
      <w:r w:rsidR="001815F4" w:rsidRPr="002B36BD">
        <w:rPr>
          <w:szCs w:val="24"/>
        </w:rPr>
        <w:t xml:space="preserve"> with lags </w:t>
      </w:r>
      <w:r w:rsidRPr="002B36BD">
        <w:rPr>
          <w:szCs w:val="24"/>
        </w:rPr>
        <w:t xml:space="preserve">of the dependent variable were tested. </w:t>
      </w:r>
    </w:p>
    <w:p w:rsidR="00C40652" w:rsidRPr="002B36BD" w:rsidRDefault="00C40652" w:rsidP="00C40652">
      <w:pPr>
        <w:pStyle w:val="Heading2"/>
        <w:numPr>
          <w:ilvl w:val="0"/>
          <w:numId w:val="0"/>
        </w:numPr>
        <w:rPr>
          <w:szCs w:val="24"/>
        </w:rPr>
      </w:pPr>
      <w:r w:rsidRPr="002B36BD">
        <w:rPr>
          <w:szCs w:val="24"/>
        </w:rPr>
        <w:t>2.3 Bridge models used to fill missing observations</w:t>
      </w:r>
    </w:p>
    <w:p w:rsidR="00C40652" w:rsidRPr="002B36BD" w:rsidRDefault="001815F4" w:rsidP="00D52EA1">
      <w:pPr>
        <w:rPr>
          <w:szCs w:val="24"/>
          <w:highlight w:val="green"/>
        </w:rPr>
      </w:pPr>
      <w:r w:rsidRPr="002B36BD">
        <w:rPr>
          <w:szCs w:val="24"/>
        </w:rPr>
        <w:t xml:space="preserve">A further </w:t>
      </w:r>
      <w:r w:rsidR="006E67D9" w:rsidRPr="002B36BD">
        <w:rPr>
          <w:szCs w:val="24"/>
        </w:rPr>
        <w:t>challenge</w:t>
      </w:r>
      <w:r w:rsidRPr="002B36BD">
        <w:rPr>
          <w:szCs w:val="24"/>
        </w:rPr>
        <w:t xml:space="preserve"> </w:t>
      </w:r>
      <w:r w:rsidR="006E67D9" w:rsidRPr="002B36BD">
        <w:rPr>
          <w:szCs w:val="24"/>
        </w:rPr>
        <w:t>relates</w:t>
      </w:r>
      <w:r w:rsidRPr="002B36BD">
        <w:rPr>
          <w:szCs w:val="24"/>
        </w:rPr>
        <w:t xml:space="preserve"> to difference</w:t>
      </w:r>
      <w:r w:rsidR="006E67D9" w:rsidRPr="002B36BD">
        <w:rPr>
          <w:szCs w:val="24"/>
        </w:rPr>
        <w:t>s</w:t>
      </w:r>
      <w:r w:rsidRPr="002B36BD">
        <w:rPr>
          <w:szCs w:val="24"/>
        </w:rPr>
        <w:t xml:space="preserve"> in reporting delay across variables. Two ways of addressing this aspect were explored: First, for a set of models a lag structure</w:t>
      </w:r>
      <w:r w:rsidR="006E67D9" w:rsidRPr="002B36BD">
        <w:rPr>
          <w:szCs w:val="24"/>
        </w:rPr>
        <w:t xml:space="preserve"> aligned with the reporting lags</w:t>
      </w:r>
      <w:r w:rsidRPr="002B36BD">
        <w:rPr>
          <w:szCs w:val="24"/>
        </w:rPr>
        <w:t xml:space="preserve"> was imposed</w:t>
      </w:r>
      <w:r w:rsidR="006E67D9" w:rsidRPr="002B36BD">
        <w:rPr>
          <w:szCs w:val="24"/>
        </w:rPr>
        <w:t>.</w:t>
      </w:r>
      <w:r w:rsidRPr="002B36BD">
        <w:rPr>
          <w:szCs w:val="24"/>
        </w:rPr>
        <w:t xml:space="preserve"> </w:t>
      </w:r>
      <w:r w:rsidR="006E67D9" w:rsidRPr="002B36BD">
        <w:rPr>
          <w:szCs w:val="24"/>
        </w:rPr>
        <w:t>Second</w:t>
      </w:r>
      <w:r w:rsidRPr="002B36BD">
        <w:rPr>
          <w:szCs w:val="24"/>
        </w:rPr>
        <w:t>, bridge equations were estimated to fill missing observations for variables with reporting delay</w:t>
      </w:r>
      <w:r w:rsidR="00990B5F">
        <w:rPr>
          <w:szCs w:val="24"/>
        </w:rPr>
        <w:t>s</w:t>
      </w:r>
      <w:r w:rsidRPr="002B36BD">
        <w:rPr>
          <w:szCs w:val="24"/>
        </w:rPr>
        <w:t xml:space="preserve">. Linear regressions </w:t>
      </w:r>
      <w:r w:rsidR="006E67D9" w:rsidRPr="002B36BD">
        <w:rPr>
          <w:szCs w:val="24"/>
        </w:rPr>
        <w:t>using</w:t>
      </w:r>
      <w:r w:rsidRPr="002B36BD">
        <w:rPr>
          <w:szCs w:val="24"/>
        </w:rPr>
        <w:t xml:space="preserve"> Google variables and other </w:t>
      </w:r>
      <w:r w:rsidR="00990B5F">
        <w:rPr>
          <w:szCs w:val="24"/>
        </w:rPr>
        <w:t xml:space="preserve">high-frequency </w:t>
      </w:r>
      <w:r w:rsidRPr="002B36BD">
        <w:rPr>
          <w:szCs w:val="24"/>
        </w:rPr>
        <w:t>variables outperform</w:t>
      </w:r>
      <w:r w:rsidR="006E67D9" w:rsidRPr="002B36BD">
        <w:rPr>
          <w:szCs w:val="24"/>
        </w:rPr>
        <w:t>ed</w:t>
      </w:r>
      <w:r w:rsidRPr="002B36BD">
        <w:rPr>
          <w:szCs w:val="24"/>
        </w:rPr>
        <w:t xml:space="preserve"> ARIMA and vector autoregression.</w:t>
      </w:r>
    </w:p>
    <w:p w:rsidR="00C40652" w:rsidRPr="002B36BD" w:rsidRDefault="00A81B91" w:rsidP="00A81B91">
      <w:pPr>
        <w:pStyle w:val="Heading1"/>
        <w:rPr>
          <w:szCs w:val="24"/>
        </w:rPr>
      </w:pPr>
      <w:r w:rsidRPr="002B36BD">
        <w:rPr>
          <w:szCs w:val="24"/>
        </w:rPr>
        <w:t>Results</w:t>
      </w:r>
    </w:p>
    <w:p w:rsidR="008847C3" w:rsidRPr="002B36BD" w:rsidRDefault="00A81B91" w:rsidP="00A81B91">
      <w:pPr>
        <w:pStyle w:val="Heading2"/>
        <w:tabs>
          <w:tab w:val="num" w:pos="482"/>
        </w:tabs>
        <w:ind w:left="482" w:hanging="482"/>
        <w:rPr>
          <w:szCs w:val="24"/>
        </w:rPr>
      </w:pPr>
      <w:r w:rsidRPr="002B36BD">
        <w:rPr>
          <w:szCs w:val="24"/>
        </w:rPr>
        <w:t>Best-performing models</w:t>
      </w:r>
    </w:p>
    <w:p w:rsidR="00DE7547" w:rsidRDefault="00DD014B" w:rsidP="00DE7547">
      <w:pPr>
        <w:pStyle w:val="Text2"/>
        <w:ind w:left="0"/>
        <w:rPr>
          <w:szCs w:val="24"/>
        </w:rPr>
      </w:pPr>
      <w:r>
        <w:t xml:space="preserve">The models identified via Lasso were </w:t>
      </w:r>
      <w:r w:rsidR="00100009">
        <w:t>tested</w:t>
      </w:r>
      <w:r>
        <w:t xml:space="preserve"> </w:t>
      </w:r>
      <w:r w:rsidR="00100009">
        <w:t>via</w:t>
      </w:r>
      <w:r>
        <w:t xml:space="preserve"> linear regressions and vector autoregressions. </w:t>
      </w:r>
      <w:r w:rsidR="00DE7547" w:rsidRPr="002B36BD">
        <w:rPr>
          <w:szCs w:val="24"/>
        </w:rPr>
        <w:t xml:space="preserve">Table 2 presents the results of the best models for US services exports (EXP-Model 1) and imports (IMP-Model 1). </w:t>
      </w:r>
      <w:r w:rsidR="0067420F" w:rsidRPr="002B36BD">
        <w:rPr>
          <w:szCs w:val="24"/>
        </w:rPr>
        <w:t>Both</w:t>
      </w:r>
      <w:r>
        <w:rPr>
          <w:szCs w:val="24"/>
        </w:rPr>
        <w:t xml:space="preserve"> were estimated </w:t>
      </w:r>
      <w:r w:rsidR="00100009">
        <w:rPr>
          <w:szCs w:val="24"/>
        </w:rPr>
        <w:t>by</w:t>
      </w:r>
      <w:r>
        <w:rPr>
          <w:szCs w:val="24"/>
        </w:rPr>
        <w:t xml:space="preserve"> </w:t>
      </w:r>
      <w:r w:rsidR="00100009">
        <w:rPr>
          <w:szCs w:val="24"/>
        </w:rPr>
        <w:t xml:space="preserve">linear </w:t>
      </w:r>
      <w:r>
        <w:rPr>
          <w:szCs w:val="24"/>
        </w:rPr>
        <w:t>regressions and</w:t>
      </w:r>
      <w:r w:rsidR="0067420F" w:rsidRPr="002B36BD">
        <w:rPr>
          <w:szCs w:val="24"/>
        </w:rPr>
        <w:t xml:space="preserve"> combine variables from all four categories</w:t>
      </w:r>
      <w:r w:rsidR="00990B5F">
        <w:rPr>
          <w:szCs w:val="24"/>
        </w:rPr>
        <w:t xml:space="preserve"> (see Table 3)</w:t>
      </w:r>
      <w:r w:rsidR="0067420F" w:rsidRPr="002B36BD">
        <w:rPr>
          <w:szCs w:val="24"/>
        </w:rPr>
        <w:t>.</w:t>
      </w:r>
    </w:p>
    <w:p w:rsidR="00C64A88" w:rsidRPr="005F797E" w:rsidRDefault="00C64A88" w:rsidP="00C64A88">
      <w:pPr>
        <w:pStyle w:val="Caption"/>
      </w:pPr>
      <w:r w:rsidRPr="005F797E">
        <w:t xml:space="preserve">Table </w:t>
      </w:r>
      <w:r>
        <w:t>2</w:t>
      </w:r>
      <w:r w:rsidRPr="005F797E">
        <w:t xml:space="preserve">. </w:t>
      </w:r>
      <w:r>
        <w:t>Performance of best models</w:t>
      </w:r>
    </w:p>
    <w:tbl>
      <w:tblPr>
        <w:tblStyle w:val="PlainTable1"/>
        <w:tblW w:w="5000" w:type="pct"/>
        <w:tblLook w:val="04A0" w:firstRow="1" w:lastRow="0" w:firstColumn="1" w:lastColumn="0" w:noHBand="0" w:noVBand="1"/>
      </w:tblPr>
      <w:tblGrid>
        <w:gridCol w:w="1413"/>
        <w:gridCol w:w="2506"/>
        <w:gridCol w:w="2030"/>
        <w:gridCol w:w="1417"/>
        <w:gridCol w:w="1241"/>
      </w:tblGrid>
      <w:tr w:rsidR="00C64A88" w:rsidRPr="00EC23E7" w:rsidTr="002B6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64A88" w:rsidRPr="00EC23E7" w:rsidRDefault="00C64A88" w:rsidP="002B6669">
            <w:pPr>
              <w:pStyle w:val="TableColumn"/>
              <w:rPr>
                <w:rFonts w:ascii="Times New Roman" w:hAnsi="Times New Roman" w:cs="Times New Roman"/>
                <w:sz w:val="20"/>
                <w:szCs w:val="20"/>
              </w:rPr>
            </w:pPr>
            <w:r w:rsidRPr="00EC23E7">
              <w:rPr>
                <w:rFonts w:ascii="Times New Roman" w:hAnsi="Times New Roman" w:cs="Times New Roman"/>
                <w:sz w:val="20"/>
                <w:szCs w:val="20"/>
              </w:rPr>
              <w:t>Model</w:t>
            </w:r>
          </w:p>
        </w:tc>
        <w:tc>
          <w:tcPr>
            <w:tcW w:w="1456" w:type="pct"/>
            <w:hideMark/>
          </w:tcPr>
          <w:p w:rsidR="00C64A88" w:rsidRPr="00EC23E7" w:rsidRDefault="00C64A88" w:rsidP="002B6669">
            <w:pPr>
              <w:pStyle w:val="TableColumn"/>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23E7">
              <w:rPr>
                <w:rFonts w:ascii="Times New Roman" w:hAnsi="Times New Roman" w:cs="Times New Roman"/>
                <w:sz w:val="20"/>
                <w:szCs w:val="20"/>
              </w:rPr>
              <w:t>RMSE as ratio of AR(4) RMSE</w:t>
            </w:r>
          </w:p>
        </w:tc>
        <w:tc>
          <w:tcPr>
            <w:tcW w:w="1179" w:type="pct"/>
            <w:hideMark/>
          </w:tcPr>
          <w:p w:rsidR="00C64A88" w:rsidRPr="00EC23E7" w:rsidRDefault="00C64A88" w:rsidP="002B6669">
            <w:pPr>
              <w:pStyle w:val="TableColumn"/>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23E7">
              <w:rPr>
                <w:rFonts w:ascii="Times New Roman" w:hAnsi="Times New Roman" w:cs="Times New Roman"/>
                <w:sz w:val="20"/>
                <w:szCs w:val="20"/>
              </w:rPr>
              <w:t>Forecast directional accuracy</w:t>
            </w:r>
          </w:p>
        </w:tc>
        <w:tc>
          <w:tcPr>
            <w:tcW w:w="823" w:type="pct"/>
            <w:hideMark/>
          </w:tcPr>
          <w:p w:rsidR="00C64A88" w:rsidRPr="00EC23E7" w:rsidRDefault="00C64A88" w:rsidP="002B6669">
            <w:pPr>
              <w:pStyle w:val="TableColumn"/>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23E7">
              <w:rPr>
                <w:rFonts w:ascii="Times New Roman" w:hAnsi="Times New Roman" w:cs="Times New Roman"/>
                <w:sz w:val="20"/>
                <w:szCs w:val="20"/>
              </w:rPr>
              <w:t>Number of variables</w:t>
            </w:r>
          </w:p>
        </w:tc>
        <w:tc>
          <w:tcPr>
            <w:tcW w:w="721" w:type="pct"/>
            <w:hideMark/>
          </w:tcPr>
          <w:p w:rsidR="00C64A88" w:rsidRPr="00EC23E7" w:rsidRDefault="00C64A88" w:rsidP="002B6669">
            <w:pPr>
              <w:pStyle w:val="TableColumn"/>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C23E7">
              <w:rPr>
                <w:rFonts w:ascii="Times New Roman" w:hAnsi="Times New Roman" w:cs="Times New Roman"/>
                <w:sz w:val="20"/>
                <w:szCs w:val="20"/>
              </w:rPr>
              <w:t>Category</w:t>
            </w:r>
          </w:p>
        </w:tc>
      </w:tr>
      <w:tr w:rsidR="00C64A88" w:rsidRPr="00EC23E7" w:rsidTr="002B6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64A88" w:rsidRPr="00EC23E7" w:rsidRDefault="00C64A88" w:rsidP="002B6669">
            <w:pPr>
              <w:pStyle w:val="TableCell"/>
              <w:jc w:val="left"/>
              <w:rPr>
                <w:rFonts w:ascii="Times New Roman" w:hAnsi="Times New Roman" w:cs="Times New Roman"/>
                <w:sz w:val="20"/>
                <w:szCs w:val="20"/>
              </w:rPr>
            </w:pPr>
            <w:r w:rsidRPr="00EC23E7">
              <w:rPr>
                <w:rFonts w:ascii="Times New Roman" w:hAnsi="Times New Roman" w:cs="Times New Roman"/>
                <w:sz w:val="20"/>
                <w:szCs w:val="20"/>
              </w:rPr>
              <w:t>EXP-Model 1</w:t>
            </w:r>
          </w:p>
        </w:tc>
        <w:tc>
          <w:tcPr>
            <w:tcW w:w="1456" w:type="pct"/>
          </w:tcPr>
          <w:p w:rsidR="00C64A88" w:rsidRPr="00C374EE" w:rsidRDefault="00C64A88" w:rsidP="002B6669">
            <w:pPr>
              <w:pStyle w:val="TableCel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74EE">
              <w:rPr>
                <w:rFonts w:ascii="Times New Roman" w:hAnsi="Times New Roman" w:cs="Times New Roman"/>
                <w:sz w:val="20"/>
                <w:szCs w:val="20"/>
              </w:rPr>
              <w:t>0.885</w:t>
            </w:r>
          </w:p>
        </w:tc>
        <w:tc>
          <w:tcPr>
            <w:tcW w:w="1179" w:type="pct"/>
          </w:tcPr>
          <w:p w:rsidR="00C64A88" w:rsidRPr="00C374EE" w:rsidRDefault="00C64A88" w:rsidP="002B6669">
            <w:pPr>
              <w:pStyle w:val="TableCel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74EE">
              <w:rPr>
                <w:rFonts w:ascii="Times New Roman" w:hAnsi="Times New Roman" w:cs="Times New Roman"/>
                <w:sz w:val="20"/>
                <w:szCs w:val="20"/>
              </w:rPr>
              <w:t>74%</w:t>
            </w:r>
          </w:p>
        </w:tc>
        <w:tc>
          <w:tcPr>
            <w:tcW w:w="823" w:type="pct"/>
          </w:tcPr>
          <w:p w:rsidR="00C64A88" w:rsidRPr="00EC23E7" w:rsidRDefault="00C64A88" w:rsidP="002B6669">
            <w:pPr>
              <w:pStyle w:val="TableCel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rPr>
            </w:pPr>
            <w:r w:rsidRPr="00EC23E7">
              <w:rPr>
                <w:rFonts w:ascii="Times New Roman" w:hAnsi="Times New Roman" w:cs="Times New Roman"/>
                <w:sz w:val="20"/>
                <w:szCs w:val="20"/>
              </w:rPr>
              <w:t>13</w:t>
            </w:r>
          </w:p>
        </w:tc>
        <w:tc>
          <w:tcPr>
            <w:tcW w:w="721" w:type="pct"/>
          </w:tcPr>
          <w:p w:rsidR="00C64A88" w:rsidRPr="00EC23E7" w:rsidRDefault="00C64A88" w:rsidP="002B6669">
            <w:pPr>
              <w:pStyle w:val="TableCel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highlight w:val="yellow"/>
              </w:rPr>
            </w:pPr>
            <w:r w:rsidRPr="00EC23E7">
              <w:rPr>
                <w:rFonts w:ascii="Times New Roman" w:hAnsi="Times New Roman" w:cs="Times New Roman"/>
                <w:sz w:val="20"/>
                <w:szCs w:val="20"/>
              </w:rPr>
              <w:t>Mixed</w:t>
            </w:r>
          </w:p>
        </w:tc>
      </w:tr>
      <w:tr w:rsidR="00C64A88" w:rsidRPr="00EC23E7" w:rsidTr="002B6669">
        <w:tc>
          <w:tcPr>
            <w:cnfStyle w:val="001000000000" w:firstRow="0" w:lastRow="0" w:firstColumn="1" w:lastColumn="0" w:oddVBand="0" w:evenVBand="0" w:oddHBand="0" w:evenHBand="0" w:firstRowFirstColumn="0" w:firstRowLastColumn="0" w:lastRowFirstColumn="0" w:lastRowLastColumn="0"/>
            <w:tcW w:w="821" w:type="pct"/>
            <w:hideMark/>
          </w:tcPr>
          <w:p w:rsidR="00C64A88" w:rsidRPr="00EC23E7" w:rsidRDefault="00C64A88" w:rsidP="002B6669">
            <w:pPr>
              <w:pStyle w:val="TableCell"/>
              <w:jc w:val="left"/>
              <w:rPr>
                <w:rFonts w:ascii="Times New Roman" w:hAnsi="Times New Roman" w:cs="Times New Roman"/>
                <w:sz w:val="20"/>
                <w:szCs w:val="20"/>
              </w:rPr>
            </w:pPr>
            <w:r w:rsidRPr="00EC23E7">
              <w:rPr>
                <w:rFonts w:ascii="Times New Roman" w:hAnsi="Times New Roman" w:cs="Times New Roman"/>
                <w:sz w:val="20"/>
                <w:szCs w:val="20"/>
              </w:rPr>
              <w:t>IMP-Model 1</w:t>
            </w:r>
          </w:p>
        </w:tc>
        <w:tc>
          <w:tcPr>
            <w:tcW w:w="1456" w:type="pct"/>
          </w:tcPr>
          <w:p w:rsidR="00C64A88" w:rsidRPr="00C374EE" w:rsidRDefault="00C64A88" w:rsidP="002B6669">
            <w:pPr>
              <w:pStyle w:val="TableCel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74EE">
              <w:rPr>
                <w:rFonts w:ascii="Times New Roman" w:hAnsi="Times New Roman" w:cs="Times New Roman"/>
                <w:sz w:val="20"/>
                <w:szCs w:val="20"/>
              </w:rPr>
              <w:t>0.66</w:t>
            </w:r>
          </w:p>
        </w:tc>
        <w:tc>
          <w:tcPr>
            <w:tcW w:w="1179" w:type="pct"/>
          </w:tcPr>
          <w:p w:rsidR="00C64A88" w:rsidRPr="00C374EE" w:rsidRDefault="00C64A88" w:rsidP="002B6669">
            <w:pPr>
              <w:pStyle w:val="TableCel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74EE">
              <w:rPr>
                <w:rFonts w:ascii="Times New Roman" w:hAnsi="Times New Roman" w:cs="Times New Roman"/>
                <w:sz w:val="20"/>
                <w:szCs w:val="20"/>
              </w:rPr>
              <w:t>61%</w:t>
            </w:r>
          </w:p>
        </w:tc>
        <w:tc>
          <w:tcPr>
            <w:tcW w:w="823" w:type="pct"/>
          </w:tcPr>
          <w:p w:rsidR="00C64A88" w:rsidRPr="00EC23E7" w:rsidRDefault="00C64A88" w:rsidP="002B6669">
            <w:pPr>
              <w:pStyle w:val="TableCel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r w:rsidRPr="00EC23E7">
              <w:rPr>
                <w:rFonts w:ascii="Times New Roman" w:hAnsi="Times New Roman" w:cs="Times New Roman"/>
                <w:sz w:val="20"/>
                <w:szCs w:val="20"/>
              </w:rPr>
              <w:t>9</w:t>
            </w:r>
          </w:p>
        </w:tc>
        <w:tc>
          <w:tcPr>
            <w:tcW w:w="721" w:type="pct"/>
          </w:tcPr>
          <w:p w:rsidR="00C64A88" w:rsidRPr="00EC23E7" w:rsidRDefault="00C64A88" w:rsidP="002B6669">
            <w:pPr>
              <w:pStyle w:val="TableCel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r w:rsidRPr="00EC23E7">
              <w:rPr>
                <w:rFonts w:ascii="Times New Roman" w:hAnsi="Times New Roman" w:cs="Times New Roman"/>
                <w:sz w:val="20"/>
                <w:szCs w:val="20"/>
              </w:rPr>
              <w:t>Mixed</w:t>
            </w:r>
          </w:p>
        </w:tc>
      </w:tr>
    </w:tbl>
    <w:p w:rsidR="00C64A88" w:rsidRPr="00C64A88" w:rsidRDefault="00C64A88" w:rsidP="005F797E">
      <w:pPr>
        <w:pStyle w:val="Text2"/>
        <w:ind w:left="0"/>
        <w:rPr>
          <w:sz w:val="5"/>
          <w:szCs w:val="5"/>
        </w:rPr>
      </w:pPr>
    </w:p>
    <w:p w:rsidR="00990B5F" w:rsidRDefault="00990B5F" w:rsidP="00990B5F">
      <w:pPr>
        <w:pStyle w:val="Caption"/>
        <w:rPr>
          <w:sz w:val="8"/>
          <w:szCs w:val="8"/>
        </w:rPr>
      </w:pPr>
      <w:r w:rsidRPr="005F797E">
        <w:t>Table</w:t>
      </w:r>
      <w:r>
        <w:t xml:space="preserve"> 3</w:t>
      </w:r>
      <w:r w:rsidRPr="005F797E">
        <w:t xml:space="preserve">. </w:t>
      </w:r>
      <w:r>
        <w:t>Variables included in best models</w:t>
      </w:r>
    </w:p>
    <w:tbl>
      <w:tblPr>
        <w:tblStyle w:val="PlainTable1"/>
        <w:tblW w:w="8676" w:type="dxa"/>
        <w:tblLook w:val="04A0" w:firstRow="1" w:lastRow="0" w:firstColumn="1" w:lastColumn="0" w:noHBand="0" w:noVBand="1"/>
      </w:tblPr>
      <w:tblGrid>
        <w:gridCol w:w="2547"/>
        <w:gridCol w:w="4111"/>
        <w:gridCol w:w="2018"/>
      </w:tblGrid>
      <w:tr w:rsidR="00990B5F" w:rsidRPr="00990B5F" w:rsidTr="00990B5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hideMark/>
          </w:tcPr>
          <w:p w:rsidR="00990B5F" w:rsidRPr="00990B5F" w:rsidRDefault="00990B5F" w:rsidP="00990B5F">
            <w:pPr>
              <w:spacing w:after="0"/>
              <w:jc w:val="center"/>
              <w:rPr>
                <w:color w:val="000000"/>
                <w:sz w:val="20"/>
                <w:lang w:eastAsia="en-GB"/>
              </w:rPr>
            </w:pPr>
            <w:r>
              <w:rPr>
                <w:color w:val="000000"/>
                <w:sz w:val="20"/>
                <w:lang w:eastAsia="en-GB"/>
              </w:rPr>
              <w:t>Category</w:t>
            </w:r>
            <w:r w:rsidRPr="00990B5F">
              <w:rPr>
                <w:color w:val="000000"/>
                <w:sz w:val="20"/>
                <w:lang w:eastAsia="en-GB"/>
              </w:rPr>
              <w:t> </w:t>
            </w:r>
          </w:p>
        </w:tc>
        <w:tc>
          <w:tcPr>
            <w:tcW w:w="4111" w:type="dxa"/>
            <w:hideMark/>
          </w:tcPr>
          <w:p w:rsidR="00990B5F" w:rsidRPr="00990B5F" w:rsidRDefault="00990B5F" w:rsidP="00990B5F">
            <w:pPr>
              <w:spacing w:after="0"/>
              <w:jc w:val="center"/>
              <w:cnfStyle w:val="100000000000" w:firstRow="1" w:lastRow="0" w:firstColumn="0" w:lastColumn="0" w:oddVBand="0" w:evenVBand="0" w:oddHBand="0" w:evenHBand="0" w:firstRowFirstColumn="0" w:firstRowLastColumn="0" w:lastRowFirstColumn="0" w:lastRowLastColumn="0"/>
              <w:rPr>
                <w:color w:val="000000"/>
                <w:sz w:val="20"/>
                <w:lang w:eastAsia="en-GB"/>
              </w:rPr>
            </w:pPr>
            <w:r w:rsidRPr="00990B5F">
              <w:rPr>
                <w:color w:val="000000"/>
                <w:sz w:val="20"/>
                <w:lang w:eastAsia="en-GB"/>
              </w:rPr>
              <w:t xml:space="preserve">EXP-Model 1 </w:t>
            </w:r>
          </w:p>
        </w:tc>
        <w:tc>
          <w:tcPr>
            <w:tcW w:w="2018" w:type="dxa"/>
            <w:hideMark/>
          </w:tcPr>
          <w:p w:rsidR="00990B5F" w:rsidRPr="00990B5F" w:rsidRDefault="00990B5F" w:rsidP="00990B5F">
            <w:pPr>
              <w:spacing w:after="0"/>
              <w:jc w:val="center"/>
              <w:cnfStyle w:val="100000000000" w:firstRow="1" w:lastRow="0" w:firstColumn="0" w:lastColumn="0" w:oddVBand="0" w:evenVBand="0" w:oddHBand="0" w:evenHBand="0" w:firstRowFirstColumn="0" w:firstRowLastColumn="0" w:lastRowFirstColumn="0" w:lastRowLastColumn="0"/>
              <w:rPr>
                <w:color w:val="000000"/>
                <w:sz w:val="20"/>
                <w:lang w:eastAsia="en-GB"/>
              </w:rPr>
            </w:pPr>
            <w:r w:rsidRPr="00990B5F">
              <w:rPr>
                <w:color w:val="000000"/>
                <w:sz w:val="20"/>
                <w:lang w:eastAsia="en-GB"/>
              </w:rPr>
              <w:t xml:space="preserve">IMP-Model 1 </w:t>
            </w:r>
          </w:p>
        </w:tc>
      </w:tr>
      <w:tr w:rsidR="00990B5F" w:rsidRPr="00990B5F" w:rsidTr="00990B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hideMark/>
          </w:tcPr>
          <w:p w:rsidR="00990B5F" w:rsidRPr="00990B5F" w:rsidRDefault="00990B5F" w:rsidP="00990B5F">
            <w:pPr>
              <w:spacing w:after="0"/>
              <w:jc w:val="left"/>
              <w:rPr>
                <w:color w:val="000000"/>
                <w:sz w:val="20"/>
                <w:lang w:eastAsia="en-GB"/>
              </w:rPr>
            </w:pPr>
            <w:r w:rsidRPr="00990B5F">
              <w:rPr>
                <w:color w:val="000000"/>
                <w:sz w:val="20"/>
                <w:lang w:eastAsia="en-GB"/>
              </w:rPr>
              <w:t>Hard</w:t>
            </w:r>
          </w:p>
        </w:tc>
        <w:tc>
          <w:tcPr>
            <w:tcW w:w="4111" w:type="dxa"/>
            <w:hideMark/>
          </w:tcPr>
          <w:p w:rsidR="00990B5F" w:rsidRPr="00990B5F" w:rsidRDefault="00D022B9" w:rsidP="00D022B9">
            <w:pPr>
              <w:spacing w:after="0"/>
              <w:jc w:val="left"/>
              <w:cnfStyle w:val="000000100000" w:firstRow="0" w:lastRow="0" w:firstColumn="0" w:lastColumn="0" w:oddVBand="0" w:evenVBand="0" w:oddHBand="1" w:evenHBand="0" w:firstRowFirstColumn="0" w:firstRowLastColumn="0" w:lastRowFirstColumn="0" w:lastRowLastColumn="0"/>
              <w:rPr>
                <w:color w:val="000000"/>
                <w:sz w:val="20"/>
                <w:lang w:eastAsia="en-GB"/>
              </w:rPr>
            </w:pPr>
            <w:r>
              <w:rPr>
                <w:color w:val="000000"/>
                <w:sz w:val="20"/>
                <w:lang w:eastAsia="en-GB"/>
              </w:rPr>
              <w:t>E</w:t>
            </w:r>
            <w:r w:rsidR="00990B5F" w:rsidRPr="00990B5F">
              <w:rPr>
                <w:color w:val="000000"/>
                <w:sz w:val="20"/>
                <w:lang w:eastAsia="en-GB"/>
              </w:rPr>
              <w:t xml:space="preserve">xchange rate, goods imports, total goods exports of </w:t>
            </w:r>
            <w:r>
              <w:rPr>
                <w:color w:val="000000"/>
                <w:sz w:val="20"/>
                <w:lang w:eastAsia="en-GB"/>
              </w:rPr>
              <w:t>partner countries</w:t>
            </w:r>
            <w:r w:rsidR="00990B5F" w:rsidRPr="00990B5F">
              <w:rPr>
                <w:color w:val="000000"/>
                <w:sz w:val="20"/>
                <w:lang w:eastAsia="en-GB"/>
              </w:rPr>
              <w:t>, unemployment rate, car registr</w:t>
            </w:r>
            <w:r>
              <w:rPr>
                <w:color w:val="000000"/>
                <w:sz w:val="20"/>
                <w:lang w:eastAsia="en-GB"/>
              </w:rPr>
              <w:t>ations, manufacturing order</w:t>
            </w:r>
            <w:r w:rsidR="00990B5F" w:rsidRPr="00990B5F">
              <w:rPr>
                <w:color w:val="000000"/>
                <w:sz w:val="20"/>
                <w:lang w:eastAsia="en-GB"/>
              </w:rPr>
              <w:t>s</w:t>
            </w:r>
          </w:p>
        </w:tc>
        <w:tc>
          <w:tcPr>
            <w:tcW w:w="2018" w:type="dxa"/>
            <w:hideMark/>
          </w:tcPr>
          <w:p w:rsidR="00990B5F" w:rsidRPr="00990B5F" w:rsidRDefault="00990B5F" w:rsidP="00990B5F">
            <w:pPr>
              <w:spacing w:after="0"/>
              <w:jc w:val="lef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990B5F">
              <w:rPr>
                <w:color w:val="000000"/>
                <w:sz w:val="20"/>
                <w:lang w:eastAsia="en-GB"/>
              </w:rPr>
              <w:t>Goods imports, goods exports</w:t>
            </w:r>
          </w:p>
        </w:tc>
      </w:tr>
      <w:tr w:rsidR="00990B5F" w:rsidRPr="00990B5F" w:rsidTr="00990B5F">
        <w:trPr>
          <w:trHeight w:val="20"/>
        </w:trPr>
        <w:tc>
          <w:tcPr>
            <w:cnfStyle w:val="001000000000" w:firstRow="0" w:lastRow="0" w:firstColumn="1" w:lastColumn="0" w:oddVBand="0" w:evenVBand="0" w:oddHBand="0" w:evenHBand="0" w:firstRowFirstColumn="0" w:firstRowLastColumn="0" w:lastRowFirstColumn="0" w:lastRowLastColumn="0"/>
            <w:tcW w:w="2547" w:type="dxa"/>
            <w:hideMark/>
          </w:tcPr>
          <w:p w:rsidR="00990B5F" w:rsidRPr="00990B5F" w:rsidRDefault="00990B5F" w:rsidP="00990B5F">
            <w:pPr>
              <w:spacing w:after="0"/>
              <w:jc w:val="left"/>
              <w:rPr>
                <w:color w:val="000000"/>
                <w:sz w:val="20"/>
                <w:lang w:eastAsia="en-GB"/>
              </w:rPr>
            </w:pPr>
            <w:r w:rsidRPr="00990B5F">
              <w:rPr>
                <w:color w:val="000000"/>
                <w:sz w:val="20"/>
                <w:lang w:eastAsia="en-GB"/>
              </w:rPr>
              <w:t>Soft and Financial</w:t>
            </w:r>
          </w:p>
        </w:tc>
        <w:tc>
          <w:tcPr>
            <w:tcW w:w="4111" w:type="dxa"/>
            <w:hideMark/>
          </w:tcPr>
          <w:p w:rsidR="00990B5F" w:rsidRPr="00990B5F" w:rsidRDefault="00990B5F" w:rsidP="00990B5F">
            <w:pPr>
              <w:spacing w:after="0"/>
              <w:jc w:val="lef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990B5F">
              <w:rPr>
                <w:color w:val="000000"/>
                <w:sz w:val="20"/>
                <w:lang w:eastAsia="en-GB"/>
              </w:rPr>
              <w:t>Share price index</w:t>
            </w:r>
          </w:p>
        </w:tc>
        <w:tc>
          <w:tcPr>
            <w:tcW w:w="2018" w:type="dxa"/>
            <w:hideMark/>
          </w:tcPr>
          <w:p w:rsidR="00990B5F" w:rsidRPr="00990B5F" w:rsidRDefault="00990B5F" w:rsidP="00990B5F">
            <w:pPr>
              <w:spacing w:after="0"/>
              <w:jc w:val="lef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990B5F">
              <w:rPr>
                <w:color w:val="000000"/>
                <w:sz w:val="20"/>
                <w:lang w:eastAsia="en-GB"/>
              </w:rPr>
              <w:t>Business conf</w:t>
            </w:r>
            <w:r>
              <w:rPr>
                <w:color w:val="000000"/>
                <w:sz w:val="20"/>
                <w:lang w:eastAsia="en-GB"/>
              </w:rPr>
              <w:t>.</w:t>
            </w:r>
            <w:r w:rsidRPr="00990B5F">
              <w:rPr>
                <w:color w:val="000000"/>
                <w:sz w:val="20"/>
                <w:lang w:eastAsia="en-GB"/>
              </w:rPr>
              <w:t xml:space="preserve"> index</w:t>
            </w:r>
          </w:p>
        </w:tc>
      </w:tr>
      <w:tr w:rsidR="00990B5F" w:rsidRPr="00990B5F" w:rsidTr="00990B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hideMark/>
          </w:tcPr>
          <w:p w:rsidR="00990B5F" w:rsidRPr="00990B5F" w:rsidRDefault="00990B5F" w:rsidP="00990B5F">
            <w:pPr>
              <w:spacing w:after="0"/>
              <w:jc w:val="left"/>
              <w:rPr>
                <w:color w:val="000000"/>
                <w:sz w:val="20"/>
                <w:lang w:eastAsia="en-GB"/>
              </w:rPr>
            </w:pPr>
            <w:r w:rsidRPr="00990B5F">
              <w:rPr>
                <w:color w:val="000000"/>
                <w:sz w:val="20"/>
                <w:lang w:eastAsia="en-GB"/>
              </w:rPr>
              <w:t>Uncertainty</w:t>
            </w:r>
          </w:p>
        </w:tc>
        <w:tc>
          <w:tcPr>
            <w:tcW w:w="4111" w:type="dxa"/>
            <w:hideMark/>
          </w:tcPr>
          <w:p w:rsidR="00990B5F" w:rsidRPr="00990B5F" w:rsidRDefault="00990B5F" w:rsidP="00990B5F">
            <w:pPr>
              <w:spacing w:after="0"/>
              <w:jc w:val="lef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990B5F">
              <w:rPr>
                <w:color w:val="000000"/>
                <w:sz w:val="20"/>
                <w:lang w:eastAsia="en-GB"/>
              </w:rPr>
              <w:t>Economic policy uncertainty index</w:t>
            </w:r>
          </w:p>
        </w:tc>
        <w:tc>
          <w:tcPr>
            <w:tcW w:w="2018" w:type="dxa"/>
            <w:hideMark/>
          </w:tcPr>
          <w:p w:rsidR="00990B5F" w:rsidRPr="00990B5F" w:rsidRDefault="00990B5F" w:rsidP="00990B5F">
            <w:pPr>
              <w:spacing w:after="0"/>
              <w:jc w:val="lef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990B5F">
              <w:rPr>
                <w:color w:val="000000"/>
                <w:sz w:val="20"/>
                <w:lang w:eastAsia="en-GB"/>
              </w:rPr>
              <w:t>Economic policy uncertainty index</w:t>
            </w:r>
          </w:p>
        </w:tc>
      </w:tr>
      <w:tr w:rsidR="00990B5F" w:rsidRPr="00990B5F" w:rsidTr="00990B5F">
        <w:trPr>
          <w:trHeight w:val="20"/>
        </w:trPr>
        <w:tc>
          <w:tcPr>
            <w:cnfStyle w:val="001000000000" w:firstRow="0" w:lastRow="0" w:firstColumn="1" w:lastColumn="0" w:oddVBand="0" w:evenVBand="0" w:oddHBand="0" w:evenHBand="0" w:firstRowFirstColumn="0" w:firstRowLastColumn="0" w:lastRowFirstColumn="0" w:lastRowLastColumn="0"/>
            <w:tcW w:w="2547" w:type="dxa"/>
            <w:hideMark/>
          </w:tcPr>
          <w:p w:rsidR="00990B5F" w:rsidRPr="00990B5F" w:rsidRDefault="00990B5F" w:rsidP="00990B5F">
            <w:pPr>
              <w:spacing w:after="0"/>
              <w:jc w:val="left"/>
              <w:rPr>
                <w:color w:val="000000"/>
                <w:sz w:val="20"/>
                <w:lang w:eastAsia="en-GB"/>
              </w:rPr>
            </w:pPr>
            <w:r w:rsidRPr="00990B5F">
              <w:rPr>
                <w:color w:val="000000"/>
                <w:sz w:val="20"/>
                <w:lang w:eastAsia="en-GB"/>
              </w:rPr>
              <w:t>Google</w:t>
            </w:r>
          </w:p>
        </w:tc>
        <w:tc>
          <w:tcPr>
            <w:tcW w:w="4111" w:type="dxa"/>
            <w:hideMark/>
          </w:tcPr>
          <w:p w:rsidR="00990B5F" w:rsidRPr="00990B5F" w:rsidRDefault="00990B5F" w:rsidP="00990B5F">
            <w:pPr>
              <w:spacing w:after="0"/>
              <w:jc w:val="lef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990B5F">
              <w:rPr>
                <w:color w:val="000000"/>
                <w:sz w:val="20"/>
                <w:lang w:eastAsia="en-GB"/>
              </w:rPr>
              <w:t>Business news, bus and rail, judicial liquidation</w:t>
            </w:r>
          </w:p>
        </w:tc>
        <w:tc>
          <w:tcPr>
            <w:tcW w:w="2018" w:type="dxa"/>
            <w:hideMark/>
          </w:tcPr>
          <w:p w:rsidR="00990B5F" w:rsidRPr="00990B5F" w:rsidRDefault="00990B5F" w:rsidP="00990B5F">
            <w:pPr>
              <w:spacing w:after="0"/>
              <w:jc w:val="left"/>
              <w:cnfStyle w:val="000000000000" w:firstRow="0" w:lastRow="0" w:firstColumn="0" w:lastColumn="0" w:oddVBand="0" w:evenVBand="0" w:oddHBand="0" w:evenHBand="0" w:firstRowFirstColumn="0" w:firstRowLastColumn="0" w:lastRowFirstColumn="0" w:lastRowLastColumn="0"/>
              <w:rPr>
                <w:color w:val="000000"/>
                <w:sz w:val="20"/>
                <w:lang w:eastAsia="en-GB"/>
              </w:rPr>
            </w:pPr>
            <w:r w:rsidRPr="00990B5F">
              <w:rPr>
                <w:color w:val="000000"/>
                <w:sz w:val="20"/>
                <w:lang w:eastAsia="en-GB"/>
              </w:rPr>
              <w:t>Air travel, sports</w:t>
            </w:r>
          </w:p>
        </w:tc>
      </w:tr>
      <w:tr w:rsidR="00990B5F" w:rsidRPr="00990B5F" w:rsidTr="00990B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hideMark/>
          </w:tcPr>
          <w:p w:rsidR="00990B5F" w:rsidRPr="00990B5F" w:rsidRDefault="00990B5F" w:rsidP="00990B5F">
            <w:pPr>
              <w:spacing w:after="0"/>
              <w:jc w:val="left"/>
              <w:rPr>
                <w:color w:val="000000"/>
                <w:sz w:val="20"/>
                <w:lang w:eastAsia="en-GB"/>
              </w:rPr>
            </w:pPr>
            <w:r w:rsidRPr="00990B5F">
              <w:rPr>
                <w:color w:val="000000"/>
                <w:sz w:val="20"/>
                <w:lang w:eastAsia="en-GB"/>
              </w:rPr>
              <w:t>Lags of dependent variable</w:t>
            </w:r>
          </w:p>
        </w:tc>
        <w:tc>
          <w:tcPr>
            <w:tcW w:w="4111" w:type="dxa"/>
            <w:hideMark/>
          </w:tcPr>
          <w:p w:rsidR="00990B5F" w:rsidRPr="00990B5F" w:rsidRDefault="00990B5F" w:rsidP="00990B5F">
            <w:pPr>
              <w:spacing w:after="0"/>
              <w:jc w:val="lef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990B5F">
              <w:rPr>
                <w:color w:val="000000"/>
                <w:sz w:val="20"/>
                <w:lang w:eastAsia="en-GB"/>
              </w:rPr>
              <w:t>2nd lag, 4th lag</w:t>
            </w:r>
          </w:p>
        </w:tc>
        <w:tc>
          <w:tcPr>
            <w:tcW w:w="2018" w:type="dxa"/>
            <w:hideMark/>
          </w:tcPr>
          <w:p w:rsidR="00990B5F" w:rsidRPr="00990B5F" w:rsidRDefault="00990B5F" w:rsidP="00990B5F">
            <w:pPr>
              <w:spacing w:after="0"/>
              <w:jc w:val="left"/>
              <w:cnfStyle w:val="000000100000" w:firstRow="0" w:lastRow="0" w:firstColumn="0" w:lastColumn="0" w:oddVBand="0" w:evenVBand="0" w:oddHBand="1" w:evenHBand="0" w:firstRowFirstColumn="0" w:firstRowLastColumn="0" w:lastRowFirstColumn="0" w:lastRowLastColumn="0"/>
              <w:rPr>
                <w:color w:val="000000"/>
                <w:sz w:val="20"/>
                <w:lang w:eastAsia="en-GB"/>
              </w:rPr>
            </w:pPr>
            <w:r w:rsidRPr="00990B5F">
              <w:rPr>
                <w:color w:val="000000"/>
                <w:sz w:val="20"/>
                <w:lang w:eastAsia="en-GB"/>
              </w:rPr>
              <w:t> (none)</w:t>
            </w:r>
          </w:p>
        </w:tc>
      </w:tr>
    </w:tbl>
    <w:p w:rsidR="00990B5F" w:rsidRDefault="00990B5F" w:rsidP="00DE7547">
      <w:pPr>
        <w:pStyle w:val="Text2"/>
        <w:ind w:left="0"/>
        <w:rPr>
          <w:sz w:val="8"/>
          <w:szCs w:val="8"/>
        </w:rPr>
      </w:pPr>
    </w:p>
    <w:p w:rsidR="00C64A88" w:rsidRDefault="00C64A88" w:rsidP="00DE7547">
      <w:pPr>
        <w:pStyle w:val="Text2"/>
        <w:ind w:left="0"/>
        <w:rPr>
          <w:sz w:val="8"/>
          <w:szCs w:val="8"/>
        </w:rPr>
      </w:pPr>
      <w:r w:rsidRPr="002B36BD">
        <w:rPr>
          <w:szCs w:val="24"/>
        </w:rPr>
        <w:t>The models’ performance was evaluated according to the root mean squared error (RMSE). The second column of Table 2 expresses the model’s RMSE as a ratio of the RMSE of a benchmark autoregressive model with four lags. For exports, the best</w:t>
      </w:r>
      <w:r>
        <w:rPr>
          <w:szCs w:val="24"/>
        </w:rPr>
        <w:t xml:space="preserve"> model displays an R</w:t>
      </w:r>
      <w:r w:rsidRPr="002B36BD">
        <w:rPr>
          <w:szCs w:val="24"/>
        </w:rPr>
        <w:t>M</w:t>
      </w:r>
      <w:r>
        <w:rPr>
          <w:szCs w:val="24"/>
        </w:rPr>
        <w:t>S</w:t>
      </w:r>
      <w:r w:rsidRPr="002B36BD">
        <w:rPr>
          <w:szCs w:val="24"/>
        </w:rPr>
        <w:t>E corresponding to</w:t>
      </w:r>
      <w:r>
        <w:rPr>
          <w:szCs w:val="24"/>
        </w:rPr>
        <w:t xml:space="preserve"> 88.5% of the R</w:t>
      </w:r>
      <w:r w:rsidRPr="002B36BD">
        <w:rPr>
          <w:szCs w:val="24"/>
        </w:rPr>
        <w:t>M</w:t>
      </w:r>
      <w:r>
        <w:rPr>
          <w:szCs w:val="24"/>
        </w:rPr>
        <w:t>S</w:t>
      </w:r>
      <w:r w:rsidRPr="002B36BD">
        <w:rPr>
          <w:szCs w:val="24"/>
        </w:rPr>
        <w:t>E of the AR(4) benchmark. Based on this measure, its predictive performance is hence 11.5% better than t</w:t>
      </w:r>
      <w:r>
        <w:rPr>
          <w:szCs w:val="24"/>
        </w:rPr>
        <w:t>he benchmark. Regarding</w:t>
      </w:r>
      <w:r w:rsidRPr="002B36BD">
        <w:rPr>
          <w:szCs w:val="24"/>
        </w:rPr>
        <w:t xml:space="preserve"> </w:t>
      </w:r>
      <w:r w:rsidRPr="002B36BD">
        <w:rPr>
          <w:szCs w:val="24"/>
        </w:rPr>
        <w:lastRenderedPageBreak/>
        <w:t>imports, the best model outperforms the AR(4) in terms of RM</w:t>
      </w:r>
      <w:r>
        <w:rPr>
          <w:szCs w:val="24"/>
        </w:rPr>
        <w:t>S</w:t>
      </w:r>
      <w:r w:rsidRPr="002B36BD">
        <w:rPr>
          <w:szCs w:val="24"/>
        </w:rPr>
        <w:t>E by 34%. The third column displays</w:t>
      </w:r>
      <w:r>
        <w:rPr>
          <w:szCs w:val="24"/>
        </w:rPr>
        <w:t xml:space="preserve">, for information, </w:t>
      </w:r>
      <w:r w:rsidRPr="002B36BD">
        <w:rPr>
          <w:szCs w:val="24"/>
        </w:rPr>
        <w:t xml:space="preserve">the directional accuracy. For roughly </w:t>
      </w:r>
      <w:r>
        <w:rPr>
          <w:szCs w:val="24"/>
        </w:rPr>
        <w:t xml:space="preserve">three </w:t>
      </w:r>
      <w:r w:rsidRPr="002B36BD">
        <w:rPr>
          <w:szCs w:val="24"/>
        </w:rPr>
        <w:t>quarter</w:t>
      </w:r>
      <w:r>
        <w:rPr>
          <w:szCs w:val="24"/>
        </w:rPr>
        <w:t>s</w:t>
      </w:r>
      <w:r w:rsidRPr="002B36BD">
        <w:rPr>
          <w:szCs w:val="24"/>
        </w:rPr>
        <w:t xml:space="preserve"> of the observations the export model accurately predict</w:t>
      </w:r>
      <w:r>
        <w:rPr>
          <w:szCs w:val="24"/>
        </w:rPr>
        <w:t>s</w:t>
      </w:r>
      <w:r w:rsidRPr="002B36BD">
        <w:rPr>
          <w:szCs w:val="24"/>
        </w:rPr>
        <w:t xml:space="preserve"> the direction of change.</w:t>
      </w:r>
      <w:r w:rsidRPr="00EC23E7">
        <w:rPr>
          <w:sz w:val="23"/>
          <w:szCs w:val="23"/>
        </w:rPr>
        <w:t xml:space="preserve"> </w:t>
      </w:r>
      <w:r>
        <w:rPr>
          <w:sz w:val="23"/>
          <w:szCs w:val="23"/>
        </w:rPr>
        <w:t>Performances are somewhat lower for the import models.</w:t>
      </w:r>
    </w:p>
    <w:p w:rsidR="001815F4" w:rsidRPr="008C5EE9" w:rsidRDefault="00A81B91" w:rsidP="00A81B91">
      <w:pPr>
        <w:pStyle w:val="Heading2"/>
        <w:tabs>
          <w:tab w:val="num" w:pos="482"/>
        </w:tabs>
        <w:ind w:left="482" w:hanging="482"/>
        <w:rPr>
          <w:szCs w:val="24"/>
        </w:rPr>
      </w:pPr>
      <w:r w:rsidRPr="008C5EE9">
        <w:rPr>
          <w:szCs w:val="24"/>
        </w:rPr>
        <w:t>Ability to track impact of COVID-19 shock</w:t>
      </w:r>
    </w:p>
    <w:p w:rsidR="00EC23E7" w:rsidRPr="008C5EE9" w:rsidRDefault="00EC23E7" w:rsidP="00EC23E7">
      <w:pPr>
        <w:pStyle w:val="Para"/>
        <w:numPr>
          <w:ilvl w:val="0"/>
          <w:numId w:val="0"/>
        </w:numPr>
        <w:ind w:right="-30"/>
        <w:rPr>
          <w:rFonts w:eastAsia="Times New Roman"/>
          <w:sz w:val="24"/>
          <w:szCs w:val="24"/>
        </w:rPr>
      </w:pPr>
      <w:r w:rsidRPr="008C5EE9">
        <w:rPr>
          <w:rFonts w:eastAsia="Times New Roman"/>
          <w:sz w:val="24"/>
          <w:szCs w:val="24"/>
        </w:rPr>
        <w:t xml:space="preserve">The </w:t>
      </w:r>
      <w:r w:rsidR="00773CA2">
        <w:rPr>
          <w:rFonts w:eastAsia="Times New Roman"/>
          <w:sz w:val="24"/>
          <w:szCs w:val="24"/>
        </w:rPr>
        <w:t xml:space="preserve">preferred </w:t>
      </w:r>
      <w:r w:rsidRPr="008C5EE9">
        <w:rPr>
          <w:rFonts w:eastAsia="Times New Roman"/>
          <w:sz w:val="24"/>
          <w:szCs w:val="24"/>
        </w:rPr>
        <w:t xml:space="preserve">models </w:t>
      </w:r>
      <w:r w:rsidR="005F797E" w:rsidRPr="008C5EE9">
        <w:rPr>
          <w:rFonts w:eastAsia="Times New Roman"/>
          <w:sz w:val="24"/>
          <w:szCs w:val="24"/>
        </w:rPr>
        <w:t xml:space="preserve">partially </w:t>
      </w:r>
      <w:r w:rsidRPr="008C5EE9">
        <w:rPr>
          <w:rFonts w:eastAsia="Times New Roman"/>
          <w:sz w:val="24"/>
          <w:szCs w:val="24"/>
        </w:rPr>
        <w:t xml:space="preserve">manage to track the </w:t>
      </w:r>
      <w:r w:rsidR="00773CA2">
        <w:rPr>
          <w:rFonts w:eastAsia="Times New Roman"/>
          <w:sz w:val="24"/>
          <w:szCs w:val="24"/>
        </w:rPr>
        <w:t xml:space="preserve">unprecedented </w:t>
      </w:r>
      <w:r w:rsidRPr="008C5EE9">
        <w:rPr>
          <w:rFonts w:eastAsia="Times New Roman"/>
          <w:sz w:val="24"/>
          <w:szCs w:val="24"/>
        </w:rPr>
        <w:t xml:space="preserve">plunge in services trade following the COVID-19 shock. The average of the </w:t>
      </w:r>
      <w:r w:rsidR="00330C82" w:rsidRPr="008C5EE9">
        <w:rPr>
          <w:rFonts w:eastAsia="Times New Roman"/>
          <w:sz w:val="24"/>
          <w:szCs w:val="24"/>
        </w:rPr>
        <w:t xml:space="preserve">five </w:t>
      </w:r>
      <w:r w:rsidRPr="008C5EE9">
        <w:rPr>
          <w:rFonts w:eastAsia="Times New Roman"/>
          <w:sz w:val="24"/>
          <w:szCs w:val="24"/>
        </w:rPr>
        <w:t xml:space="preserve">best-performing models </w:t>
      </w:r>
      <w:r w:rsidR="00773CA2">
        <w:rPr>
          <w:rFonts w:eastAsia="Times New Roman"/>
          <w:sz w:val="24"/>
          <w:szCs w:val="24"/>
        </w:rPr>
        <w:t xml:space="preserve">(consensus model) </w:t>
      </w:r>
      <w:r w:rsidRPr="008C5EE9">
        <w:rPr>
          <w:rFonts w:eastAsia="Times New Roman"/>
          <w:sz w:val="24"/>
          <w:szCs w:val="24"/>
        </w:rPr>
        <w:t>capture around 36% of the fall for both services exports and imports in the United States.</w:t>
      </w:r>
    </w:p>
    <w:p w:rsidR="008D510F" w:rsidRPr="008C5EE9" w:rsidRDefault="008D510F" w:rsidP="008D510F">
      <w:pPr>
        <w:pStyle w:val="Para"/>
        <w:numPr>
          <w:ilvl w:val="0"/>
          <w:numId w:val="0"/>
        </w:numPr>
        <w:ind w:right="-30"/>
        <w:rPr>
          <w:rFonts w:eastAsia="Times New Roman"/>
          <w:sz w:val="24"/>
          <w:szCs w:val="24"/>
        </w:rPr>
      </w:pPr>
      <w:r w:rsidRPr="008C5EE9">
        <w:rPr>
          <w:rFonts w:eastAsia="Times New Roman"/>
          <w:sz w:val="24"/>
          <w:szCs w:val="24"/>
        </w:rPr>
        <w:t xml:space="preserve">Figure 1 displays US services </w:t>
      </w:r>
      <w:r w:rsidR="00EC23E7" w:rsidRPr="008C5EE9">
        <w:rPr>
          <w:rFonts w:eastAsia="Times New Roman"/>
          <w:sz w:val="24"/>
          <w:szCs w:val="24"/>
        </w:rPr>
        <w:t>im</w:t>
      </w:r>
      <w:r w:rsidRPr="008C5EE9">
        <w:rPr>
          <w:rFonts w:eastAsia="Times New Roman"/>
          <w:sz w:val="24"/>
          <w:szCs w:val="24"/>
        </w:rPr>
        <w:t>port outturns together with estimates provided by the best-performing export model (</w:t>
      </w:r>
      <w:r w:rsidR="00EC23E7" w:rsidRPr="008C5EE9">
        <w:rPr>
          <w:rFonts w:eastAsia="Times New Roman"/>
          <w:sz w:val="24"/>
          <w:szCs w:val="24"/>
        </w:rPr>
        <w:t>IM</w:t>
      </w:r>
      <w:r w:rsidRPr="008C5EE9">
        <w:rPr>
          <w:rFonts w:eastAsia="Times New Roman"/>
          <w:sz w:val="24"/>
          <w:szCs w:val="24"/>
        </w:rPr>
        <w:t xml:space="preserve">P-Model 1), the AR(4) benchmark and the “consensus model”. The latter is the average of the estimates of the five best models. The vertical red line indicates the start of the out-of-sample period in July 2017. </w:t>
      </w:r>
    </w:p>
    <w:p w:rsidR="008D510F" w:rsidRDefault="008D510F" w:rsidP="008D510F">
      <w:pPr>
        <w:pStyle w:val="Text2"/>
        <w:ind w:left="-142"/>
        <w:rPr>
          <w:highlight w:val="green"/>
        </w:rPr>
      </w:pPr>
      <w:r w:rsidRPr="00B1729D">
        <w:rPr>
          <w:noProof/>
          <w:lang w:eastAsia="en-GB"/>
        </w:rPr>
        <w:drawing>
          <wp:inline distT="0" distB="0" distL="0" distR="0" wp14:anchorId="3ECE7BC6" wp14:editId="126F3B11">
            <wp:extent cx="5115882" cy="23850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6381" cy="2389955"/>
                    </a:xfrm>
                    <a:prstGeom prst="rect">
                      <a:avLst/>
                    </a:prstGeom>
                    <a:noFill/>
                    <a:ln>
                      <a:noFill/>
                    </a:ln>
                  </pic:spPr>
                </pic:pic>
              </a:graphicData>
            </a:graphic>
          </wp:inline>
        </w:drawing>
      </w:r>
    </w:p>
    <w:p w:rsidR="005F797E" w:rsidRPr="008C5EE9" w:rsidRDefault="005F797E" w:rsidP="005F797E">
      <w:pPr>
        <w:pStyle w:val="Caption"/>
        <w:rPr>
          <w:szCs w:val="24"/>
        </w:rPr>
      </w:pPr>
      <w:r w:rsidRPr="005F797E">
        <w:t xml:space="preserve">Figure </w:t>
      </w:r>
      <w:r w:rsidR="00065A25">
        <w:fldChar w:fldCharType="begin"/>
      </w:r>
      <w:r w:rsidR="00065A25">
        <w:instrText xml:space="preserve"> SEQ Figure \* ARABIC </w:instrText>
      </w:r>
      <w:r w:rsidR="00065A25">
        <w:fldChar w:fldCharType="separate"/>
      </w:r>
      <w:r w:rsidRPr="005F797E">
        <w:rPr>
          <w:noProof/>
        </w:rPr>
        <w:t>1</w:t>
      </w:r>
      <w:r w:rsidR="00065A25">
        <w:rPr>
          <w:noProof/>
        </w:rPr>
        <w:fldChar w:fldCharType="end"/>
      </w:r>
      <w:r w:rsidRPr="005F797E">
        <w:t xml:space="preserve">. </w:t>
      </w:r>
      <w:r w:rsidRPr="008C5EE9">
        <w:rPr>
          <w:szCs w:val="24"/>
        </w:rPr>
        <w:t>Services imports outturns, best-performing model, consensus and benchmark</w:t>
      </w:r>
    </w:p>
    <w:p w:rsidR="008D510F" w:rsidRPr="00B32B44" w:rsidRDefault="008D510F" w:rsidP="002B36BD">
      <w:pPr>
        <w:pStyle w:val="Heading2"/>
        <w:numPr>
          <w:ilvl w:val="0"/>
          <w:numId w:val="0"/>
        </w:numPr>
        <w:ind w:left="7688" w:hanging="600"/>
        <w:rPr>
          <w:sz w:val="5"/>
          <w:szCs w:val="5"/>
        </w:rPr>
      </w:pPr>
    </w:p>
    <w:p w:rsidR="00BC6AFE" w:rsidRPr="008C5EE9" w:rsidRDefault="00BC6AFE" w:rsidP="00BC6AFE">
      <w:pPr>
        <w:pStyle w:val="Heading1"/>
        <w:rPr>
          <w:szCs w:val="24"/>
        </w:rPr>
      </w:pPr>
      <w:r w:rsidRPr="008C5EE9">
        <w:rPr>
          <w:szCs w:val="24"/>
        </w:rPr>
        <w:t>Conclusions</w:t>
      </w:r>
    </w:p>
    <w:p w:rsidR="00DE42EB" w:rsidRPr="008C5EE9" w:rsidRDefault="00DE42EB" w:rsidP="00DE42EB">
      <w:pPr>
        <w:pStyle w:val="Text2"/>
        <w:ind w:left="0"/>
        <w:rPr>
          <w:szCs w:val="24"/>
        </w:rPr>
      </w:pPr>
      <w:r w:rsidRPr="008C5EE9">
        <w:rPr>
          <w:szCs w:val="24"/>
        </w:rPr>
        <w:t>This paper develops an approach to nowcast monthly services trade data.</w:t>
      </w:r>
      <w:r w:rsidR="00D4023D" w:rsidRPr="008C5EE9">
        <w:rPr>
          <w:szCs w:val="24"/>
        </w:rPr>
        <w:t xml:space="preserve"> </w:t>
      </w:r>
      <w:r w:rsidRPr="008C5EE9">
        <w:rPr>
          <w:szCs w:val="24"/>
        </w:rPr>
        <w:t xml:space="preserve">It </w:t>
      </w:r>
      <w:r w:rsidR="00B32B44">
        <w:rPr>
          <w:szCs w:val="24"/>
        </w:rPr>
        <w:t>combines</w:t>
      </w:r>
      <w:r w:rsidRPr="008C5EE9">
        <w:rPr>
          <w:szCs w:val="24"/>
        </w:rPr>
        <w:t xml:space="preserve"> regressions and </w:t>
      </w:r>
      <w:r w:rsidR="007048C1">
        <w:rPr>
          <w:szCs w:val="24"/>
        </w:rPr>
        <w:t xml:space="preserve">supervised </w:t>
      </w:r>
      <w:r w:rsidRPr="008C5EE9">
        <w:rPr>
          <w:szCs w:val="24"/>
        </w:rPr>
        <w:t>machine learning to select variables and assesses resulting models according to their out-of-sample predictive performance.</w:t>
      </w:r>
      <w:r w:rsidR="00D4023D" w:rsidRPr="008C5EE9">
        <w:rPr>
          <w:szCs w:val="24"/>
        </w:rPr>
        <w:t xml:space="preserve"> The models </w:t>
      </w:r>
      <w:r w:rsidR="00B32B44">
        <w:rPr>
          <w:szCs w:val="24"/>
        </w:rPr>
        <w:t>incorporate</w:t>
      </w:r>
      <w:r w:rsidR="00D4023D" w:rsidRPr="008C5EE9">
        <w:rPr>
          <w:szCs w:val="24"/>
        </w:rPr>
        <w:t xml:space="preserve"> hard, soft, financial and uncertainty indicators. Google Trends search data help to improve the predictive power, either directly or by filling missing information in bridge equations. </w:t>
      </w:r>
      <w:r w:rsidRPr="008C5EE9">
        <w:rPr>
          <w:szCs w:val="24"/>
        </w:rPr>
        <w:t>Selected models outperform autoregressive benchmarks. The average of the best models capture</w:t>
      </w:r>
      <w:r w:rsidR="00B32B44">
        <w:rPr>
          <w:szCs w:val="24"/>
        </w:rPr>
        <w:t>s</w:t>
      </w:r>
      <w:r w:rsidRPr="008C5EE9">
        <w:rPr>
          <w:szCs w:val="24"/>
        </w:rPr>
        <w:t xml:space="preserve"> around 36% of the COVID-19-related fall for both</w:t>
      </w:r>
      <w:r w:rsidR="00B25C5B" w:rsidRPr="008C5EE9">
        <w:rPr>
          <w:szCs w:val="24"/>
        </w:rPr>
        <w:t xml:space="preserve"> US</w:t>
      </w:r>
      <w:r w:rsidRPr="008C5EE9">
        <w:rPr>
          <w:szCs w:val="24"/>
        </w:rPr>
        <w:t xml:space="preserve"> exports and imports. </w:t>
      </w:r>
    </w:p>
    <w:p w:rsidR="00BC6AFE" w:rsidRDefault="00DE42EB" w:rsidP="00DE42EB">
      <w:pPr>
        <w:pStyle w:val="Text2"/>
        <w:ind w:left="0"/>
      </w:pPr>
      <w:r w:rsidRPr="008C5EE9">
        <w:rPr>
          <w:szCs w:val="24"/>
        </w:rPr>
        <w:t xml:space="preserve">The approach is subject to several caveats and there is scope for improvement. </w:t>
      </w:r>
      <w:r w:rsidR="00B32B44">
        <w:rPr>
          <w:szCs w:val="24"/>
        </w:rPr>
        <w:t>Thus</w:t>
      </w:r>
      <w:r w:rsidRPr="008C5EE9">
        <w:rPr>
          <w:szCs w:val="24"/>
        </w:rPr>
        <w:t>, the approach could be directed toward sectoral analysis, looking at nowcasting specific categories of services trade. Similarly, the presence of non-linearitie</w:t>
      </w:r>
      <w:r w:rsidR="00D4023D" w:rsidRPr="008C5EE9">
        <w:rPr>
          <w:szCs w:val="24"/>
        </w:rPr>
        <w:t>s could be further investigated, especially regarding differential patterns during times of crisis</w:t>
      </w:r>
      <w:r w:rsidR="00B25C5B" w:rsidRPr="008C5EE9">
        <w:rPr>
          <w:szCs w:val="24"/>
        </w:rPr>
        <w:t>.</w:t>
      </w:r>
      <w:r w:rsidR="00B25C5B">
        <w:t xml:space="preserve"> </w:t>
      </w:r>
    </w:p>
    <w:p w:rsidR="00BC6AFE" w:rsidRDefault="00BC6AFE" w:rsidP="009B4EE0">
      <w:pPr>
        <w:pStyle w:val="Heading1"/>
        <w:numPr>
          <w:ilvl w:val="0"/>
          <w:numId w:val="0"/>
        </w:numPr>
        <w:ind w:left="480" w:hanging="480"/>
      </w:pPr>
      <w:r>
        <w:t>References</w:t>
      </w:r>
    </w:p>
    <w:p w:rsidR="00E24E44" w:rsidRPr="00F14149" w:rsidRDefault="00E24E44" w:rsidP="009B4EE0">
      <w:pPr>
        <w:pStyle w:val="Text1"/>
        <w:numPr>
          <w:ilvl w:val="0"/>
          <w:numId w:val="20"/>
        </w:numPr>
        <w:ind w:left="357" w:hanging="357"/>
      </w:pPr>
      <w:r>
        <w:rPr>
          <w:noProof/>
        </w:rPr>
        <w:t>M</w:t>
      </w:r>
      <w:r w:rsidRPr="00F14149">
        <w:rPr>
          <w:noProof/>
        </w:rPr>
        <w:t xml:space="preserve">artínez-Martín, J. and E. Rusticelli, “Keeping track of global trade in real time”, </w:t>
      </w:r>
      <w:r w:rsidRPr="00F14149">
        <w:rPr>
          <w:i/>
          <w:iCs/>
          <w:noProof/>
        </w:rPr>
        <w:t>International Journal of Forecasting (2020)</w:t>
      </w:r>
      <w:r w:rsidRPr="00F14149">
        <w:rPr>
          <w:noProof/>
        </w:rPr>
        <w:t xml:space="preserve">, </w:t>
      </w:r>
      <w:hyperlink r:id="rId12" w:history="1">
        <w:r w:rsidRPr="00F14149">
          <w:t>in</w:t>
        </w:r>
      </w:hyperlink>
      <w:r w:rsidRPr="00F14149">
        <w:rPr>
          <w:noProof/>
        </w:rPr>
        <w:t xml:space="preserve"> press.</w:t>
      </w:r>
    </w:p>
    <w:p w:rsidR="00E24E44" w:rsidRPr="00F14149" w:rsidRDefault="00E24E44" w:rsidP="009B4EE0">
      <w:pPr>
        <w:pStyle w:val="Text1"/>
        <w:numPr>
          <w:ilvl w:val="0"/>
          <w:numId w:val="20"/>
        </w:numPr>
        <w:ind w:left="357" w:hanging="357"/>
      </w:pPr>
      <w:r w:rsidRPr="00F14149">
        <w:rPr>
          <w:noProof/>
        </w:rPr>
        <w:lastRenderedPageBreak/>
        <w:t>Miroudot, S. and C. Cadestin, “Services In Global Value Chains: From Inputs to Value-Creating Activities”</w:t>
      </w:r>
      <w:r w:rsidRPr="00F14149">
        <w:rPr>
          <w:i/>
          <w:iCs/>
          <w:noProof/>
        </w:rPr>
        <w:t>, OECD Trade Policy Papers</w:t>
      </w:r>
      <w:r w:rsidRPr="00F14149">
        <w:rPr>
          <w:noProof/>
        </w:rPr>
        <w:t xml:space="preserve">, No. 197 (2017), OECD Publishing, Paris, </w:t>
      </w:r>
      <w:hyperlink r:id="rId13" w:history="1">
        <w:r w:rsidRPr="00F14149">
          <w:rPr>
            <w:rStyle w:val="Hyperlink"/>
            <w:noProof/>
          </w:rPr>
          <w:t>https://dx.doi.org/10.1787/465f0d8b-en</w:t>
        </w:r>
      </w:hyperlink>
      <w:r w:rsidRPr="00F14149">
        <w:rPr>
          <w:noProof/>
        </w:rPr>
        <w:t>.</w:t>
      </w:r>
    </w:p>
    <w:p w:rsidR="00E24E44" w:rsidRPr="00F14149" w:rsidRDefault="00E24E44" w:rsidP="009B4EE0">
      <w:pPr>
        <w:pStyle w:val="Text1"/>
        <w:numPr>
          <w:ilvl w:val="0"/>
          <w:numId w:val="20"/>
        </w:numPr>
        <w:ind w:left="357" w:hanging="357"/>
      </w:pPr>
      <w:r w:rsidRPr="00F14149">
        <w:rPr>
          <w:noProof/>
        </w:rPr>
        <w:t xml:space="preserve">Ariu, A., et al., “The interconnections between services and goods trade at the firm-level”, </w:t>
      </w:r>
      <w:r w:rsidRPr="00F14149">
        <w:rPr>
          <w:i/>
          <w:iCs/>
          <w:noProof/>
        </w:rPr>
        <w:t>Journal of International Economics</w:t>
      </w:r>
      <w:r w:rsidRPr="00F14149">
        <w:rPr>
          <w:noProof/>
        </w:rPr>
        <w:t xml:space="preserve">, Vol. 116 (2019), pp. 173-188, </w:t>
      </w:r>
      <w:hyperlink r:id="rId14" w:history="1">
        <w:r w:rsidRPr="00F14149">
          <w:rPr>
            <w:rStyle w:val="Hyperlink"/>
            <w:noProof/>
          </w:rPr>
          <w:t>http://dx.doi.org/10.1016/j.jinteco.2018.10.005</w:t>
        </w:r>
      </w:hyperlink>
      <w:r w:rsidRPr="00F14149">
        <w:rPr>
          <w:noProof/>
        </w:rPr>
        <w:t>.</w:t>
      </w:r>
    </w:p>
    <w:p w:rsidR="00E24E44" w:rsidRPr="00F14149" w:rsidRDefault="00E24E44" w:rsidP="009B4EE0">
      <w:pPr>
        <w:pStyle w:val="Text1"/>
        <w:numPr>
          <w:ilvl w:val="0"/>
          <w:numId w:val="20"/>
        </w:numPr>
        <w:ind w:left="357" w:hanging="357"/>
      </w:pPr>
      <w:r w:rsidRPr="00F14149">
        <w:rPr>
          <w:noProof/>
        </w:rPr>
        <w:t xml:space="preserve">Bańbura, M. et al., “Now-Casting and the Real-Time Data Flow”, in </w:t>
      </w:r>
      <w:r w:rsidRPr="00F14149">
        <w:rPr>
          <w:i/>
          <w:iCs/>
          <w:noProof/>
        </w:rPr>
        <w:t xml:space="preserve">Handbook of Economic Forecasting </w:t>
      </w:r>
      <w:r w:rsidRPr="00F14149">
        <w:rPr>
          <w:noProof/>
        </w:rPr>
        <w:t xml:space="preserve">(2013), Elsevier, </w:t>
      </w:r>
      <w:hyperlink r:id="rId15" w:history="1">
        <w:r w:rsidR="0067420F" w:rsidRPr="00F14149">
          <w:rPr>
            <w:rStyle w:val="Hyperlink"/>
            <w:noProof/>
          </w:rPr>
          <w:t>http://dx.doi.org/10.1016/b978-0-444-53683-9.00004-9</w:t>
        </w:r>
      </w:hyperlink>
      <w:r w:rsidRPr="00F14149">
        <w:rPr>
          <w:noProof/>
        </w:rPr>
        <w:t>.</w:t>
      </w:r>
    </w:p>
    <w:p w:rsidR="0067420F" w:rsidRPr="00F14149" w:rsidRDefault="0067420F" w:rsidP="009B4EE0">
      <w:pPr>
        <w:pStyle w:val="Text1"/>
        <w:numPr>
          <w:ilvl w:val="0"/>
          <w:numId w:val="20"/>
        </w:numPr>
        <w:ind w:left="357" w:hanging="357"/>
      </w:pPr>
      <w:r w:rsidRPr="00F14149">
        <w:rPr>
          <w:noProof/>
        </w:rPr>
        <w:t xml:space="preserve">Baker, S., N. Bloom and S. Davis, “Measuring Economic Policy Uncertainty*”, </w:t>
      </w:r>
      <w:r w:rsidRPr="00F14149">
        <w:rPr>
          <w:i/>
          <w:iCs/>
          <w:noProof/>
        </w:rPr>
        <w:t>The Quarterly Journal of Economics</w:t>
      </w:r>
      <w:r w:rsidRPr="00F14149">
        <w:rPr>
          <w:noProof/>
        </w:rPr>
        <w:t>, Vol. 131/4 (2016), pp. 1593-1636.</w:t>
      </w:r>
    </w:p>
    <w:p w:rsidR="0067420F" w:rsidRPr="00F14149" w:rsidRDefault="0067420F" w:rsidP="009B4EE0">
      <w:pPr>
        <w:pStyle w:val="Text1"/>
        <w:numPr>
          <w:ilvl w:val="0"/>
          <w:numId w:val="20"/>
        </w:numPr>
        <w:ind w:left="357" w:hanging="357"/>
      </w:pPr>
      <w:r w:rsidRPr="00F14149">
        <w:rPr>
          <w:noProof/>
        </w:rPr>
        <w:t xml:space="preserve">Biljanovska, N., F. Grigoli and M. Hengge, “Fear Thy Neighbor: Spillovers from Economic Policy Uncertainty”, </w:t>
      </w:r>
      <w:r w:rsidRPr="00F14149">
        <w:rPr>
          <w:i/>
          <w:iCs/>
          <w:noProof/>
        </w:rPr>
        <w:t>IMF Working Paper</w:t>
      </w:r>
      <w:r w:rsidRPr="00F14149">
        <w:rPr>
          <w:noProof/>
        </w:rPr>
        <w:t xml:space="preserve"> WP/17/240 (2017).</w:t>
      </w:r>
    </w:p>
    <w:p w:rsidR="0067420F" w:rsidRPr="00F14149" w:rsidRDefault="0067420F" w:rsidP="0067420F">
      <w:pPr>
        <w:pStyle w:val="Text1"/>
        <w:numPr>
          <w:ilvl w:val="0"/>
          <w:numId w:val="20"/>
        </w:numPr>
        <w:ind w:left="426"/>
      </w:pPr>
      <w:r w:rsidRPr="00F14149">
        <w:rPr>
          <w:noProof/>
        </w:rPr>
        <w:t xml:space="preserve">Gulen, H. and M. Ion, “Policy Uncertainty and Corporate Investment”, </w:t>
      </w:r>
      <w:r w:rsidRPr="00F14149">
        <w:rPr>
          <w:i/>
          <w:iCs/>
          <w:noProof/>
        </w:rPr>
        <w:t xml:space="preserve">Review of Financial Studies, </w:t>
      </w:r>
      <w:r w:rsidRPr="00F14149">
        <w:rPr>
          <w:iCs/>
          <w:noProof/>
        </w:rPr>
        <w:t>Vol. 29/3</w:t>
      </w:r>
      <w:r w:rsidRPr="00F14149">
        <w:rPr>
          <w:i/>
          <w:iCs/>
          <w:noProof/>
        </w:rPr>
        <w:t xml:space="preserve"> </w:t>
      </w:r>
      <w:r w:rsidRPr="00BC048F">
        <w:rPr>
          <w:iCs/>
          <w:noProof/>
        </w:rPr>
        <w:t>(2015)</w:t>
      </w:r>
      <w:r w:rsidRPr="00BC048F">
        <w:rPr>
          <w:noProof/>
        </w:rPr>
        <w:t>,</w:t>
      </w:r>
      <w:r w:rsidRPr="00F14149">
        <w:rPr>
          <w:noProof/>
        </w:rPr>
        <w:t xml:space="preserve"> pp. 523–564.</w:t>
      </w:r>
    </w:p>
    <w:p w:rsidR="0067420F" w:rsidRPr="00F14149" w:rsidRDefault="0067420F" w:rsidP="0067420F">
      <w:pPr>
        <w:pStyle w:val="Text1"/>
        <w:numPr>
          <w:ilvl w:val="0"/>
          <w:numId w:val="20"/>
        </w:numPr>
        <w:ind w:left="426"/>
      </w:pPr>
      <w:r w:rsidRPr="00F14149">
        <w:rPr>
          <w:noProof/>
        </w:rPr>
        <w:t xml:space="preserve">Baker, S. et al. (2020), “The Unprecedented Stock Market Reaction to COVID-19”, </w:t>
      </w:r>
      <w:r w:rsidRPr="00F14149">
        <w:rPr>
          <w:i/>
          <w:iCs/>
          <w:noProof/>
        </w:rPr>
        <w:t>The Review of Asset Pricing Studies</w:t>
      </w:r>
      <w:r w:rsidRPr="00F14149">
        <w:rPr>
          <w:noProof/>
        </w:rPr>
        <w:t xml:space="preserve"> (2020), in press.</w:t>
      </w:r>
    </w:p>
    <w:p w:rsidR="00753637" w:rsidRPr="00F14149" w:rsidRDefault="00753637" w:rsidP="00753637">
      <w:pPr>
        <w:pStyle w:val="Text1"/>
        <w:numPr>
          <w:ilvl w:val="0"/>
          <w:numId w:val="20"/>
        </w:numPr>
        <w:ind w:left="426"/>
      </w:pPr>
      <w:r w:rsidRPr="00F14149">
        <w:t>Tibshirani, R., “Regression Shrinkage and Selection Via the Lasso”, Journal of the Royal Statistical Society: Series B (Methodological), Vol. 58/1 (1996), pp. 267-288.</w:t>
      </w:r>
    </w:p>
    <w:p w:rsidR="00B25C5B" w:rsidRPr="00F14149" w:rsidRDefault="00B25C5B" w:rsidP="00B25C5B">
      <w:pPr>
        <w:pStyle w:val="Text1"/>
        <w:numPr>
          <w:ilvl w:val="0"/>
          <w:numId w:val="20"/>
        </w:numPr>
        <w:ind w:left="426"/>
      </w:pPr>
      <w:r w:rsidRPr="00F14149">
        <w:rPr>
          <w:noProof/>
        </w:rPr>
        <w:t xml:space="preserve">Hastie, T., R. Tibshirani and M. Wainwright, </w:t>
      </w:r>
      <w:r w:rsidRPr="00F14149">
        <w:rPr>
          <w:i/>
          <w:iCs/>
          <w:noProof/>
        </w:rPr>
        <w:t xml:space="preserve">Statistical Learning with Sparsity: The Lasso and Generalizations </w:t>
      </w:r>
      <w:r w:rsidRPr="00F14149">
        <w:rPr>
          <w:noProof/>
        </w:rPr>
        <w:t>(2015), Taylor and Francis.</w:t>
      </w:r>
    </w:p>
    <w:p w:rsidR="00B25C5B" w:rsidRPr="00753637" w:rsidRDefault="00B25C5B" w:rsidP="00B25C5B">
      <w:pPr>
        <w:pStyle w:val="Text1"/>
        <w:ind w:left="426"/>
        <w:rPr>
          <w:highlight w:val="yellow"/>
        </w:rPr>
      </w:pPr>
    </w:p>
    <w:sectPr w:rsidR="00B25C5B" w:rsidRPr="00753637" w:rsidSect="00BC6AFE">
      <w:footerReference w:type="default" r:id="rId16"/>
      <w:headerReference w:type="first" r:id="rId17"/>
      <w:footerReference w:type="first" r:id="rId18"/>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CB1" w:rsidRDefault="00243CB1" w:rsidP="00BC6AFE">
      <w:pPr>
        <w:spacing w:after="0"/>
      </w:pPr>
      <w:r>
        <w:separator/>
      </w:r>
    </w:p>
  </w:endnote>
  <w:endnote w:type="continuationSeparator" w:id="0">
    <w:p w:rsidR="00243CB1" w:rsidRDefault="00243CB1"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jc w:val="center"/>
    </w:pPr>
    <w:r>
      <w:fldChar w:fldCharType="begin"/>
    </w:r>
    <w:r>
      <w:instrText>PAGE</w:instrText>
    </w:r>
    <w:r>
      <w:fldChar w:fldCharType="separate"/>
    </w:r>
    <w:r w:rsidR="00065A2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rPr>
        <w:sz w:val="24"/>
        <w:szCs w:val="24"/>
      </w:rPr>
    </w:pPr>
  </w:p>
  <w:p w:rsidR="00D24082" w:rsidRDefault="00D24082">
    <w:pPr>
      <w:pStyle w:val="Footer"/>
    </w:pPr>
    <w:r w:rsidRPr="00542107">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CB1" w:rsidRDefault="00243CB1" w:rsidP="00BC6AFE">
      <w:pPr>
        <w:spacing w:after="0"/>
      </w:pPr>
      <w:r>
        <w:separator/>
      </w:r>
    </w:p>
  </w:footnote>
  <w:footnote w:type="continuationSeparator" w:id="0">
    <w:p w:rsidR="00243CB1" w:rsidRDefault="00243CB1"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EF02131"/>
    <w:multiLevelType w:val="hybridMultilevel"/>
    <w:tmpl w:val="3CBA296C"/>
    <w:lvl w:ilvl="0" w:tplc="ACA48DD8">
      <w:start w:val="11"/>
      <w:numFmt w:val="decimal"/>
      <w:lvlText w:val="%1."/>
      <w:lvlJc w:val="left"/>
      <w:pPr>
        <w:ind w:left="680" w:hanging="3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688"/>
        </w:tabs>
        <w:ind w:left="7688"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A866293"/>
    <w:multiLevelType w:val="hybridMultilevel"/>
    <w:tmpl w:val="C470AB18"/>
    <w:lvl w:ilvl="0" w:tplc="08090001">
      <w:start w:val="1"/>
      <w:numFmt w:val="bullet"/>
      <w:pStyle w:val="Para"/>
      <w:lvlText w:val=""/>
      <w:lvlJc w:val="left"/>
      <w:pPr>
        <w:ind w:left="1060" w:hanging="340"/>
      </w:pPr>
      <w:rPr>
        <w:rFonts w:ascii="Symbol" w:hAnsi="Symbol" w:hint="default"/>
      </w:rPr>
    </w:lvl>
    <w:lvl w:ilvl="1" w:tplc="0DA27B04">
      <w:start w:val="1"/>
      <w:numFmt w:val="lowerLetter"/>
      <w:lvlText w:val="%2."/>
      <w:lvlJc w:val="left"/>
      <w:pPr>
        <w:tabs>
          <w:tab w:val="num" w:pos="1060"/>
        </w:tabs>
        <w:ind w:left="1401" w:hanging="341"/>
      </w:pPr>
      <w:rPr>
        <w:rFonts w:hint="default"/>
      </w:rPr>
    </w:lvl>
    <w:lvl w:ilvl="2" w:tplc="AF249572">
      <w:start w:val="1"/>
      <w:numFmt w:val="lowerRoman"/>
      <w:lvlText w:val="%3."/>
      <w:lvlJc w:val="right"/>
      <w:pPr>
        <w:ind w:left="1741" w:hanging="227"/>
      </w:pPr>
      <w:rPr>
        <w:rFonts w:hint="default"/>
      </w:rPr>
    </w:lvl>
    <w:lvl w:ilvl="3" w:tplc="6DA6E442">
      <w:start w:val="1"/>
      <w:numFmt w:val="lowerLetter"/>
      <w:lvlText w:val="%4)"/>
      <w:lvlJc w:val="left"/>
      <w:pPr>
        <w:tabs>
          <w:tab w:val="num" w:pos="1741"/>
        </w:tabs>
        <w:ind w:left="2081" w:hanging="340"/>
      </w:pPr>
      <w:rPr>
        <w:rFonts w:hint="default"/>
      </w:rPr>
    </w:lvl>
    <w:lvl w:ilvl="4" w:tplc="1BA86D40">
      <w:start w:val="1"/>
      <w:numFmt w:val="decimal"/>
      <w:lvlText w:val="%5)"/>
      <w:lvlJc w:val="left"/>
      <w:pPr>
        <w:tabs>
          <w:tab w:val="num" w:pos="2081"/>
        </w:tabs>
        <w:ind w:left="2421" w:hanging="340"/>
      </w:pPr>
      <w:rPr>
        <w:rFonts w:hint="default"/>
      </w:rPr>
    </w:lvl>
    <w:lvl w:ilvl="5" w:tplc="0809001B" w:tentative="1">
      <w:start w:val="1"/>
      <w:numFmt w:val="lowerRoman"/>
      <w:lvlText w:val="%6."/>
      <w:lvlJc w:val="right"/>
      <w:pPr>
        <w:ind w:left="5420" w:hanging="180"/>
      </w:pPr>
    </w:lvl>
    <w:lvl w:ilvl="6" w:tplc="0809000F" w:tentative="1">
      <w:start w:val="1"/>
      <w:numFmt w:val="decimal"/>
      <w:lvlText w:val="%7."/>
      <w:lvlJc w:val="left"/>
      <w:pPr>
        <w:ind w:left="6140" w:hanging="360"/>
      </w:pPr>
    </w:lvl>
    <w:lvl w:ilvl="7" w:tplc="08090019" w:tentative="1">
      <w:start w:val="1"/>
      <w:numFmt w:val="lowerLetter"/>
      <w:lvlText w:val="%8."/>
      <w:lvlJc w:val="left"/>
      <w:pPr>
        <w:ind w:left="6860" w:hanging="360"/>
      </w:pPr>
    </w:lvl>
    <w:lvl w:ilvl="8" w:tplc="0809001B" w:tentative="1">
      <w:start w:val="1"/>
      <w:numFmt w:val="lowerRoman"/>
      <w:lvlText w:val="%9."/>
      <w:lvlJc w:val="right"/>
      <w:pPr>
        <w:ind w:left="7580" w:hanging="180"/>
      </w:p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5"/>
  </w:num>
  <w:num w:numId="8">
    <w:abstractNumId w:val="4"/>
  </w:num>
  <w:num w:numId="9">
    <w:abstractNumId w:val="16"/>
  </w:num>
  <w:num w:numId="10">
    <w:abstractNumId w:val="18"/>
  </w:num>
  <w:num w:numId="11">
    <w:abstractNumId w:val="17"/>
  </w:num>
  <w:num w:numId="12">
    <w:abstractNumId w:val="20"/>
  </w:num>
  <w:num w:numId="13">
    <w:abstractNumId w:val="7"/>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14"/>
  </w:num>
  <w:num w:numId="22">
    <w:abstractNumId w:val="14"/>
  </w:num>
  <w:num w:numId="23">
    <w:abstractNumId w:val="19"/>
  </w:num>
  <w:num w:numId="24">
    <w:abstractNumId w:val="6"/>
  </w:num>
  <w:num w:numId="25">
    <w:abstractNumId w:val="14"/>
  </w:num>
  <w:num w:numId="26">
    <w:abstractNumId w:val="14"/>
  </w:num>
  <w:num w:numId="27">
    <w:abstractNumId w:val="14"/>
  </w:num>
  <w:num w:numId="2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243CB1"/>
    <w:rsid w:val="000131B5"/>
    <w:rsid w:val="000642A1"/>
    <w:rsid w:val="00065A25"/>
    <w:rsid w:val="0007543A"/>
    <w:rsid w:val="00096716"/>
    <w:rsid w:val="000B175D"/>
    <w:rsid w:val="000C7251"/>
    <w:rsid w:val="000F6F65"/>
    <w:rsid w:val="000F7438"/>
    <w:rsid w:val="00100009"/>
    <w:rsid w:val="00114785"/>
    <w:rsid w:val="00117FE3"/>
    <w:rsid w:val="001204AD"/>
    <w:rsid w:val="00127067"/>
    <w:rsid w:val="00166152"/>
    <w:rsid w:val="001815F4"/>
    <w:rsid w:val="001857CF"/>
    <w:rsid w:val="001B50CE"/>
    <w:rsid w:val="001E307C"/>
    <w:rsid w:val="002012A8"/>
    <w:rsid w:val="0020317D"/>
    <w:rsid w:val="0020348C"/>
    <w:rsid w:val="00207E83"/>
    <w:rsid w:val="00224E27"/>
    <w:rsid w:val="00230F9E"/>
    <w:rsid w:val="00243A2C"/>
    <w:rsid w:val="00243CB1"/>
    <w:rsid w:val="00246371"/>
    <w:rsid w:val="00263F4B"/>
    <w:rsid w:val="00285921"/>
    <w:rsid w:val="00295657"/>
    <w:rsid w:val="002B36BD"/>
    <w:rsid w:val="002E0845"/>
    <w:rsid w:val="002E0D97"/>
    <w:rsid w:val="002F1FE1"/>
    <w:rsid w:val="002F7C4A"/>
    <w:rsid w:val="00322524"/>
    <w:rsid w:val="00330C82"/>
    <w:rsid w:val="00332D6F"/>
    <w:rsid w:val="00345DEC"/>
    <w:rsid w:val="00372FC1"/>
    <w:rsid w:val="00375883"/>
    <w:rsid w:val="00396643"/>
    <w:rsid w:val="003D30B8"/>
    <w:rsid w:val="00420F08"/>
    <w:rsid w:val="004426E9"/>
    <w:rsid w:val="00485A63"/>
    <w:rsid w:val="004976D6"/>
    <w:rsid w:val="004A3867"/>
    <w:rsid w:val="004A7AF5"/>
    <w:rsid w:val="004B4ABB"/>
    <w:rsid w:val="004C1BA4"/>
    <w:rsid w:val="004F33AE"/>
    <w:rsid w:val="004F7C1D"/>
    <w:rsid w:val="00526C1A"/>
    <w:rsid w:val="00542107"/>
    <w:rsid w:val="00573E28"/>
    <w:rsid w:val="0058515F"/>
    <w:rsid w:val="005B4EA5"/>
    <w:rsid w:val="005F5F8F"/>
    <w:rsid w:val="005F797E"/>
    <w:rsid w:val="00617126"/>
    <w:rsid w:val="006312AF"/>
    <w:rsid w:val="006605AB"/>
    <w:rsid w:val="006620AD"/>
    <w:rsid w:val="0067420F"/>
    <w:rsid w:val="006875D6"/>
    <w:rsid w:val="006A6B11"/>
    <w:rsid w:val="006D2FD1"/>
    <w:rsid w:val="006E67D9"/>
    <w:rsid w:val="007048C1"/>
    <w:rsid w:val="00741CF0"/>
    <w:rsid w:val="00753637"/>
    <w:rsid w:val="00773CA2"/>
    <w:rsid w:val="007768C6"/>
    <w:rsid w:val="007A5F76"/>
    <w:rsid w:val="007C1E8B"/>
    <w:rsid w:val="00802ECB"/>
    <w:rsid w:val="008070F8"/>
    <w:rsid w:val="008078E5"/>
    <w:rsid w:val="00820BDC"/>
    <w:rsid w:val="00837D96"/>
    <w:rsid w:val="00840249"/>
    <w:rsid w:val="008575F3"/>
    <w:rsid w:val="008847C3"/>
    <w:rsid w:val="00886602"/>
    <w:rsid w:val="008A75D0"/>
    <w:rsid w:val="008C5EE9"/>
    <w:rsid w:val="008D510F"/>
    <w:rsid w:val="008E29ED"/>
    <w:rsid w:val="00923850"/>
    <w:rsid w:val="009619D4"/>
    <w:rsid w:val="0097178A"/>
    <w:rsid w:val="009725A7"/>
    <w:rsid w:val="00990B5F"/>
    <w:rsid w:val="009915DD"/>
    <w:rsid w:val="009A0206"/>
    <w:rsid w:val="009A41E5"/>
    <w:rsid w:val="009A7E0B"/>
    <w:rsid w:val="009B4EE0"/>
    <w:rsid w:val="00A00055"/>
    <w:rsid w:val="00A15DCD"/>
    <w:rsid w:val="00A17E8C"/>
    <w:rsid w:val="00A423E3"/>
    <w:rsid w:val="00A77F8A"/>
    <w:rsid w:val="00A81B91"/>
    <w:rsid w:val="00AB041B"/>
    <w:rsid w:val="00AB30EE"/>
    <w:rsid w:val="00AB4423"/>
    <w:rsid w:val="00AB6048"/>
    <w:rsid w:val="00B0406D"/>
    <w:rsid w:val="00B25C5B"/>
    <w:rsid w:val="00B32B44"/>
    <w:rsid w:val="00B3641F"/>
    <w:rsid w:val="00B43A34"/>
    <w:rsid w:val="00B9492F"/>
    <w:rsid w:val="00BC048F"/>
    <w:rsid w:val="00BC17F5"/>
    <w:rsid w:val="00BC6AFE"/>
    <w:rsid w:val="00BF3FA2"/>
    <w:rsid w:val="00BF47F7"/>
    <w:rsid w:val="00C374EE"/>
    <w:rsid w:val="00C40652"/>
    <w:rsid w:val="00C448CF"/>
    <w:rsid w:val="00C55AE0"/>
    <w:rsid w:val="00C64A88"/>
    <w:rsid w:val="00C6771F"/>
    <w:rsid w:val="00CC4F83"/>
    <w:rsid w:val="00D022B9"/>
    <w:rsid w:val="00D023A5"/>
    <w:rsid w:val="00D22532"/>
    <w:rsid w:val="00D24082"/>
    <w:rsid w:val="00D3589E"/>
    <w:rsid w:val="00D4023D"/>
    <w:rsid w:val="00D52EA1"/>
    <w:rsid w:val="00DB601E"/>
    <w:rsid w:val="00DD014B"/>
    <w:rsid w:val="00DE42EB"/>
    <w:rsid w:val="00DE4376"/>
    <w:rsid w:val="00DE7547"/>
    <w:rsid w:val="00E13D45"/>
    <w:rsid w:val="00E24E44"/>
    <w:rsid w:val="00E51380"/>
    <w:rsid w:val="00E62077"/>
    <w:rsid w:val="00E8600E"/>
    <w:rsid w:val="00EC23E7"/>
    <w:rsid w:val="00EC36B0"/>
    <w:rsid w:val="00F14149"/>
    <w:rsid w:val="00F31715"/>
    <w:rsid w:val="00F31989"/>
    <w:rsid w:val="00F4237A"/>
    <w:rsid w:val="00F4536E"/>
    <w:rsid w:val="00F56B9C"/>
    <w:rsid w:val="00F91CF8"/>
    <w:rsid w:val="00FF3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336CBF7F-F57D-4F39-8E01-04C04559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basedOn w:val="Normal"/>
    <w:uiPriority w:val="9"/>
    <w:qFormat/>
    <w:rsid w:val="008070F8"/>
    <w:pPr>
      <w:keepNext/>
      <w:keepLines/>
      <w:tabs>
        <w:tab w:val="left" w:pos="340"/>
        <w:tab w:val="left" w:pos="680"/>
      </w:tabs>
      <w:spacing w:before="20" w:after="20"/>
      <w:jc w:val="right"/>
    </w:pPr>
    <w:rPr>
      <w:rFonts w:ascii="Arial Narrow" w:eastAsia="SimSun" w:hAnsi="Arial Narrow" w:cs="Arial"/>
      <w:sz w:val="17"/>
      <w:szCs w:val="18"/>
    </w:rPr>
  </w:style>
  <w:style w:type="paragraph" w:customStyle="1" w:styleId="TableColumn">
    <w:name w:val="Table Column"/>
    <w:basedOn w:val="Normal"/>
    <w:qFormat/>
    <w:rsid w:val="008070F8"/>
    <w:pPr>
      <w:keepNext/>
      <w:keepLines/>
      <w:tabs>
        <w:tab w:val="left" w:pos="340"/>
        <w:tab w:val="left" w:pos="680"/>
      </w:tabs>
      <w:spacing w:before="20" w:after="20"/>
      <w:jc w:val="center"/>
    </w:pPr>
    <w:rPr>
      <w:rFonts w:ascii="Arial Narrow" w:eastAsia="SimSun" w:hAnsi="Arial Narrow" w:cs="Arial"/>
      <w:sz w:val="17"/>
      <w:szCs w:val="18"/>
    </w:rPr>
  </w:style>
  <w:style w:type="table" w:customStyle="1" w:styleId="OECD">
    <w:name w:val="OECD"/>
    <w:basedOn w:val="TableSimple1"/>
    <w:uiPriority w:val="99"/>
    <w:rsid w:val="008070F8"/>
    <w:pPr>
      <w:spacing w:before="10" w:after="20" w:line="200" w:lineRule="exact"/>
    </w:pPr>
    <w:rPr>
      <w:rFonts w:ascii="Arial Narrow" w:eastAsiaTheme="minorHAnsi" w:hAnsi="Arial Narrow"/>
      <w:sz w:val="17"/>
    </w:rPr>
    <w:tblPr>
      <w:tblBorders>
        <w:top w:val="single" w:sz="12" w:space="0" w:color="5B9BD5" w:themeColor="accent1"/>
        <w:bottom w:val="single" w:sz="12" w:space="0" w:color="5B9BD5"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5B9BD5"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8070F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Light">
    <w:name w:val="Grid Table Light"/>
    <w:basedOn w:val="TableNormal"/>
    <w:uiPriority w:val="40"/>
    <w:rsid w:val="00F453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453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0">
    <w:name w:val="Para"/>
    <w:basedOn w:val="Normal"/>
    <w:link w:val="ParaChar"/>
    <w:uiPriority w:val="4"/>
    <w:qFormat/>
    <w:rsid w:val="008078E5"/>
    <w:pPr>
      <w:spacing w:before="120" w:after="120"/>
      <w:ind w:left="680" w:right="680"/>
    </w:pPr>
    <w:rPr>
      <w:rFonts w:eastAsia="SimSun"/>
      <w:sz w:val="22"/>
    </w:rPr>
  </w:style>
  <w:style w:type="character" w:customStyle="1" w:styleId="ParaChar">
    <w:name w:val="Para Char"/>
    <w:basedOn w:val="DefaultParagraphFont"/>
    <w:link w:val="Para0"/>
    <w:uiPriority w:val="4"/>
    <w:rsid w:val="008078E5"/>
    <w:rPr>
      <w:rFonts w:eastAsia="SimSun"/>
      <w:sz w:val="22"/>
      <w:lang w:eastAsia="en-US"/>
    </w:rPr>
  </w:style>
  <w:style w:type="paragraph" w:customStyle="1" w:styleId="Para">
    <w:name w:val="Para #"/>
    <w:basedOn w:val="Normal"/>
    <w:link w:val="ParaChar0"/>
    <w:uiPriority w:val="4"/>
    <w:qFormat/>
    <w:rsid w:val="008078E5"/>
    <w:pPr>
      <w:numPr>
        <w:numId w:val="23"/>
      </w:numPr>
      <w:tabs>
        <w:tab w:val="left" w:pos="1361"/>
      </w:tabs>
      <w:spacing w:before="120" w:after="120"/>
      <w:ind w:right="680"/>
    </w:pPr>
    <w:rPr>
      <w:rFonts w:eastAsia="SimSun"/>
      <w:sz w:val="22"/>
    </w:rPr>
  </w:style>
  <w:style w:type="character" w:customStyle="1" w:styleId="ParaChar0">
    <w:name w:val="Para # Char"/>
    <w:basedOn w:val="DefaultParagraphFont"/>
    <w:link w:val="Para"/>
    <w:uiPriority w:val="4"/>
    <w:rsid w:val="008078E5"/>
    <w:rPr>
      <w:rFonts w:eastAsia="SimSun"/>
      <w:sz w:val="22"/>
      <w:lang w:eastAsia="en-US"/>
    </w:rPr>
  </w:style>
  <w:style w:type="character" w:customStyle="1" w:styleId="TitleChar">
    <w:name w:val="Title Char"/>
    <w:basedOn w:val="DefaultParagraphFont"/>
    <w:link w:val="Title"/>
    <w:rsid w:val="00837D96"/>
    <w:rPr>
      <w:rFonts w:ascii="Arial" w:hAnsi="Arial"/>
      <w:b/>
      <w:kern w:val="28"/>
      <w:sz w:val="32"/>
      <w:lang w:eastAsia="en-US"/>
    </w:rPr>
  </w:style>
  <w:style w:type="character" w:styleId="Hyperlink">
    <w:name w:val="Hyperlink"/>
    <w:basedOn w:val="DefaultParagraphFont"/>
    <w:uiPriority w:val="99"/>
    <w:unhideWhenUsed/>
    <w:rsid w:val="00E24E44"/>
    <w:rPr>
      <w:color w:val="0563C1" w:themeColor="hyperlink"/>
      <w:u w:val="single"/>
    </w:rPr>
  </w:style>
  <w:style w:type="paragraph" w:styleId="Bibliography">
    <w:name w:val="Bibliography"/>
    <w:basedOn w:val="Normal"/>
    <w:next w:val="Normal"/>
    <w:uiPriority w:val="37"/>
    <w:semiHidden/>
    <w:unhideWhenUsed/>
    <w:rsid w:val="00753637"/>
  </w:style>
  <w:style w:type="paragraph" w:styleId="BalloonText">
    <w:name w:val="Balloon Text"/>
    <w:basedOn w:val="Normal"/>
    <w:link w:val="BalloonTextChar"/>
    <w:uiPriority w:val="99"/>
    <w:semiHidden/>
    <w:unhideWhenUsed/>
    <w:rsid w:val="00D225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53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72031">
      <w:bodyDiv w:val="1"/>
      <w:marLeft w:val="0"/>
      <w:marRight w:val="0"/>
      <w:marTop w:val="0"/>
      <w:marBottom w:val="0"/>
      <w:divBdr>
        <w:top w:val="none" w:sz="0" w:space="0" w:color="auto"/>
        <w:left w:val="none" w:sz="0" w:space="0" w:color="auto"/>
        <w:bottom w:val="none" w:sz="0" w:space="0" w:color="auto"/>
        <w:right w:val="none" w:sz="0" w:space="0" w:color="auto"/>
      </w:divBdr>
    </w:div>
    <w:div w:id="975766449">
      <w:bodyDiv w:val="1"/>
      <w:marLeft w:val="0"/>
      <w:marRight w:val="0"/>
      <w:marTop w:val="0"/>
      <w:marBottom w:val="0"/>
      <w:divBdr>
        <w:top w:val="none" w:sz="0" w:space="0" w:color="auto"/>
        <w:left w:val="none" w:sz="0" w:space="0" w:color="auto"/>
        <w:bottom w:val="none" w:sz="0" w:space="0" w:color="auto"/>
        <w:right w:val="none" w:sz="0" w:space="0" w:color="auto"/>
      </w:divBdr>
    </w:div>
    <w:div w:id="1516848916">
      <w:bodyDiv w:val="1"/>
      <w:marLeft w:val="0"/>
      <w:marRight w:val="0"/>
      <w:marTop w:val="0"/>
      <w:marBottom w:val="0"/>
      <w:divBdr>
        <w:top w:val="none" w:sz="0" w:space="0" w:color="auto"/>
        <w:left w:val="none" w:sz="0" w:space="0" w:color="auto"/>
        <w:bottom w:val="none" w:sz="0" w:space="0" w:color="auto"/>
        <w:right w:val="none" w:sz="0" w:space="0" w:color="auto"/>
      </w:divBdr>
    </w:div>
    <w:div w:id="1524900542">
      <w:bodyDiv w:val="1"/>
      <w:marLeft w:val="0"/>
      <w:marRight w:val="0"/>
      <w:marTop w:val="0"/>
      <w:marBottom w:val="0"/>
      <w:divBdr>
        <w:top w:val="none" w:sz="0" w:space="0" w:color="auto"/>
        <w:left w:val="none" w:sz="0" w:space="0" w:color="auto"/>
        <w:bottom w:val="none" w:sz="0" w:space="0" w:color="auto"/>
        <w:right w:val="none" w:sz="0" w:space="0" w:color="auto"/>
      </w:divBdr>
    </w:div>
    <w:div w:id="16849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x.doi.org/10.1787/465f0d8b-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x.doi.org/10.1016/j.ijforecast.2020.04.00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dx.doi.org/10.1016/b978-0-444-53683-9.00004-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doi.org/10.1016/j.jinteco.2018.10.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ax_A\Downloads\NTTS2021_Abstract_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b:Source>
    <b:Tag>Dea01</b:Tag>
    <b:SourceType>BookSection</b:SourceType>
    <b:Guid>{C87B9521-80F7-4ADE-A55D-9F63A3F35F55}</b:Guid>
    <b:Title>Forecasting U.S. Trade in Services</b:Title>
    <b:Year>2001</b:Year>
    <b:Publisher>University of Michigan Press</b:Publisher>
    <b:Author>
      <b:Author>
        <b:NameList>
          <b:Person>
            <b:Last>Deardorff</b:Last>
            <b:First>A.,</b:First>
            <b:Middle>Hymans, S., Stern, R., Xiang, C.</b:Middle>
          </b:Person>
        </b:NameList>
      </b:Author>
      <b:Editor>
        <b:NameList>
          <b:Person>
            <b:Last>Stern</b:Last>
            <b:First>R.</b:First>
          </b:Person>
        </b:NameList>
      </b:Editor>
    </b:Author>
    <b:BookTitle>Services inthe International Economy: Measurement and Modeling, Sector and Country Studies, and Issues in the WTO Services Negotiations</b:BookTitle>
    <b:ChapterNumber>3</b:ChapterNumber>
    <b:RefOrder>32</b:RefOrder>
  </b:Source>
  <b:Source>
    <b:Tag>Ric19</b:Tag>
    <b:SourceType>JournalArticle</b:SourceType>
    <b:Guid>{28C03966-5DA9-440D-8357-5A4160188A92}</b:Guid>
    <b:Title>Nowcasting New Zealand GDP using machine learning algorithms</b:Title>
    <b:Year>2019</b:Year>
    <b:JournalName>Reserve Bank of New Zealand Discussion Paper</b:JournalName>
    <b:Issue> 2019-03</b:Issue>
    <b:Author>
      <b:Author>
        <b:NameList>
          <b:Person>
            <b:Last>Richardson</b:Last>
            <b:First>A.</b:First>
          </b:Person>
          <b:Person>
            <b:Last>van Florenstein Mulder</b:Last>
            <b:First>T.</b:First>
          </b:Person>
          <b:Person>
            <b:Last>Vehbi</b:Last>
            <b:First>T.</b:First>
          </b:Person>
        </b:NameList>
      </b:Author>
    </b:Author>
    <b:RefOrder>33</b:RefOrder>
  </b:Source>
  <b:Source>
    <b:Tag>CrossRef_EzrSbTN__eFnFKiaU9UZ_AQ</b:Tag>
    <b:SourceType>JournalArticle</b:SourceType>
    <b:Title>Keeping track of global trade in real time</b:Title>
    <b:Year>2020</b:Year>
    <b:Publisher>Elsevier BV</b:Publisher>
    <b:Author>
      <b:Author>
        <b:NameList>
          <b:Person>
            <b:Last>Martínez-Martín</b:Last>
            <b:First>Jaime</b:First>
          </b:Person>
          <b:Person>
            <b:Last>Rusticelli</b:Last>
            <b:First>Elena</b:First>
          </b:Person>
        </b:NameList>
      </b:Author>
    </b:Author>
    <b:JournalName>International Journal of Forecasting</b:JournalName>
    <b:DOI>10.1016/j.ijforecast.2020.04.005</b:DOI>
    <b:LCID>en-US</b:LCID>
    <b:Version>CrossRef</b:Version>
    <b:RefOrder>9</b:RefOrder>
  </b:Source>
  <b:Source>
    <b:Tag>CrossRef_QA8se_0y1JdGVCnHW84V6A</b:Tag>
    <b:SourceType>JournalArticle</b:SourceType>
    <b:Title>Determinants of International Trade Flows</b:Title>
    <b:Year>1983</b:Year>
    <b:Publisher>JSTOR</b:Publisher>
    <b:Author>
      <b:Author>
        <b:NameList>
          <b:Person>
            <b:Last>Warner</b:Last>
            <b:First>Dennis</b:First>
          </b:Person>
          <b:Person>
            <b:Last>Kreinin</b:Last>
            <b:First>Mordechai E.</b:First>
          </b:Person>
        </b:NameList>
      </b:Author>
    </b:Author>
    <b:Volume>65</b:Volume>
    <b:Pages>96</b:Pages>
    <b:JournalName>The Review of Economics and Statistics</b:JournalName>
    <b:DOI>10.2307/1924413</b:DOI>
    <b:Issue>1</b:Issue>
    <b:LCID>en-US</b:LCID>
    <b:Version>CrossRef</b:Version>
    <b:RefOrder>34</b:RefOrder>
  </b:Source>
  <b:Source>
    <b:Tag>CrossRef_801fpFOvq0hh6ltS4MOGNg</b:Tag>
    <b:SourceType>JournalArticle</b:SourceType>
    <b:Title>Exchange rate effects on trade in services</b:Title>
    <b:Year>2012</b:Year>
    <b:Publisher>Emerald</b:Publisher>
    <b:Author>
      <b:Author>
        <b:NameList>
          <b:Person>
            <b:Last>Pattichis</b:Last>
            <b:First>Charalambos</b:First>
          </b:Person>
        </b:NameList>
      </b:Author>
    </b:Author>
    <b:Volume>39</b:Volume>
    <b:Pages>697-708</b:Pages>
    <b:JournalName>Journal of Economic Studies</b:JournalName>
    <b:DOI>10.1108/01443581211274629</b:DOI>
    <b:Issue>6</b:Issue>
    <b:LCID>en-US</b:LCID>
    <b:Version>CrossRef</b:Version>
    <b:RefOrder>35</b:RefOrder>
  </b:Source>
  <b:Source>
    <b:Tag>Kappa_465f0d8b</b:Tag>
    <b:SourceType>BookSection</b:SourceType>
    <b:Title>Services In Global Value Chains: From Inputs to Value-Creating Activities</b:Title>
    <b:Year>2017</b:Year>
    <b:Publisher>OECD Publishing, Paris</b:Publisher>
    <b:Author>
      <b:Author>
        <b:NameList>
          <b:Person>
            <b:Last>Miroudot</b:Last>
            <b:First>Sébastien</b:First>
          </b:Person>
          <b:Person>
            <b:Last>Cadestin</b:Last>
            <b:First>Charles</b:First>
          </b:Person>
        </b:NameList>
      </b:Author>
    </b:Author>
    <b:ChapterNumber>197</b:ChapterNumber>
    <b:BookTitle>OECD Trade Policy Papers</b:BookTitle>
    <b:Medium>Working Paper</b:Medium>
    <b:DOI>https://dx.doi.org/10.1787/465f0d8b-en</b:DOI>
    <b:LCID>en-GB</b:LCID>
    <b:Version>Kappa</b:Version>
    <b:RefOrder>36</b:RefOrder>
  </b:Source>
  <b:Source>
    <b:Tag>CrossRef_Gy0__6_GDjs5zX8Bsu6dPWQ</b:Tag>
    <b:SourceType>JournalArticle</b:SourceType>
    <b:Title>The interconnections between services and goods trade at the firm-level</b:Title>
    <b:Year>2019</b:Year>
    <b:Publisher>Elsevier BV</b:Publisher>
    <b:Author>
      <b:Author>
        <b:NameList>
          <b:Person>
            <b:Last>Ariu</b:Last>
            <b:First>Andrea</b:First>
          </b:Person>
          <b:Person>
            <b:Last>Breinlich</b:Last>
            <b:First>Holger</b:First>
          </b:Person>
          <b:Person>
            <b:Last>Corcos</b:Last>
            <b:First>Gregory</b:First>
          </b:Person>
          <b:Person>
            <b:Last>Mion</b:Last>
            <b:First>Giordano</b:First>
          </b:Person>
        </b:NameList>
      </b:Author>
    </b:Author>
    <b:Volume>116</b:Volume>
    <b:Pages>173-188</b:Pages>
    <b:JournalName>Journal of International Economics</b:JournalName>
    <b:DOI>10.1016/j.jinteco.2018.10.005</b:DOI>
    <b:LCID>en-US</b:LCID>
    <b:Version>CrossRef</b:Version>
    <b:RefOrder>37</b:RefOrder>
  </b:Source>
  <b:Source>
    <b:Tag>Kappa_275e520a</b:Tag>
    <b:SourceType>BookSection</b:SourceType>
    <b:Title>Services exported together with goods</b:Title>
    <b:Year>2020</b:Year>
    <b:Publisher>OECD Publishing, Paris</b:Publisher>
    <b:Author>
      <b:Author>
        <b:NameList>
          <b:Person>
            <b:Last>Cadestin</b:Last>
            <b:First>Charles</b:First>
          </b:Person>
          <b:Person>
            <b:Last>Miroudot</b:Last>
            <b:First>Sébastien</b:First>
          </b:Person>
        </b:NameList>
      </b:Author>
    </b:Author>
    <b:ChapterNumber>236</b:ChapterNumber>
    <b:BookTitle>OECD Trade Policy Papers</b:BookTitle>
    <b:Medium>Working Paper</b:Medium>
    <b:DOI>https://dx.doi.org/10.1787/275e520a-en</b:DOI>
    <b:LCID>en-GB</b:LCID>
    <b:Version>Kappa</b:Version>
    <b:RefOrder>38</b:RefOrder>
  </b:Source>
  <b:Source>
    <b:Tag>Kappa_g27a18eb</b:Tag>
    <b:SourceType>BookSection</b:SourceType>
    <b:Title>Forecasting Monthly GDP for Canada</b:Title>
    <b:Year>2006</b:Year>
    <b:Publisher>OECD Publishing, Paris</b:Publisher>
    <b:Author>
      <b:Author>
        <b:NameList>
          <b:Person>
            <b:Last>Mourougane</b:Last>
            <b:First>Annabelle</b:First>
          </b:Person>
        </b:NameList>
      </b:Author>
    </b:Author>
    <b:Volume>2006/43</b:Volume>
    <b:ChapterNumber>515</b:ChapterNumber>
    <b:BookTitle>OECD Economics Department Working Papers</b:BookTitle>
    <b:Medium>Working Paper</b:Medium>
    <b:DOI>https://dx.doi.org/10.1787/421416670553</b:DOI>
    <b:LCID>en-GB</b:LCID>
    <b:Version>Kappa</b:Version>
    <b:RefOrder>39</b:RefOrder>
  </b:Source>
  <b:Source>
    <b:Tag>Kappa_g27a1483</b:Tag>
    <b:SourceType>BookSection</b:SourceType>
    <b:Title>Indicator Models of Real GDP Growth in Selected OECD Countries</b:Title>
    <b:Year>2003</b:Year>
    <b:Publisher>OECD Publishing, Paris</b:Publisher>
    <b:Author>
      <b:Author>
        <b:NameList>
          <b:Person>
            <b:Last>Sédillot</b:Last>
            <b:First>Franck</b:First>
          </b:Person>
          <b:Person>
            <b:Last>Pain</b:Last>
            <b:First>Nigel</b:First>
          </b:Person>
        </b:NameList>
      </b:Author>
    </b:Author>
    <b:Volume>2003/18</b:Volume>
    <b:ChapterNumber>364</b:ChapterNumber>
    <b:BookTitle>OECD Economics Department Working Papers</b:BookTitle>
    <b:Medium>Working Paper</b:Medium>
    <b:DOI>https://dx.doi.org/10.1787/275257320252</b:DOI>
    <b:LCID>en-GB</b:LCID>
    <b:Version>Kappa</b:Version>
    <b:RefOrder>40</b:RefOrder>
  </b:Source>
  <b:Source>
    <b:Tag>CrossRef_1hm__0YieKoKb3kxp9z99gw</b:Tag>
    <b:SourceType>BookSection</b:SourceType>
    <b:Title>Now-Casting and the Real-Time Data Flow</b:Title>
    <b:Year>2013</b:Year>
    <b:Publisher>Elsevier</b:Publisher>
    <b:Author>
      <b:Author>
        <b:NameList>
          <b:Person>
            <b:Last>Bańbura</b:Last>
            <b:First>Marta</b:First>
          </b:Person>
          <b:Person>
            <b:Last>Giannone</b:Last>
            <b:First>Domenico</b:First>
          </b:Person>
          <b:Person>
            <b:Last>Modugno</b:Last>
            <b:First>Michele</b:First>
          </b:Person>
          <b:Person>
            <b:Last>Reichlin</b:Last>
            <b:First>Lucrezia</b:First>
          </b:Person>
        </b:NameList>
      </b:Author>
    </b:Author>
    <b:BookTitle>Handbook of Economic Forecasting</b:BookTitle>
    <b:StandardNumber>9780444536839</b:StandardNumber>
    <b:Pages>195-237</b:Pages>
    <b:Medium>Book Chapter</b:Medium>
    <b:DOI>10.1016/b978-0-444-53683-9.00004-9</b:DOI>
    <b:LCID>en-US</b:LCID>
    <b:Version>CrossRef</b:Version>
    <b:RefOrder>1</b:RefOrder>
  </b:Source>
  <b:Source>
    <b:Tag>CrossRef__nicT5B7PVrHm38ocSHiQA</b:Tag>
    <b:SourceType>JournalArticle</b:SourceType>
    <b:Title>Measuring Economic Policy Uncertainty*</b:Title>
    <b:Year>2016</b:Year>
    <b:Publisher>Oxford University Press (OUP)</b:Publisher>
    <b:Author>
      <b:Author>
        <b:NameList>
          <b:Person>
            <b:Last>Baker</b:Last>
            <b:First>Scott R.</b:First>
          </b:Person>
          <b:Person>
            <b:Last>Bloom</b:Last>
            <b:First>Nicholas</b:First>
          </b:Person>
          <b:Person>
            <b:Last>Davis</b:Last>
            <b:First>Steven J.</b:First>
          </b:Person>
        </b:NameList>
      </b:Author>
    </b:Author>
    <b:Volume>131</b:Volume>
    <b:Pages>1593-1636</b:Pages>
    <b:JournalName>The Quarterly Journal of Economics</b:JournalName>
    <b:DOI>10.1093/qje/qjw024</b:DOI>
    <b:Issue>4</b:Issue>
    <b:LCID>en-US</b:LCID>
    <b:Version>CrossRef</b:Version>
    <b:RefOrder>41</b:RefOrder>
  </b:Source>
  <b:Source>
    <b:Tag>Bil</b:Tag>
    <b:SourceType>JournalArticle</b:SourceType>
    <b:Guid>{75AE5012-87E1-4D0C-A9CD-FD47649EF471}</b:Guid>
    <b:Title>Fear Thy Neighbor: Spillovers from Economic Policy Uncertainty</b:Title>
    <b:JournalName>IMF Working Paper</b:JournalName>
    <b:Issue>WP/17/240</b:Issue>
    <b:Author>
      <b:Author>
        <b:NameList>
          <b:Person>
            <b:Last>Biljanovska</b:Last>
            <b:First>N.</b:First>
          </b:Person>
          <b:Person>
            <b:Last>Grigoli</b:Last>
            <b:First>F.</b:First>
          </b:Person>
          <b:Person>
            <b:Last>Hengge</b:Last>
            <b:First>M.</b:First>
          </b:Person>
        </b:NameList>
      </b:Author>
    </b:Author>
    <b:Year>2017</b:Year>
    <b:RefOrder>42</b:RefOrder>
  </b:Source>
  <b:Source>
    <b:Tag>CrossRef_1vxpvGrKWIq0qyghmgdkMA</b:Tag>
    <b:SourceType>JournalArticle</b:SourceType>
    <b:Title>Policy Uncertainty and Corporate Investment</b:Title>
    <b:Year>2015</b:Year>
    <b:Publisher>Oxford University Press (OUP)</b:Publisher>
    <b:Author>
      <b:Author>
        <b:NameList>
          <b:Person>
            <b:Last>Gulen</b:Last>
            <b:First>Huseyin</b:First>
          </b:Person>
          <b:Person>
            <b:Last>Ion</b:Last>
            <b:First>Mihai</b:First>
          </b:Person>
        </b:NameList>
      </b:Author>
    </b:Author>
    <b:Pages>hhv050</b:Pages>
    <b:JournalName>Review of Financial Studies</b:JournalName>
    <b:DOI>10.1093/rfs/hhv050</b:DOI>
    <b:LCID>en-US</b:LCID>
    <b:Version>CrossRef</b:Version>
    <b:RefOrder>43</b:RefOrder>
  </b:Source>
  <b:Source>
    <b:Tag>CrossRef_ikIlYq1yAvmtN4pKSqPO4g</b:Tag>
    <b:SourceType>JournalArticle</b:SourceType>
    <b:Title>The Unprecedented Stock Market Reaction to COVID-19</b:Title>
    <b:Year>2020</b:Year>
    <b:Publisher>Oxford University Press (OUP)</b:Publisher>
    <b:Author>
      <b:Author>
        <b:NameList>
          <b:Person>
            <b:Last>Baker</b:Last>
            <b:First>Scott R</b:First>
          </b:Person>
          <b:Person>
            <b:Last>Bloom</b:Last>
            <b:First>Nicholas</b:First>
          </b:Person>
          <b:Person>
            <b:Last>Davis</b:Last>
            <b:First>Steven J</b:First>
          </b:Person>
          <b:Person>
            <b:Last>Kost</b:Last>
            <b:First>Kyle</b:First>
          </b:Person>
          <b:Person>
            <b:Last>Sammon</b:Last>
            <b:First>Marco</b:First>
          </b:Person>
          <b:Person>
            <b:Last>Viratyosin</b:Last>
            <b:First>Tasaneeya</b:First>
          </b:Person>
        </b:NameList>
      </b:Author>
    </b:Author>
    <b:JournalName>The Review of Asset Pricing Studies</b:JournalName>
    <b:DOI>10.1093/rapstu/raaa008</b:DOI>
    <b:LCID>en-US</b:LCID>
    <b:Version>CrossRef</b:Version>
    <b:RefOrder>44</b:RefOrder>
  </b:Source>
  <b:Source>
    <b:Tag>CrossRef_dp__54uDHH2MZKNEnkQfwsg</b:Tag>
    <b:SourceType>JournalArticle</b:SourceType>
    <b:Title>Regression Shrinkage and Selection Via the Lasso</b:Title>
    <b:Year>1996</b:Year>
    <b:Publisher>Wiley</b:Publisher>
    <b:Author>
      <b:Author>
        <b:NameList>
          <b:Person>
            <b:Last>Tibshirani</b:Last>
            <b:First>Robert</b:First>
          </b:Person>
        </b:NameList>
      </b:Author>
    </b:Author>
    <b:Volume>58</b:Volume>
    <b:Pages>267-288</b:Pages>
    <b:JournalName>Journal of the Royal Statistical Society: Series B (Methodological)</b:JournalName>
    <b:DOI>10.1111/j.2517-6161.1996.tb02080.x</b:DOI>
    <b:Issue>1</b:Issue>
    <b:LCID>en-US</b:LCID>
    <b:Version>CrossRef</b:Version>
    <b:RefOrder>45</b:RefOrder>
  </b:Source>
  <b:Source>
    <b:Tag>Has15</b:Tag>
    <b:SourceType>Book</b:SourceType>
    <b:Guid>{43D97335-0363-48BC-B1F8-9C6056D66219}</b:Guid>
    <b:Title>Statistical Learning with Sparsity: The Lasso and Generalizations</b:Title>
    <b:Year>2015</b:Year>
    <b:Publisher>Taylor and Francis</b:Publisher>
    <b:Author>
      <b:Author>
        <b:NameList>
          <b:Person>
            <b:Last>Hastie</b:Last>
            <b:First>T.</b:First>
          </b:Person>
          <b:Person>
            <b:Last>Tibshirani</b:Last>
            <b:First>R.</b:First>
          </b:Person>
          <b:Person>
            <b:Last>Wainwright</b:Last>
            <b:First>M. J.</b:First>
          </b:Person>
        </b:NameList>
      </b:Author>
    </b:Author>
    <b:RefOrder>46</b:RefOrder>
  </b:Source>
</b:Sources>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5BEB3DE0-9EC2-496F-8DC3-3DF5EFF5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 (1).dot</Template>
  <TotalTime>90</TotalTime>
  <Pages>5</Pages>
  <Words>1879</Words>
  <Characters>11558</Characters>
  <Application>Microsoft Office Word</Application>
  <DocSecurity>0</DocSecurity>
  <PresentationFormat>Microsoft Word 14.0</PresentationFormat>
  <Lines>222</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JAAX Alexander</dc:creator>
  <cp:keywords>EL4</cp:keywords>
  <cp:lastModifiedBy>JAAX Alexander, TAD/TSD</cp:lastModifiedBy>
  <cp:revision>24</cp:revision>
  <cp:lastPrinted>2018-05-29T10:06:00Z</cp:lastPrinted>
  <dcterms:created xsi:type="dcterms:W3CDTF">2020-10-15T09:20:00Z</dcterms:created>
  <dcterms:modified xsi:type="dcterms:W3CDTF">2020-10-15T18:49:00Z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