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2A226" w14:textId="70DBB259" w:rsidR="00F64420" w:rsidRDefault="00F64420" w:rsidP="00F64420">
      <w:pPr>
        <w:pStyle w:val="Titel"/>
      </w:pPr>
      <w:proofErr w:type="spellStart"/>
      <w:r w:rsidRPr="00F64420">
        <w:t>Analyzing</w:t>
      </w:r>
      <w:proofErr w:type="spellEnd"/>
      <w:r w:rsidRPr="00F64420">
        <w:t xml:space="preserve"> Nonresponse Bias in the 2010-2018 IAB Job Vacancy Survey Using Administrative Data and Machine </w:t>
      </w:r>
      <w:r w:rsidR="00D067A1" w:rsidRPr="00D067A1">
        <w:t>Learning</w:t>
      </w:r>
    </w:p>
    <w:p w14:paraId="5114ABF6" w14:textId="395EC9B0" w:rsidR="00F71ADF" w:rsidRDefault="00F71ADF" w:rsidP="00F71ADF">
      <w:r>
        <w:rPr>
          <w:b/>
          <w:u w:val="single"/>
        </w:rPr>
        <w:t>Keywords</w:t>
      </w:r>
      <w:r>
        <w:rPr>
          <w:b/>
        </w:rPr>
        <w:t>:</w:t>
      </w:r>
      <w:r>
        <w:rPr>
          <w:b/>
        </w:rPr>
        <w:t xml:space="preserve"> </w:t>
      </w:r>
      <w:r>
        <w:t>Nonresponse, Nonresponse Bias, Establishment Survey, Machine Learning</w:t>
      </w:r>
    </w:p>
    <w:p w14:paraId="0A1340C8" w14:textId="77777777" w:rsidR="002012A8" w:rsidRDefault="002012A8" w:rsidP="00D067A1">
      <w:pPr>
        <w:pStyle w:val="berschrift1"/>
      </w:pPr>
      <w:r>
        <w:t>Introduction</w:t>
      </w:r>
      <w:bookmarkStart w:id="0" w:name="_GoBack"/>
      <w:bookmarkEnd w:id="0"/>
    </w:p>
    <w:p w14:paraId="35352AE4" w14:textId="0B4823AB" w:rsidR="00F371F2" w:rsidRDefault="006C2A79" w:rsidP="00F371F2">
      <w:pPr>
        <w:spacing w:after="0"/>
      </w:pPr>
      <w:r w:rsidRPr="006C2A79">
        <w:t>While there is much literature documenting the declining trend of household response rates and resulting effects on nonresponse bias over</w:t>
      </w:r>
      <w:r w:rsidR="006E0D7A">
        <w:t xml:space="preserve"> time</w:t>
      </w:r>
      <w:r w:rsidR="00C3713B" w:rsidRPr="00C3713B">
        <w:t>,</w:t>
      </w:r>
      <w:r w:rsidR="00C3713B">
        <w:t xml:space="preserve"> </w:t>
      </w:r>
      <w:r w:rsidRPr="006C2A79">
        <w:t xml:space="preserve">analyses of nonresponse rate and nonresponse bias trends in voluntary establishment surveys are not so widespread. This </w:t>
      </w:r>
      <w:r>
        <w:t>research project</w:t>
      </w:r>
      <w:r w:rsidRPr="006C2A79">
        <w:t xml:space="preserve"> contributes to this rather small strand of literature by </w:t>
      </w:r>
      <w:proofErr w:type="spellStart"/>
      <w:r w:rsidRPr="006C2A79">
        <w:t>analyzing</w:t>
      </w:r>
      <w:proofErr w:type="spellEnd"/>
      <w:r w:rsidRPr="006C2A79">
        <w:t xml:space="preserve"> trends in response rates and their relationship with nonresponse bias over the last 8 years of the IAB-Job Vacanc</w:t>
      </w:r>
      <w:r w:rsidR="00F371F2">
        <w:t xml:space="preserve">y Survey. </w:t>
      </w:r>
      <w:r w:rsidR="00F371F2" w:rsidRPr="00F371F2">
        <w:t xml:space="preserve">The JVS is a </w:t>
      </w:r>
      <w:proofErr w:type="gramStart"/>
      <w:r w:rsidR="00F371F2" w:rsidRPr="00F371F2">
        <w:t>nationally-representative</w:t>
      </w:r>
      <w:proofErr w:type="gramEnd"/>
      <w:r w:rsidR="00F371F2" w:rsidRPr="00F371F2">
        <w:t xml:space="preserve"> and voluntary establishment survey, which mainly aims to quantify the size of the unfilled </w:t>
      </w:r>
      <w:proofErr w:type="spellStart"/>
      <w:r w:rsidR="00F371F2" w:rsidRPr="00F371F2">
        <w:t>labor</w:t>
      </w:r>
      <w:proofErr w:type="spellEnd"/>
      <w:r w:rsidR="00F371F2" w:rsidRPr="00F371F2">
        <w:t xml:space="preserve"> demand in Germany and other kinds of worker flows</w:t>
      </w:r>
      <w:r w:rsidR="00F371F2">
        <w:t>.</w:t>
      </w:r>
      <w:r w:rsidR="00F371F2" w:rsidRPr="00F371F2">
        <w:t xml:space="preserve"> It </w:t>
      </w:r>
      <w:proofErr w:type="gramStart"/>
      <w:r w:rsidR="00F371F2" w:rsidRPr="00F371F2">
        <w:t>is conducted</w:t>
      </w:r>
      <w:proofErr w:type="gramEnd"/>
      <w:r w:rsidR="00F371F2" w:rsidRPr="00F371F2">
        <w:t xml:space="preserve"> yearly as a repeated cross</w:t>
      </w:r>
      <w:r w:rsidR="007E14B1">
        <w:t>-</w:t>
      </w:r>
      <w:r w:rsidR="00F371F2" w:rsidRPr="00F371F2">
        <w:t>sectional survey carried out using a concurrent mixed-mode design, where paper questionnaires are sent to all establishments with the option o</w:t>
      </w:r>
      <w:r w:rsidR="007E14B1">
        <w:t>f</w:t>
      </w:r>
      <w:r w:rsidR="00F371F2" w:rsidRPr="00F371F2">
        <w:t xml:space="preserve"> online completion.</w:t>
      </w:r>
    </w:p>
    <w:p w14:paraId="57EDD9B1" w14:textId="77777777" w:rsidR="007E14B1" w:rsidRDefault="007E14B1" w:rsidP="00F371F2">
      <w:pPr>
        <w:spacing w:after="0"/>
      </w:pPr>
    </w:p>
    <w:p w14:paraId="1FA8FC3E" w14:textId="605C9BCC" w:rsidR="00484A08" w:rsidRDefault="006C2A79" w:rsidP="00484A08">
      <w:r w:rsidRPr="006C2A79">
        <w:t xml:space="preserve">In addition, we evaluate the performance of various machine-learning approaches </w:t>
      </w:r>
      <w:proofErr w:type="gramStart"/>
      <w:r w:rsidRPr="006C2A79">
        <w:t>to further reduce</w:t>
      </w:r>
      <w:proofErr w:type="gramEnd"/>
      <w:r w:rsidRPr="006C2A79">
        <w:t xml:space="preserve"> nonresponse bias relative to the conventional weighting approach. While some studies have already pointed out the potential of machine learning methods in non-response settings, this is the first to investigate the usefulness of a wide range of different machine learning methods to reduce non-response bias for an establishment survey. For all </w:t>
      </w:r>
      <w:proofErr w:type="gramStart"/>
      <w:r w:rsidRPr="006C2A79">
        <w:t>analyses</w:t>
      </w:r>
      <w:proofErr w:type="gramEnd"/>
      <w:r w:rsidRPr="006C2A79">
        <w:t xml:space="preserve"> we exploit comprehensive administrative data sources available for both respondents and </w:t>
      </w:r>
      <w:proofErr w:type="spellStart"/>
      <w:r w:rsidRPr="006C2A79">
        <w:t>nonrespondents</w:t>
      </w:r>
      <w:proofErr w:type="spellEnd"/>
      <w:r w:rsidRPr="006C2A79">
        <w:t>, which includes extensive information on establishment characteristics as well as on the composition of the workforce</w:t>
      </w:r>
      <w:r w:rsidR="009F276D">
        <w:t xml:space="preserve">. </w:t>
      </w:r>
    </w:p>
    <w:p w14:paraId="30E1AA38" w14:textId="77777777" w:rsidR="00BC6AFE" w:rsidRPr="006C2A79" w:rsidRDefault="00BC6AFE" w:rsidP="00484A08">
      <w:pPr>
        <w:pStyle w:val="berschrift1"/>
      </w:pPr>
      <w:r w:rsidRPr="006C2A79">
        <w:t>Methods</w:t>
      </w:r>
    </w:p>
    <w:p w14:paraId="5C4BFC0F" w14:textId="77777777" w:rsidR="00483E73" w:rsidRPr="006C2A79" w:rsidRDefault="00483E73" w:rsidP="00483E73">
      <w:pPr>
        <w:pStyle w:val="berschrift2"/>
        <w:tabs>
          <w:tab w:val="num" w:pos="482"/>
        </w:tabs>
        <w:ind w:left="482" w:hanging="482"/>
      </w:pPr>
      <w:r>
        <w:t>Response Rate</w:t>
      </w:r>
    </w:p>
    <w:p w14:paraId="6A11C3DB" w14:textId="358D1C00" w:rsidR="00BC6AFE" w:rsidRPr="00BC6AFE" w:rsidRDefault="00483E73" w:rsidP="00BC6AFE">
      <w:r w:rsidRPr="00483E73">
        <w:t xml:space="preserve">Referring to the definitions of the American Association of Public Opinion Research (2016), we </w:t>
      </w:r>
      <w:r w:rsidR="009F276D">
        <w:t>compute</w:t>
      </w:r>
      <w:r w:rsidRPr="00483E73">
        <w:t xml:space="preserve"> the response rate based on Response Rate 1, which is the number of completed interviews divided by the sample size. As this definition includes the full sample in the reference group, it is a conservative calculation of response rates and </w:t>
      </w:r>
      <w:proofErr w:type="gramStart"/>
      <w:r w:rsidRPr="00483E73">
        <w:t>can be interpreted</w:t>
      </w:r>
      <w:proofErr w:type="gramEnd"/>
      <w:r w:rsidRPr="00483E73">
        <w:t xml:space="preserve"> as a minimum response rate.</w:t>
      </w:r>
    </w:p>
    <w:p w14:paraId="4693A4CA" w14:textId="77777777" w:rsidR="00BC6AFE" w:rsidRPr="006C2A79" w:rsidRDefault="006C2A79" w:rsidP="001B50CE">
      <w:pPr>
        <w:pStyle w:val="berschrift2"/>
        <w:tabs>
          <w:tab w:val="num" w:pos="482"/>
        </w:tabs>
        <w:ind w:left="482" w:hanging="482"/>
      </w:pPr>
      <w:r w:rsidRPr="006C2A79">
        <w:t>Nonresponse Bias</w:t>
      </w:r>
    </w:p>
    <w:p w14:paraId="2925B95E" w14:textId="33AF7DAE" w:rsidR="006C2A79" w:rsidRPr="006C2A79" w:rsidRDefault="006C2A79" w:rsidP="006C2A79">
      <w:r w:rsidRPr="006C2A79">
        <w:t xml:space="preserve">Nonresponse bias </w:t>
      </w:r>
      <w:proofErr w:type="gramStart"/>
      <w:r w:rsidRPr="006C2A79">
        <w:t>is directly measured</w:t>
      </w:r>
      <w:proofErr w:type="gramEnd"/>
      <w:r w:rsidRPr="006C2A79">
        <w:t xml:space="preserve"> as the difference between the target estimate based on the respondents and the corresponding estimate based on the full sample. Nonresponse bias </w:t>
      </w:r>
      <w:proofErr w:type="gramStart"/>
      <w:r w:rsidR="009B2A2F">
        <w:t xml:space="preserve">is </w:t>
      </w:r>
      <w:r w:rsidRPr="006C2A79">
        <w:t>calculated</w:t>
      </w:r>
      <w:proofErr w:type="gramEnd"/>
      <w:r w:rsidRPr="006C2A79">
        <w:t xml:space="preserve"> for all </w:t>
      </w:r>
      <w:r w:rsidR="009F276D">
        <w:t xml:space="preserve">available </w:t>
      </w:r>
      <w:r w:rsidRPr="006C2A79">
        <w:t>administrativ</w:t>
      </w:r>
      <w:r w:rsidR="009F276D">
        <w:t>e establishment characteristics</w:t>
      </w:r>
      <w:r w:rsidRPr="006C2A79">
        <w:t xml:space="preserve">. In addition, we construct and compare absolute relative bias and average absolute relative bias measures </w:t>
      </w:r>
      <w:r w:rsidR="006E0D7A">
        <w:t>[1]</w:t>
      </w:r>
      <w:r w:rsidRPr="006C2A79">
        <w:t>.</w:t>
      </w:r>
    </w:p>
    <w:p w14:paraId="274518C7" w14:textId="77777777" w:rsidR="001E1F09" w:rsidRDefault="001E1F09" w:rsidP="004D6BDE">
      <w:pPr>
        <w:spacing w:after="0"/>
        <w:jc w:val="center"/>
      </w:pPr>
      <m:oMath>
        <m:r>
          <w:rPr>
            <w:rFonts w:ascii="Cambria Math" w:hAnsi="Cambria Math"/>
          </w:rPr>
          <m:t xml:space="preserve">NR Bias= </m:t>
        </m:r>
        <m:sSub>
          <m:sSubPr>
            <m:ctrlPr>
              <w:rPr>
                <w:rFonts w:ascii="Cambria Math" w:hAnsi="Cambria Math"/>
                <w:i/>
              </w:rPr>
            </m:ctrlPr>
          </m:sSubPr>
          <m:e>
            <m:r>
              <w:rPr>
                <w:rFonts w:ascii="Cambria Math" w:hAnsi="Cambria Math"/>
              </w:rPr>
              <m:t>Y</m:t>
            </m:r>
          </m:e>
          <m:sub>
            <m:r>
              <w:rPr>
                <w:rFonts w:ascii="Cambria Math" w:hAnsi="Cambria Math"/>
              </w:rPr>
              <m:t>i,r</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i,n</m:t>
            </m:r>
          </m:sub>
        </m:sSub>
      </m:oMath>
      <w:r>
        <w:tab/>
      </w:r>
      <w:r>
        <w:tab/>
      </w:r>
      <w:r w:rsidR="00C3713B">
        <w:tab/>
      </w:r>
      <w:r>
        <w:t>(1)</w:t>
      </w:r>
    </w:p>
    <w:p w14:paraId="20D444AA" w14:textId="77777777" w:rsidR="001E1F09" w:rsidRDefault="001E1F09" w:rsidP="004D6BDE">
      <w:pPr>
        <w:spacing w:after="0"/>
        <w:jc w:val="center"/>
      </w:pPr>
      <m:oMath>
        <m:r>
          <w:rPr>
            <w:rFonts w:ascii="Cambria Math" w:hAnsi="Cambria Math"/>
          </w:rPr>
          <m:t xml:space="preserve">Abs.rel. NR Bias= </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i,r</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i,n</m:t>
                    </m:r>
                  </m:sub>
                </m:sSub>
              </m:num>
              <m:den>
                <m:sSub>
                  <m:sSubPr>
                    <m:ctrlPr>
                      <w:rPr>
                        <w:rFonts w:ascii="Cambria Math" w:hAnsi="Cambria Math"/>
                        <w:i/>
                      </w:rPr>
                    </m:ctrlPr>
                  </m:sSubPr>
                  <m:e>
                    <m:r>
                      <w:rPr>
                        <w:rFonts w:ascii="Cambria Math" w:hAnsi="Cambria Math"/>
                      </w:rPr>
                      <m:t>Y</m:t>
                    </m:r>
                  </m:e>
                  <m:sub>
                    <m:r>
                      <w:rPr>
                        <w:rFonts w:ascii="Cambria Math" w:hAnsi="Cambria Math"/>
                      </w:rPr>
                      <m:t>i,n</m:t>
                    </m:r>
                  </m:sub>
                </m:sSub>
              </m:den>
            </m:f>
          </m:e>
        </m:d>
      </m:oMath>
      <w:r>
        <w:tab/>
      </w:r>
      <w:r w:rsidR="00C3713B">
        <w:tab/>
      </w:r>
      <w:r>
        <w:t>(2)</w:t>
      </w:r>
    </w:p>
    <w:p w14:paraId="0A5AF458" w14:textId="77777777" w:rsidR="006C2A79" w:rsidRPr="006C2A79" w:rsidRDefault="001E1F09" w:rsidP="004D6BDE">
      <w:pPr>
        <w:spacing w:after="0"/>
        <w:jc w:val="center"/>
      </w:pPr>
      <m:oMath>
        <m:r>
          <m:rPr>
            <m:sty m:val="p"/>
          </m:rPr>
          <w:rPr>
            <w:rFonts w:ascii="Cambria Math" w:hAnsi="Cambria Math"/>
          </w:rPr>
          <m:t xml:space="preserve">Avg. abs. rel. NR bias= </m:t>
        </m:r>
        <m:f>
          <m:fPr>
            <m:ctrlPr>
              <w:rPr>
                <w:rFonts w:ascii="Cambria Math" w:hAnsi="Cambria Math"/>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K</m:t>
                </m:r>
              </m:sup>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i,r</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i,n</m:t>
                            </m:r>
                          </m:sub>
                        </m:sSub>
                      </m:num>
                      <m:den>
                        <m:sSub>
                          <m:sSubPr>
                            <m:ctrlPr>
                              <w:rPr>
                                <w:rFonts w:ascii="Cambria Math" w:hAnsi="Cambria Math"/>
                                <w:i/>
                              </w:rPr>
                            </m:ctrlPr>
                          </m:sSubPr>
                          <m:e>
                            <m:r>
                              <w:rPr>
                                <w:rFonts w:ascii="Cambria Math" w:hAnsi="Cambria Math"/>
                              </w:rPr>
                              <m:t>Y</m:t>
                            </m:r>
                          </m:e>
                          <m:sub>
                            <m:r>
                              <w:rPr>
                                <w:rFonts w:ascii="Cambria Math" w:hAnsi="Cambria Math"/>
                              </w:rPr>
                              <m:t>i,n</m:t>
                            </m:r>
                          </m:sub>
                        </m:sSub>
                      </m:den>
                    </m:f>
                  </m:e>
                </m:d>
              </m:e>
            </m:nary>
          </m:num>
          <m:den>
            <m:r>
              <w:rPr>
                <w:rFonts w:ascii="Cambria Math" w:hAnsi="Cambria Math"/>
              </w:rPr>
              <m:t>K</m:t>
            </m:r>
          </m:den>
        </m:f>
      </m:oMath>
      <w:r>
        <w:tab/>
      </w:r>
      <w:r>
        <w:tab/>
        <w:t>(3)</w:t>
      </w:r>
    </w:p>
    <w:p w14:paraId="5E5C8B7D" w14:textId="77777777" w:rsidR="006C2A79" w:rsidRPr="006C2A79" w:rsidRDefault="006C2A79" w:rsidP="006C2A79">
      <w:proofErr w:type="gramStart"/>
      <w:r w:rsidRPr="006C2A79">
        <w:lastRenderedPageBreak/>
        <w:t>where</w:t>
      </w:r>
      <w:proofErr w:type="gramEnd"/>
      <w:r w:rsidRPr="006C2A79">
        <w:t xml:space="preserve"> </w:t>
      </w:r>
      <w:proofErr w:type="spellStart"/>
      <w:r w:rsidR="001E1F09">
        <w:t>i</w:t>
      </w:r>
      <w:proofErr w:type="spellEnd"/>
      <w:r w:rsidRPr="006C2A79">
        <w:t xml:space="preserve"> denotes the estimable category of interest (</w:t>
      </w:r>
      <w:proofErr w:type="spellStart"/>
      <w:r w:rsidRPr="006C2A79">
        <w:t>i</w:t>
      </w:r>
      <w:proofErr w:type="spellEnd"/>
      <w:r w:rsidRPr="006C2A79">
        <w:t>=1, 2,...,K</w:t>
      </w:r>
      <w:r w:rsidR="001E1F09">
        <w:t xml:space="preserve">), </w:t>
      </w:r>
      <w:proofErr w:type="spellStart"/>
      <w:r w:rsidR="001E1F09">
        <w:t>r</w:t>
      </w:r>
      <w:proofErr w:type="spellEnd"/>
      <w:r w:rsidRPr="006C2A79">
        <w:t xml:space="preserve"> denotes the respondents, and </w:t>
      </w:r>
      <w:r w:rsidR="001E1F09">
        <w:t>n</w:t>
      </w:r>
      <w:r w:rsidRPr="006C2A79">
        <w:t xml:space="preserve"> denotes the full sample</w:t>
      </w:r>
    </w:p>
    <w:p w14:paraId="1F602B1B" w14:textId="637DE1F7" w:rsidR="006C2A79" w:rsidRDefault="006C2A79" w:rsidP="006C2A79">
      <w:r w:rsidRPr="006C2A79">
        <w:t xml:space="preserve">As formula </w:t>
      </w:r>
      <w:r w:rsidR="00DD36DD">
        <w:t>2</w:t>
      </w:r>
      <w:r w:rsidRPr="006C2A79">
        <w:t xml:space="preserve"> expresses, absolute relative nonresponse bias </w:t>
      </w:r>
      <w:proofErr w:type="gramStart"/>
      <w:r w:rsidRPr="006C2A79">
        <w:t>is calculated</w:t>
      </w:r>
      <w:proofErr w:type="gramEnd"/>
      <w:r w:rsidRPr="006C2A79">
        <w:t xml:space="preserve"> as the difference between the </w:t>
      </w:r>
      <w:proofErr w:type="spellStart"/>
      <w:r w:rsidR="00DD36DD">
        <w:t>i</w:t>
      </w:r>
      <w:r w:rsidR="00DD36DD" w:rsidRPr="00DD36DD">
        <w:rPr>
          <w:vertAlign w:val="superscript"/>
        </w:rPr>
        <w:t>th</w:t>
      </w:r>
      <w:proofErr w:type="spellEnd"/>
      <w:r w:rsidRPr="006C2A79">
        <w:t xml:space="preserve"> estimated percentage based on the respondent sample and the corresponding estimated percentage based on the full sample relative to the estimated percentage based on the full sample. Thereby, we categorised all variables of interest into approximately equal-sized categories and estimate</w:t>
      </w:r>
      <w:r w:rsidR="00284CD8">
        <w:t>d</w:t>
      </w:r>
      <w:r w:rsidRPr="006C2A79">
        <w:t xml:space="preserve"> bias by comparing estimates of each category of the variables of interest. As a summary measure for multiple biases, we average the absolute relative biases for all establishment information and two subgroups: establishment characteristics and employee characteristics</w:t>
      </w:r>
      <w:r w:rsidR="00DD36DD">
        <w:t xml:space="preserve">. </w:t>
      </w:r>
      <w:r w:rsidRPr="006C2A79">
        <w:t>These measures enable us to investigate the relationship of the response rate and the corresponding unadjusted nonresponse bias</w:t>
      </w:r>
      <w:r w:rsidR="005B53DA">
        <w:t>.</w:t>
      </w:r>
      <w:r w:rsidRPr="006C2A79">
        <w:t xml:space="preserve"> </w:t>
      </w:r>
    </w:p>
    <w:p w14:paraId="4762657A" w14:textId="77777777" w:rsidR="006C2A79" w:rsidRDefault="006C2A79" w:rsidP="006C2A79">
      <w:pPr>
        <w:pStyle w:val="berschrift2"/>
        <w:tabs>
          <w:tab w:val="num" w:pos="482"/>
        </w:tabs>
        <w:ind w:left="482" w:hanging="482"/>
      </w:pPr>
      <w:r w:rsidRPr="006C2A79">
        <w:t>Response Propensity Models and Weights</w:t>
      </w:r>
    </w:p>
    <w:p w14:paraId="24DBDBC7" w14:textId="50AE7E2B" w:rsidR="00215C16" w:rsidRDefault="00DD36DD" w:rsidP="004734EF">
      <w:r>
        <w:t>To investigate</w:t>
      </w:r>
      <w:r w:rsidR="009F276D">
        <w:t xml:space="preserve"> the usefulness of various </w:t>
      </w:r>
      <w:r w:rsidR="00BC1463">
        <w:t>modelling</w:t>
      </w:r>
      <w:r w:rsidR="009F276D">
        <w:t xml:space="preserve"> approaches in a non-response reduction scheme</w:t>
      </w:r>
      <w:r>
        <w:t xml:space="preserve">, we estimate response propensities from traditional logistic regression models and supervised </w:t>
      </w:r>
      <w:proofErr w:type="gramStart"/>
      <w:r>
        <w:t>machine learning</w:t>
      </w:r>
      <w:proofErr w:type="gramEnd"/>
      <w:r>
        <w:t xml:space="preserve"> algorithms. In line with previous literature on predicting nonresponse using </w:t>
      </w:r>
      <w:r w:rsidR="00BC1463">
        <w:t>a machine-learning approach</w:t>
      </w:r>
      <w:r>
        <w:t xml:space="preserve">, we concentrate on tree-based methods </w:t>
      </w:r>
      <w:r w:rsidR="00C3713B" w:rsidRPr="00C3713B">
        <w:t>(</w:t>
      </w:r>
      <w:r w:rsidR="00171006">
        <w:t>[</w:t>
      </w:r>
      <w:r w:rsidR="006E0D7A">
        <w:t>2</w:t>
      </w:r>
      <w:r w:rsidR="00171006">
        <w:t>], [</w:t>
      </w:r>
      <w:r w:rsidR="006E0D7A">
        <w:t>3</w:t>
      </w:r>
      <w:r w:rsidR="00171006">
        <w:t xml:space="preserve">], </w:t>
      </w:r>
      <w:proofErr w:type="gramStart"/>
      <w:r w:rsidR="00171006">
        <w:t>[</w:t>
      </w:r>
      <w:proofErr w:type="gramEnd"/>
      <w:r w:rsidR="006E0D7A">
        <w:t>4</w:t>
      </w:r>
      <w:r w:rsidR="00171006">
        <w:t>]</w:t>
      </w:r>
      <w:r w:rsidR="00C3713B" w:rsidRPr="00C3713B">
        <w:t>)</w:t>
      </w:r>
      <w:r>
        <w:t xml:space="preserve">. As highlighted by Kern, </w:t>
      </w:r>
      <w:proofErr w:type="spellStart"/>
      <w:r>
        <w:t>Weiß</w:t>
      </w:r>
      <w:proofErr w:type="spellEnd"/>
      <w:r>
        <w:t xml:space="preserve"> and Kolb (2019</w:t>
      </w:r>
      <w:r w:rsidR="00C3713B">
        <w:t xml:space="preserve">) </w:t>
      </w:r>
      <w:r>
        <w:t xml:space="preserve">these methods are </w:t>
      </w:r>
      <w:proofErr w:type="gramStart"/>
      <w:r>
        <w:t>well-suited</w:t>
      </w:r>
      <w:proofErr w:type="gramEnd"/>
      <w:r>
        <w:t xml:space="preserve"> for tasks involving many variables as well as non-additive and/or non-linear relationships. Furthermore, they are able to handle complex interactions between the explanatory variables. Additionally we use a </w:t>
      </w:r>
      <w:r w:rsidR="001F0E03">
        <w:t xml:space="preserve">penalized </w:t>
      </w:r>
      <w:r>
        <w:t>ge</w:t>
      </w:r>
      <w:r w:rsidR="001F0E03">
        <w:t>neral additive regression model (</w:t>
      </w:r>
      <w:proofErr w:type="spellStart"/>
      <w:r w:rsidR="001F0E03">
        <w:t>gamsel</w:t>
      </w:r>
      <w:proofErr w:type="spellEnd"/>
      <w:r w:rsidR="001F0E03">
        <w:t>)</w:t>
      </w:r>
      <w:r>
        <w:t xml:space="preserve">. To summarize, we evaluate the performance of the following </w:t>
      </w:r>
      <w:r w:rsidR="00BC1463">
        <w:t>modelling</w:t>
      </w:r>
      <w:r w:rsidR="004734EF">
        <w:t xml:space="preserve"> approaches: </w:t>
      </w:r>
      <w:r w:rsidR="00BC1463">
        <w:t>L</w:t>
      </w:r>
      <w:r w:rsidR="006E0D7A">
        <w:t>ogistic regression</w:t>
      </w:r>
      <w:r w:rsidR="004734EF">
        <w:t>,</w:t>
      </w:r>
      <w:r w:rsidR="006E0D7A">
        <w:t xml:space="preserve"> General additive model,</w:t>
      </w:r>
      <w:r w:rsidR="004734EF">
        <w:t xml:space="preserve"> </w:t>
      </w:r>
      <w:r>
        <w:t>Decision</w:t>
      </w:r>
      <w:r w:rsidR="006E0D7A">
        <w:t xml:space="preserve"> tree using the CART-algorithms</w:t>
      </w:r>
      <w:r w:rsidR="004734EF">
        <w:t xml:space="preserve">, </w:t>
      </w:r>
      <w:r>
        <w:t>Decision tree using the C</w:t>
      </w:r>
      <w:r w:rsidR="00BC1463">
        <w:t>-</w:t>
      </w:r>
      <w:r w:rsidR="006E0D7A">
        <w:t>Tree-algorithms</w:t>
      </w:r>
      <w:r w:rsidR="004734EF">
        <w:t xml:space="preserve">, </w:t>
      </w:r>
      <w:r>
        <w:t>Model-bas</w:t>
      </w:r>
      <w:r w:rsidR="006E0D7A">
        <w:t>ed recursive partitioning (MOB)</w:t>
      </w:r>
      <w:r w:rsidR="004734EF">
        <w:t xml:space="preserve">, </w:t>
      </w:r>
      <w:r w:rsidR="006E0D7A">
        <w:t>Random Forest</w:t>
      </w:r>
      <w:r w:rsidR="004734EF">
        <w:t xml:space="preserve">, </w:t>
      </w:r>
      <w:r w:rsidR="006E0D7A">
        <w:t xml:space="preserve">Extreme Gradient Boosting </w:t>
      </w:r>
      <w:r w:rsidR="004734EF">
        <w:t>and B</w:t>
      </w:r>
      <w:r w:rsidR="004734EF" w:rsidRPr="004734EF">
        <w:t>ayesian</w:t>
      </w:r>
      <w:r w:rsidR="004734EF">
        <w:t xml:space="preserve"> </w:t>
      </w:r>
      <w:r w:rsidR="004734EF" w:rsidRPr="004734EF">
        <w:t>Additive Regression Trees</w:t>
      </w:r>
      <w:r w:rsidR="00BC1463">
        <w:t>.</w:t>
      </w:r>
      <w:r w:rsidR="00215C16">
        <w:t xml:space="preserve"> Based on these models we estimate response propensities and </w:t>
      </w:r>
      <w:r w:rsidR="00215C16" w:rsidRPr="00215C16">
        <w:t>use the inverse of these propensities to construct adjustment weights.</w:t>
      </w:r>
    </w:p>
    <w:p w14:paraId="218B2EB2" w14:textId="77777777" w:rsidR="00BC6AFE" w:rsidRDefault="00BC6AFE" w:rsidP="00BC6AFE">
      <w:pPr>
        <w:pStyle w:val="berschrift1"/>
      </w:pPr>
      <w:r>
        <w:t>Results</w:t>
      </w:r>
    </w:p>
    <w:p w14:paraId="738B2E7D" w14:textId="77777777" w:rsidR="001B50CE" w:rsidRDefault="00483E73" w:rsidP="001B50CE">
      <w:pPr>
        <w:pStyle w:val="berschrift2"/>
        <w:tabs>
          <w:tab w:val="num" w:pos="482"/>
        </w:tabs>
        <w:ind w:left="482" w:hanging="482"/>
      </w:pPr>
      <w:r w:rsidRPr="00483E73">
        <w:t>Response Rate</w:t>
      </w:r>
    </w:p>
    <w:p w14:paraId="3D836AB8" w14:textId="48FC3AB5" w:rsidR="00DD36DD" w:rsidRDefault="00DD36DD" w:rsidP="00DD36DD">
      <w:pPr>
        <w:pStyle w:val="Beschriftung"/>
        <w:rPr>
          <w:b w:val="0"/>
        </w:rPr>
      </w:pPr>
      <w:r w:rsidRPr="00B35D91">
        <w:rPr>
          <w:b w:val="0"/>
        </w:rPr>
        <w:t xml:space="preserve">Figure </w:t>
      </w:r>
      <w:r>
        <w:rPr>
          <w:b w:val="0"/>
        </w:rPr>
        <w:t>1</w:t>
      </w:r>
      <w:r w:rsidR="004D6BDE">
        <w:rPr>
          <w:b w:val="0"/>
        </w:rPr>
        <w:t xml:space="preserve"> (left </w:t>
      </w:r>
      <w:r w:rsidR="009F4C40">
        <w:rPr>
          <w:b w:val="0"/>
        </w:rPr>
        <w:t>panel</w:t>
      </w:r>
      <w:r w:rsidR="004D6BDE">
        <w:rPr>
          <w:b w:val="0"/>
        </w:rPr>
        <w:t>)</w:t>
      </w:r>
      <w:r>
        <w:rPr>
          <w:b w:val="0"/>
        </w:rPr>
        <w:t xml:space="preserve"> </w:t>
      </w:r>
      <w:r w:rsidRPr="00B35D91">
        <w:rPr>
          <w:b w:val="0"/>
        </w:rPr>
        <w:t xml:space="preserve">shows the response rate of the IAB-JVS for years 2010-2018. One can see that the response rate of IAB-JVS has always been below 20 percent since 2010 and the average response rate for the observation period is 16.32 percent. Compared to other </w:t>
      </w:r>
      <w:proofErr w:type="gramStart"/>
      <w:r w:rsidRPr="00B35D91">
        <w:rPr>
          <w:b w:val="0"/>
        </w:rPr>
        <w:t>establishment survey response rates</w:t>
      </w:r>
      <w:proofErr w:type="gramEnd"/>
      <w:r w:rsidRPr="00B35D91">
        <w:rPr>
          <w:b w:val="0"/>
        </w:rPr>
        <w:t xml:space="preserve"> worldwide it is rather low. Already starting from this comparably low response rate of 19.69 percent in </w:t>
      </w:r>
      <w:proofErr w:type="gramStart"/>
      <w:r w:rsidRPr="00B35D91">
        <w:rPr>
          <w:b w:val="0"/>
        </w:rPr>
        <w:t>2010</w:t>
      </w:r>
      <w:proofErr w:type="gramEnd"/>
      <w:r w:rsidRPr="00B35D91">
        <w:rPr>
          <w:b w:val="0"/>
        </w:rPr>
        <w:t xml:space="preserve"> the response rate has decreased further </w:t>
      </w:r>
      <w:r w:rsidR="009F1FFA">
        <w:rPr>
          <w:b w:val="0"/>
        </w:rPr>
        <w:t>to</w:t>
      </w:r>
      <w:r w:rsidR="009F1FFA" w:rsidRPr="00B35D91">
        <w:rPr>
          <w:b w:val="0"/>
        </w:rPr>
        <w:t xml:space="preserve"> </w:t>
      </w:r>
      <w:r w:rsidRPr="00B35D91">
        <w:rPr>
          <w:b w:val="0"/>
        </w:rPr>
        <w:t xml:space="preserve">13.20 percent in 2018. This represents an average decline of 0.8 percentage points per year. </w:t>
      </w:r>
    </w:p>
    <w:p w14:paraId="75A1F1AD" w14:textId="77777777" w:rsidR="00DD36DD" w:rsidRPr="008847C3" w:rsidRDefault="004734EF" w:rsidP="00DD36DD">
      <w:pPr>
        <w:pStyle w:val="Text1"/>
        <w:rPr>
          <w:highlight w:val="green"/>
        </w:rPr>
      </w:pPr>
      <w:r>
        <w:rPr>
          <w:noProof/>
          <w:highlight w:val="green"/>
          <w:lang w:eastAsia="en-GB"/>
        </w:rPr>
        <w:drawing>
          <wp:inline distT="0" distB="0" distL="0" distR="0" wp14:anchorId="79D933C4" wp14:editId="1CA3DB3E">
            <wp:extent cx="2520000" cy="1835123"/>
            <wp:effectExtent l="0" t="0" r="0" b="0"/>
            <wp:docPr id="2" name="Grafik 2" descr="C:\Users\KuefnerB001\AppData\Local\Microsoft\Windows\INetCache\Content.Word\response_rate_pa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uefnerB001\AppData\Local\Microsoft\Windows\INetCache\Content.Word\response_rate_pape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0" cy="1835123"/>
                    </a:xfrm>
                    <a:prstGeom prst="rect">
                      <a:avLst/>
                    </a:prstGeom>
                    <a:noFill/>
                    <a:ln>
                      <a:noFill/>
                    </a:ln>
                  </pic:spPr>
                </pic:pic>
              </a:graphicData>
            </a:graphic>
          </wp:inline>
        </w:drawing>
      </w:r>
      <w:r w:rsidR="004D6BDE" w:rsidRPr="00B35D91">
        <w:rPr>
          <w:noProof/>
          <w:lang w:eastAsia="en-GB"/>
        </w:rPr>
        <w:drawing>
          <wp:inline distT="0" distB="0" distL="0" distR="0" wp14:anchorId="551EA8DF" wp14:editId="14415A91">
            <wp:extent cx="2520000" cy="1832727"/>
            <wp:effectExtent l="0" t="0" r="0" b="0"/>
            <wp:docPr id="4" name="Grafik 4" descr="N:\Ablagen\D01700-IAB-Projekte\D01700-KEM_Stellenerhebung\Analyse\Doku\RQ2\avg_abs_rel_bias_11-17_pa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blagen\D01700-IAB-Projekte\D01700-KEM_Stellenerhebung\Analyse\Doku\RQ2\avg_abs_rel_bias_11-17_pape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0" cy="1832727"/>
                    </a:xfrm>
                    <a:prstGeom prst="rect">
                      <a:avLst/>
                    </a:prstGeom>
                    <a:noFill/>
                    <a:ln>
                      <a:noFill/>
                    </a:ln>
                  </pic:spPr>
                </pic:pic>
              </a:graphicData>
            </a:graphic>
          </wp:inline>
        </w:drawing>
      </w:r>
    </w:p>
    <w:p w14:paraId="60C17C12" w14:textId="04DBDC33" w:rsidR="00DD36DD" w:rsidRDefault="00DD36DD" w:rsidP="00DD36DD">
      <w:pPr>
        <w:pStyle w:val="Beschriftung"/>
      </w:pPr>
      <w:r w:rsidRPr="00484A08">
        <w:lastRenderedPageBreak/>
        <w:t xml:space="preserve">Figure </w:t>
      </w:r>
      <w:r w:rsidR="00F71ADF">
        <w:fldChar w:fldCharType="begin"/>
      </w:r>
      <w:r w:rsidR="00F71ADF">
        <w:instrText xml:space="preserve"> SEQ Figure \* ARABIC </w:instrText>
      </w:r>
      <w:r w:rsidR="00F71ADF">
        <w:fldChar w:fldCharType="separate"/>
      </w:r>
      <w:r w:rsidRPr="00484A08">
        <w:t>1</w:t>
      </w:r>
      <w:r w:rsidR="00F71ADF">
        <w:fldChar w:fldCharType="end"/>
      </w:r>
      <w:r w:rsidRPr="00484A08">
        <w:t xml:space="preserve">. </w:t>
      </w:r>
      <w:r>
        <w:t xml:space="preserve">Response Rate </w:t>
      </w:r>
      <w:r w:rsidRPr="00483E73">
        <w:t>between 2010 and 2018</w:t>
      </w:r>
      <w:r w:rsidR="004D6BDE">
        <w:t xml:space="preserve"> </w:t>
      </w:r>
      <w:r w:rsidR="009F4C40">
        <w:t xml:space="preserve">(left panel) </w:t>
      </w:r>
      <w:r w:rsidR="004D6BDE">
        <w:t xml:space="preserve">and </w:t>
      </w:r>
      <w:r w:rsidR="004D6BDE" w:rsidRPr="00B35D91">
        <w:t>Average absolute relative bias between 2011 and 2017</w:t>
      </w:r>
      <w:r w:rsidR="009F4C40">
        <w:t xml:space="preserve"> (right panel)</w:t>
      </w:r>
    </w:p>
    <w:p w14:paraId="79C1B30D" w14:textId="77777777" w:rsidR="001B50CE" w:rsidRDefault="00483E73" w:rsidP="001B50CE">
      <w:pPr>
        <w:pStyle w:val="berschrift2"/>
        <w:tabs>
          <w:tab w:val="num" w:pos="482"/>
        </w:tabs>
        <w:ind w:left="482" w:hanging="482"/>
      </w:pPr>
      <w:r w:rsidRPr="00483E73">
        <w:t>Nonresponse Bias</w:t>
      </w:r>
    </w:p>
    <w:p w14:paraId="16FEE4DF" w14:textId="18B09C86" w:rsidR="00DD36DD" w:rsidRDefault="00DD36DD" w:rsidP="00DD36DD">
      <w:pPr>
        <w:pStyle w:val="Text2"/>
        <w:ind w:left="0"/>
      </w:pPr>
      <w:r w:rsidRPr="00484A08">
        <w:t xml:space="preserve">Figure </w:t>
      </w:r>
      <w:proofErr w:type="gramStart"/>
      <w:r w:rsidR="004D6BDE">
        <w:t>1</w:t>
      </w:r>
      <w:proofErr w:type="gramEnd"/>
      <w:r w:rsidR="004D6BDE">
        <w:t xml:space="preserve"> (right </w:t>
      </w:r>
      <w:r w:rsidR="009F4C40">
        <w:t>panel</w:t>
      </w:r>
      <w:r w:rsidR="004D6BDE">
        <w:t>)</w:t>
      </w:r>
      <w:r>
        <w:t xml:space="preserve"> </w:t>
      </w:r>
      <w:r w:rsidRPr="00484A08">
        <w:t xml:space="preserve">illustrates the average absolute relative nonresponse bias between 2011 and 2017. The average relative bias measure lies in all observation years around 7 percent. Hence, the relative nonresponse bias is on average not very large. Relating that to a comparably high nonresponse rate of more than 80 percent, it is reassuring that the average nonresponse bias is not particularly high. Between 2011 and </w:t>
      </w:r>
      <w:proofErr w:type="gramStart"/>
      <w:r w:rsidRPr="00484A08">
        <w:t>2017</w:t>
      </w:r>
      <w:proofErr w:type="gramEnd"/>
      <w:r w:rsidRPr="00484A08">
        <w:t xml:space="preserve"> we see a slight increase of the average absolute relative bias from 6.38</w:t>
      </w:r>
      <w:r w:rsidR="00F60780">
        <w:t xml:space="preserve"> percent</w:t>
      </w:r>
      <w:r w:rsidRPr="00484A08">
        <w:t xml:space="preserve"> in 2011 to 7.14</w:t>
      </w:r>
      <w:r w:rsidR="00F60780">
        <w:t xml:space="preserve"> percent</w:t>
      </w:r>
      <w:r w:rsidRPr="00484A08">
        <w:t xml:space="preserve"> in 2017. Corresponding to the response rate the strongest increase of average absolute relative bias occurs between 2013 and 2015</w:t>
      </w:r>
      <w:r>
        <w:t xml:space="preserve">. </w:t>
      </w:r>
    </w:p>
    <w:p w14:paraId="4B9F0F42" w14:textId="23D6AA56" w:rsidR="00DD36DD" w:rsidRPr="00484A08" w:rsidRDefault="00DD36DD" w:rsidP="00DD36DD">
      <w:pPr>
        <w:pStyle w:val="Text2"/>
        <w:ind w:left="0"/>
      </w:pPr>
      <w:r w:rsidRPr="00484A08">
        <w:t xml:space="preserve">A deeper look shows </w:t>
      </w:r>
      <w:r w:rsidR="005C425F">
        <w:t xml:space="preserve">that </w:t>
      </w:r>
      <w:r w:rsidRPr="00484A08">
        <w:t>many</w:t>
      </w:r>
      <w:r w:rsidR="005C425F">
        <w:t xml:space="preserve"> of the</w:t>
      </w:r>
      <w:r w:rsidR="009F276D">
        <w:t xml:space="preserve"> individual</w:t>
      </w:r>
      <w:r w:rsidRPr="00484A08">
        <w:t xml:space="preserve"> relative biases exceed </w:t>
      </w:r>
      <w:r>
        <w:t>a</w:t>
      </w:r>
      <w:r w:rsidRPr="00484A08">
        <w:t xml:space="preserve"> threshold of 10 percent. Already when differentiating between the establishment and employee characteristics, it is remarkable that the average absolute relative bias of the establishment characteristics shows values around 10 percent. In total, we find between 15 </w:t>
      </w:r>
      <w:r w:rsidR="00391434">
        <w:t xml:space="preserve">individual bias estimates </w:t>
      </w:r>
      <w:r w:rsidRPr="00484A08">
        <w:t xml:space="preserve">in 2011 and 20 in 2017 with values greater than 10 percent. Thus, the number of relative biases exceeding 10 percent seems to be increasing over time. Since we </w:t>
      </w:r>
      <w:proofErr w:type="spellStart"/>
      <w:r w:rsidRPr="00484A08">
        <w:t>analyze</w:t>
      </w:r>
      <w:proofErr w:type="spellEnd"/>
      <w:r w:rsidRPr="00484A08">
        <w:t xml:space="preserve"> 70 single bias estimates, the share of bias estimates that exceeds 10 percent amounts to 21</w:t>
      </w:r>
      <w:r w:rsidR="0079167A">
        <w:t xml:space="preserve"> percent</w:t>
      </w:r>
      <w:r w:rsidRPr="00484A08">
        <w:t xml:space="preserve"> in 2012 to 29 percent </w:t>
      </w:r>
      <w:r w:rsidR="009F276D">
        <w:t>in</w:t>
      </w:r>
      <w:r w:rsidRPr="00484A08">
        <w:t xml:space="preserve"> 2017 of all biases. Thus, the share of bias estimates above </w:t>
      </w:r>
      <w:r w:rsidR="009F276D">
        <w:t>the threshold of 10 percent</w:t>
      </w:r>
      <w:r w:rsidRPr="00484A08">
        <w:t xml:space="preserve"> increased by 8 percentage points </w:t>
      </w:r>
      <w:r w:rsidR="0079167A">
        <w:t>during</w:t>
      </w:r>
      <w:r w:rsidR="0079167A" w:rsidRPr="00484A08">
        <w:t xml:space="preserve"> </w:t>
      </w:r>
      <w:r w:rsidR="0079167A">
        <w:t>the</w:t>
      </w:r>
      <w:r w:rsidR="0079167A" w:rsidRPr="00484A08">
        <w:t xml:space="preserve"> </w:t>
      </w:r>
      <w:r w:rsidRPr="00484A08">
        <w:t>observation period.</w:t>
      </w:r>
    </w:p>
    <w:p w14:paraId="3019456C" w14:textId="77777777" w:rsidR="00483E73" w:rsidRDefault="00483E73" w:rsidP="001E1F09">
      <w:pPr>
        <w:pStyle w:val="berschrift2"/>
      </w:pPr>
      <w:r w:rsidRPr="00483E73">
        <w:t>Response Propensity Models and Weights</w:t>
      </w:r>
    </w:p>
    <w:p w14:paraId="54891008" w14:textId="6449EABA" w:rsidR="00DD36DD" w:rsidRPr="00484A08" w:rsidRDefault="00DD36DD" w:rsidP="00DD36DD">
      <w:pPr>
        <w:pStyle w:val="Text2"/>
        <w:ind w:left="0"/>
      </w:pPr>
      <w:r w:rsidRPr="00484A08">
        <w:t xml:space="preserve">As </w:t>
      </w:r>
      <w:r w:rsidR="004D6BDE">
        <w:t>one measure</w:t>
      </w:r>
      <w:r w:rsidRPr="00484A08">
        <w:t xml:space="preserve"> </w:t>
      </w:r>
      <w:r w:rsidR="004D6BDE">
        <w:t xml:space="preserve">of nonresponse </w:t>
      </w:r>
      <w:r w:rsidR="00F20FFC">
        <w:t xml:space="preserve">bias </w:t>
      </w:r>
      <w:r w:rsidR="001F0E03">
        <w:t>reduction,</w:t>
      </w:r>
      <w:r w:rsidR="004D6BDE">
        <w:t xml:space="preserve"> </w:t>
      </w:r>
      <w:r w:rsidRPr="00484A08">
        <w:t xml:space="preserve">we compare the mean number of </w:t>
      </w:r>
      <w:proofErr w:type="spellStart"/>
      <w:r w:rsidRPr="00484A08">
        <w:t>hirings</w:t>
      </w:r>
      <w:proofErr w:type="spellEnd"/>
      <w:r w:rsidRPr="00484A08">
        <w:t xml:space="preserve"> per establishment, which is not only an important measure by itself but also correlated to </w:t>
      </w:r>
      <w:r w:rsidR="00042E08">
        <w:t xml:space="preserve">the </w:t>
      </w:r>
      <w:r w:rsidRPr="00484A08">
        <w:t>number of vacancies in the previous year</w:t>
      </w:r>
      <w:r w:rsidR="00C3713B">
        <w:t>.</w:t>
      </w:r>
      <w:r w:rsidRPr="00484A08">
        <w:t xml:space="preserve"> </w:t>
      </w:r>
      <w:r w:rsidR="005E5730">
        <w:t>W</w:t>
      </w:r>
      <w:r w:rsidRPr="00484A08">
        <w:t xml:space="preserve">e use the weights </w:t>
      </w:r>
      <w:r w:rsidR="0049590D">
        <w:t>generated</w:t>
      </w:r>
      <w:r w:rsidR="0049590D" w:rsidRPr="00484A08">
        <w:t xml:space="preserve"> </w:t>
      </w:r>
      <w:r w:rsidRPr="00484A08">
        <w:t xml:space="preserve">by including all explanatory variables into the </w:t>
      </w:r>
      <w:proofErr w:type="spellStart"/>
      <w:r w:rsidRPr="00484A08">
        <w:t>modeling</w:t>
      </w:r>
      <w:proofErr w:type="spellEnd"/>
      <w:r w:rsidRPr="00484A08">
        <w:t xml:space="preserve"> approach</w:t>
      </w:r>
      <w:r w:rsidR="005E5730">
        <w:t>es to compute weighted estimates of this target variable</w:t>
      </w:r>
      <w:r w:rsidRPr="00484A08">
        <w:t xml:space="preserve">. By comparing the weighted </w:t>
      </w:r>
      <w:proofErr w:type="spellStart"/>
      <w:r w:rsidRPr="00484A08">
        <w:t>hirings</w:t>
      </w:r>
      <w:proofErr w:type="spellEnd"/>
      <w:r w:rsidRPr="00484A08">
        <w:t xml:space="preserve"> and the unweighted full sample we provide evidence</w:t>
      </w:r>
      <w:r w:rsidR="0049590D">
        <w:t xml:space="preserve"> on</w:t>
      </w:r>
      <w:r w:rsidRPr="00484A08">
        <w:t xml:space="preserve"> which model performs best in</w:t>
      </w:r>
      <w:r w:rsidR="0049590D">
        <w:t xml:space="preserve"> terms of</w:t>
      </w:r>
      <w:r w:rsidRPr="00484A08">
        <w:t xml:space="preserve"> reducing non-response bias out of sample. Figure </w:t>
      </w:r>
      <w:r w:rsidR="00C3713B">
        <w:t>3</w:t>
      </w:r>
      <w:r w:rsidRPr="00484A08">
        <w:t xml:space="preserve"> relates the number of </w:t>
      </w:r>
      <w:proofErr w:type="spellStart"/>
      <w:r w:rsidRPr="00484A08">
        <w:t>hirings</w:t>
      </w:r>
      <w:proofErr w:type="spellEnd"/>
      <w:r w:rsidRPr="00484A08">
        <w:t xml:space="preserve"> in the full sample to the weighted </w:t>
      </w:r>
      <w:proofErr w:type="spellStart"/>
      <w:r w:rsidRPr="00484A08">
        <w:t>hirings</w:t>
      </w:r>
      <w:proofErr w:type="spellEnd"/>
      <w:r w:rsidRPr="00484A08">
        <w:t xml:space="preserve"> with </w:t>
      </w:r>
      <w:r w:rsidR="00BC1463">
        <w:t xml:space="preserve">each </w:t>
      </w:r>
      <w:proofErr w:type="gramStart"/>
      <w:r w:rsidR="001F0E03">
        <w:t>machine learning</w:t>
      </w:r>
      <w:proofErr w:type="gramEnd"/>
      <w:r w:rsidR="001F0E03">
        <w:t xml:space="preserve"> algorithm</w:t>
      </w:r>
      <w:r w:rsidR="00BC1463">
        <w:t xml:space="preserve">. </w:t>
      </w:r>
      <w:r w:rsidRPr="00484A08">
        <w:t xml:space="preserve">The reference line represents the perfect fit of the weighted estimates and the full sample and thus, the complete reduction of non-response bias </w:t>
      </w:r>
      <w:proofErr w:type="gramStart"/>
      <w:r w:rsidRPr="00484A08">
        <w:t>in regard to</w:t>
      </w:r>
      <w:proofErr w:type="gramEnd"/>
      <w:r w:rsidRPr="00484A08">
        <w:t xml:space="preserve"> the number of </w:t>
      </w:r>
      <w:proofErr w:type="spellStart"/>
      <w:r w:rsidRPr="00484A08">
        <w:t>hirings</w:t>
      </w:r>
      <w:proofErr w:type="spellEnd"/>
      <w:r w:rsidRPr="00484A08">
        <w:t xml:space="preserve">. </w:t>
      </w:r>
      <w:r w:rsidR="00F20FFC">
        <w:t>A</w:t>
      </w:r>
      <w:r w:rsidRPr="00484A08">
        <w:t xml:space="preserve">ll weighted </w:t>
      </w:r>
      <w:proofErr w:type="spellStart"/>
      <w:r w:rsidRPr="00484A08">
        <w:t>hirings</w:t>
      </w:r>
      <w:proofErr w:type="spellEnd"/>
      <w:r w:rsidRPr="00484A08">
        <w:t xml:space="preserve"> underestimate the number of </w:t>
      </w:r>
      <w:proofErr w:type="spellStart"/>
      <w:r w:rsidRPr="00484A08">
        <w:t>hirings</w:t>
      </w:r>
      <w:proofErr w:type="spellEnd"/>
      <w:r w:rsidRPr="00484A08">
        <w:t xml:space="preserve"> in the full sample. </w:t>
      </w:r>
      <w:r w:rsidR="00F36C5E">
        <w:t>Alt</w:t>
      </w:r>
      <w:r w:rsidRPr="00484A08">
        <w:t xml:space="preserve">hough the performance </w:t>
      </w:r>
      <w:r w:rsidR="00284CD8">
        <w:t>of the weighting strategies varies</w:t>
      </w:r>
      <w:r w:rsidRPr="00484A08">
        <w:t xml:space="preserve"> from year to </w:t>
      </w:r>
      <w:proofErr w:type="gramStart"/>
      <w:r w:rsidRPr="00484A08">
        <w:t>year</w:t>
      </w:r>
      <w:proofErr w:type="gramEnd"/>
      <w:r w:rsidRPr="00484A08">
        <w:t xml:space="preserve"> the pattern is consistent over the years. </w:t>
      </w:r>
      <w:r w:rsidR="001F0E03">
        <w:t>Interestingly</w:t>
      </w:r>
      <w:r w:rsidR="00F20FFC">
        <w:t xml:space="preserve">, the traditional logistic regression with a small set of categorized variables </w:t>
      </w:r>
      <w:proofErr w:type="gramStart"/>
      <w:r w:rsidR="00F20FFC">
        <w:t>is just slightly ou</w:t>
      </w:r>
      <w:r w:rsidR="001F0E03">
        <w:t>t</w:t>
      </w:r>
      <w:r w:rsidR="00F20FFC">
        <w:t>performed</w:t>
      </w:r>
      <w:proofErr w:type="gramEnd"/>
      <w:r w:rsidR="00F20FFC">
        <w:t xml:space="preserve"> by the Bart-Algorithm. Both approaches can reduce the nonresponse bias </w:t>
      </w:r>
      <w:r w:rsidR="00F36C5E">
        <w:t xml:space="preserve">with </w:t>
      </w:r>
      <w:r w:rsidR="00F20FFC">
        <w:t xml:space="preserve">regard to </w:t>
      </w:r>
      <w:proofErr w:type="spellStart"/>
      <w:r w:rsidR="00F20FFC">
        <w:t>hirings</w:t>
      </w:r>
      <w:proofErr w:type="spellEnd"/>
      <w:r w:rsidR="00F20FFC">
        <w:t xml:space="preserve"> to </w:t>
      </w:r>
      <w:r w:rsidR="001F0E03">
        <w:t xml:space="preserve">a </w:t>
      </w:r>
      <w:r w:rsidR="00F20FFC">
        <w:t xml:space="preserve">minimum. All other machine-learning approaches underestimate the number of </w:t>
      </w:r>
      <w:proofErr w:type="spellStart"/>
      <w:r w:rsidR="00F20FFC">
        <w:t>hirings</w:t>
      </w:r>
      <w:proofErr w:type="spellEnd"/>
      <w:r w:rsidR="00F20FFC">
        <w:t xml:space="preserve"> even more with XG Boost, MOB and logistic regression with the large set of </w:t>
      </w:r>
      <w:r w:rsidR="00181C2C">
        <w:t xml:space="preserve">explanatory </w:t>
      </w:r>
      <w:r w:rsidR="00F20FFC">
        <w:t xml:space="preserve">variables as the second best group. </w:t>
      </w:r>
      <w:r w:rsidR="00BC1463">
        <w:t xml:space="preserve">The random forest algorithm </w:t>
      </w:r>
      <w:r w:rsidR="008E107B">
        <w:t xml:space="preserve">did not </w:t>
      </w:r>
      <w:r w:rsidR="00BC1463">
        <w:t xml:space="preserve">work </w:t>
      </w:r>
      <w:r w:rsidR="008E107B">
        <w:t>very well in our setting</w:t>
      </w:r>
      <w:r w:rsidR="00BC1463">
        <w:t xml:space="preserve"> and could not reduce the nonresponse bias</w:t>
      </w:r>
      <w:r w:rsidR="001F0E03">
        <w:t xml:space="preserve"> at all</w:t>
      </w:r>
      <w:r w:rsidR="00BC1463">
        <w:t>.</w:t>
      </w:r>
    </w:p>
    <w:p w14:paraId="2938EDE8" w14:textId="77777777" w:rsidR="008E107B" w:rsidRDefault="008E107B" w:rsidP="008E107B">
      <w:pPr>
        <w:pStyle w:val="berschrift1"/>
      </w:pPr>
      <w:r>
        <w:t>Conclusions</w:t>
      </w:r>
    </w:p>
    <w:p w14:paraId="080B9F72" w14:textId="698CFBFC" w:rsidR="00F6162F" w:rsidRDefault="00F6162F" w:rsidP="008E107B">
      <w:pPr>
        <w:pStyle w:val="Text2"/>
        <w:ind w:left="0"/>
      </w:pPr>
      <w:r w:rsidRPr="00F6162F">
        <w:t xml:space="preserve">Our analyses showed that the response rate decreased between 2010 and 2018, while the corresponding </w:t>
      </w:r>
      <w:r w:rsidR="00E87D2C">
        <w:t xml:space="preserve">nonresponse </w:t>
      </w:r>
      <w:r w:rsidRPr="00F6162F">
        <w:t>bias indicated a slight increase.</w:t>
      </w:r>
      <w:r>
        <w:t xml:space="preserve"> </w:t>
      </w:r>
      <w:r w:rsidR="00FA186C">
        <w:t>T</w:t>
      </w:r>
      <w:r>
        <w:t>he</w:t>
      </w:r>
      <w:r w:rsidRPr="00F6162F">
        <w:t xml:space="preserve"> level of non-response </w:t>
      </w:r>
      <w:r>
        <w:t>bias</w:t>
      </w:r>
      <w:r w:rsidRPr="00F6162F">
        <w:t xml:space="preserve"> was moderate</w:t>
      </w:r>
      <w:r w:rsidR="00FA186C">
        <w:t xml:space="preserve"> overall</w:t>
      </w:r>
      <w:r w:rsidRPr="00F6162F">
        <w:t>, despite high non-response rates.</w:t>
      </w:r>
      <w:r w:rsidR="001F0E03">
        <w:t xml:space="preserve"> </w:t>
      </w:r>
      <w:r>
        <w:t xml:space="preserve">Although machine-learning applications offer new possibilities to model response behaviour and use these models in weighting schemes, they do not automatically outperform traditional logistic regression with a </w:t>
      </w:r>
      <w:r w:rsidRPr="00F6162F">
        <w:t>well-chosen set of explanatory variables</w:t>
      </w:r>
      <w:r>
        <w:t>. In our application, just the BART-algorithm reduce</w:t>
      </w:r>
      <w:r w:rsidR="00FA186C">
        <w:t>d</w:t>
      </w:r>
      <w:r>
        <w:t xml:space="preserve"> non-response </w:t>
      </w:r>
      <w:r w:rsidR="00FA186C">
        <w:t xml:space="preserve">bias </w:t>
      </w:r>
      <w:r>
        <w:t>more than the standard logistic regression</w:t>
      </w:r>
      <w:r w:rsidR="00F44C09">
        <w:t xml:space="preserve"> approach</w:t>
      </w:r>
      <w:r>
        <w:t xml:space="preserve">. </w:t>
      </w:r>
      <w:r w:rsidR="00215C16" w:rsidRPr="00215C16">
        <w:lastRenderedPageBreak/>
        <w:t xml:space="preserve">Even though the machine learning methods in our application did not show any fundamental improvement over previous approaches, further research is necessary </w:t>
      </w:r>
      <w:proofErr w:type="gramStart"/>
      <w:r w:rsidR="00215C16" w:rsidRPr="00215C16">
        <w:t>to better understand</w:t>
      </w:r>
      <w:proofErr w:type="gramEnd"/>
      <w:r w:rsidR="00215C16" w:rsidRPr="00215C16">
        <w:t xml:space="preserve"> the interaction between different weighting strategies and machine learning methods </w:t>
      </w:r>
      <w:r w:rsidR="00AC5CEE">
        <w:t>on</w:t>
      </w:r>
      <w:r w:rsidR="00215C16" w:rsidRPr="00215C16">
        <w:t xml:space="preserve"> nonresponse </w:t>
      </w:r>
      <w:r w:rsidR="00AC5CEE">
        <w:t xml:space="preserve">bias </w:t>
      </w:r>
      <w:r w:rsidR="00CA1AC3">
        <w:t>reduction</w:t>
      </w:r>
      <w:r w:rsidR="00215C16" w:rsidRPr="00215C16">
        <w:t>.</w:t>
      </w:r>
      <w:r w:rsidR="00215C16">
        <w:t xml:space="preserve"> </w:t>
      </w:r>
    </w:p>
    <w:p w14:paraId="40F09ACD" w14:textId="77777777" w:rsidR="00484A08" w:rsidRDefault="00F71ADF" w:rsidP="00484A08">
      <w:pPr>
        <w:pStyle w:val="Text2"/>
        <w:ind w:left="0"/>
      </w:pPr>
      <w:r>
        <w:rPr>
          <w:noProof/>
          <w:lang w:eastAsia="en-GB"/>
        </w:rPr>
        <w:pict w14:anchorId="2A3C2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pt;height:379pt">
            <v:imagedata r:id="rId13" o:title="Hiring_Ratio_all2"/>
          </v:shape>
        </w:pict>
      </w:r>
    </w:p>
    <w:p w14:paraId="696F81C3" w14:textId="0FD029E6" w:rsidR="00484A08" w:rsidRDefault="00484A08" w:rsidP="00484A08">
      <w:pPr>
        <w:pStyle w:val="Beschriftung"/>
      </w:pPr>
      <w:r w:rsidRPr="00484A08">
        <w:t xml:space="preserve">Figure </w:t>
      </w:r>
      <w:r>
        <w:t>4</w:t>
      </w:r>
      <w:r w:rsidRPr="00484A08">
        <w:t xml:space="preserve">. </w:t>
      </w:r>
      <w:r>
        <w:t>Compari</w:t>
      </w:r>
      <w:r w:rsidRPr="00484A08">
        <w:t>s</w:t>
      </w:r>
      <w:r>
        <w:t xml:space="preserve">on of weighting strategies </w:t>
      </w:r>
      <w:r w:rsidR="007E14B1">
        <w:t>with</w:t>
      </w:r>
      <w:r>
        <w:t xml:space="preserve"> regard to </w:t>
      </w:r>
      <w:proofErr w:type="spellStart"/>
      <w:r>
        <w:t>hirings</w:t>
      </w:r>
      <w:proofErr w:type="spellEnd"/>
    </w:p>
    <w:p w14:paraId="75D20721" w14:textId="77777777" w:rsidR="00DD36DD" w:rsidRDefault="00DD36DD" w:rsidP="009B4EE0">
      <w:pPr>
        <w:pStyle w:val="berschrift1"/>
        <w:numPr>
          <w:ilvl w:val="0"/>
          <w:numId w:val="0"/>
        </w:numPr>
        <w:ind w:left="480" w:hanging="480"/>
      </w:pPr>
    </w:p>
    <w:p w14:paraId="537507E1" w14:textId="3F4CEB2F" w:rsidR="009F276D" w:rsidRPr="00215C16" w:rsidRDefault="00BC6AFE" w:rsidP="006E0D7A">
      <w:pPr>
        <w:pStyle w:val="berschrift1"/>
        <w:numPr>
          <w:ilvl w:val="0"/>
          <w:numId w:val="0"/>
        </w:numPr>
        <w:ind w:left="480" w:hanging="480"/>
      </w:pPr>
      <w:r>
        <w:t>References</w:t>
      </w:r>
    </w:p>
    <w:p w14:paraId="4BBC1A1B" w14:textId="77777777" w:rsidR="00171006" w:rsidRPr="00215C16" w:rsidRDefault="00171006" w:rsidP="00171006">
      <w:pPr>
        <w:pStyle w:val="Text1"/>
        <w:numPr>
          <w:ilvl w:val="0"/>
          <w:numId w:val="20"/>
        </w:numPr>
        <w:ind w:left="357" w:hanging="357"/>
      </w:pPr>
      <w:r w:rsidRPr="00215C16">
        <w:t xml:space="preserve">Groves, R. M. and </w:t>
      </w:r>
      <w:proofErr w:type="spellStart"/>
      <w:r w:rsidRPr="00215C16">
        <w:t>Heeringa</w:t>
      </w:r>
      <w:proofErr w:type="spellEnd"/>
      <w:r w:rsidRPr="00215C16">
        <w:t>, S. G., Responsive design for household surveys: Tools for actively controlling survey errors and costs, Journal of the Royal Statistical Society. Series A (Statistics in Society), 169 (2006), 439–457.</w:t>
      </w:r>
    </w:p>
    <w:p w14:paraId="2CF89AB0" w14:textId="77777777" w:rsidR="00171006" w:rsidRPr="00215C16" w:rsidRDefault="00171006" w:rsidP="00171006">
      <w:pPr>
        <w:pStyle w:val="Text1"/>
        <w:numPr>
          <w:ilvl w:val="0"/>
          <w:numId w:val="20"/>
        </w:numPr>
        <w:ind w:left="357" w:hanging="357"/>
      </w:pPr>
      <w:r w:rsidRPr="00215C16">
        <w:t xml:space="preserve">Kern, C., </w:t>
      </w:r>
      <w:proofErr w:type="spellStart"/>
      <w:r w:rsidRPr="00215C16">
        <w:t>Klausch</w:t>
      </w:r>
      <w:proofErr w:type="spellEnd"/>
      <w:r w:rsidRPr="00215C16">
        <w:t xml:space="preserve">, T. and </w:t>
      </w:r>
      <w:proofErr w:type="spellStart"/>
      <w:r w:rsidRPr="00215C16">
        <w:t>Kreuter</w:t>
      </w:r>
      <w:proofErr w:type="spellEnd"/>
      <w:r w:rsidRPr="00215C16">
        <w:t>, F., Tree-based machine learning methods for survey research, Survey Research Methods, 13 (2019a), 73–93.</w:t>
      </w:r>
    </w:p>
    <w:p w14:paraId="585313CC" w14:textId="77777777" w:rsidR="00171006" w:rsidRPr="00215C16" w:rsidRDefault="00171006" w:rsidP="00171006">
      <w:pPr>
        <w:pStyle w:val="Text1"/>
        <w:numPr>
          <w:ilvl w:val="0"/>
          <w:numId w:val="20"/>
        </w:numPr>
        <w:ind w:left="357" w:hanging="357"/>
      </w:pPr>
      <w:r w:rsidRPr="00215C16">
        <w:t xml:space="preserve">Earp, M., Mitchell, M., McCarthy, J. and </w:t>
      </w:r>
      <w:proofErr w:type="spellStart"/>
      <w:r w:rsidRPr="00215C16">
        <w:t>Kreuter</w:t>
      </w:r>
      <w:proofErr w:type="spellEnd"/>
      <w:r w:rsidRPr="00215C16">
        <w:t xml:space="preserve">, F., </w:t>
      </w:r>
      <w:proofErr w:type="spellStart"/>
      <w:r w:rsidRPr="00215C16">
        <w:t>Modeling</w:t>
      </w:r>
      <w:proofErr w:type="spellEnd"/>
      <w:r w:rsidRPr="00215C16">
        <w:t xml:space="preserve"> nonresponse in establishment surveys: Using an ensemble tree model to create nonresponse propensity scores and detect potential bias in an agricultural survey, Journal of Official Statistics, 30 (2014), 701–719.</w:t>
      </w:r>
    </w:p>
    <w:p w14:paraId="53A14D9A" w14:textId="1729A366" w:rsidR="00BC1463" w:rsidRPr="00215C16" w:rsidRDefault="00171006" w:rsidP="002548E2">
      <w:pPr>
        <w:pStyle w:val="Text1"/>
        <w:numPr>
          <w:ilvl w:val="0"/>
          <w:numId w:val="20"/>
        </w:numPr>
        <w:ind w:left="357" w:hanging="357"/>
      </w:pPr>
      <w:r w:rsidRPr="00215C16">
        <w:lastRenderedPageBreak/>
        <w:t xml:space="preserve">Earp, M., </w:t>
      </w:r>
      <w:proofErr w:type="spellStart"/>
      <w:r w:rsidRPr="00215C16">
        <w:t>Toth</w:t>
      </w:r>
      <w:proofErr w:type="spellEnd"/>
      <w:r w:rsidRPr="00215C16">
        <w:t xml:space="preserve">, D., Phipps, P. and </w:t>
      </w:r>
      <w:proofErr w:type="spellStart"/>
      <w:r w:rsidRPr="00215C16">
        <w:t>Oslund</w:t>
      </w:r>
      <w:proofErr w:type="spellEnd"/>
      <w:r w:rsidRPr="00215C16">
        <w:t>, C., Assessing nonresponse in a longitudinal establishment survey using regression trees, Journal of Official</w:t>
      </w:r>
      <w:r w:rsidR="007A0375">
        <w:t xml:space="preserve"> </w:t>
      </w:r>
      <w:r w:rsidRPr="00215C16">
        <w:t>Statistics, 34 (2018), 463–481</w:t>
      </w:r>
    </w:p>
    <w:sectPr w:rsidR="00BC1463" w:rsidRPr="00215C16" w:rsidSect="00BC6AFE">
      <w:footerReference w:type="default" r:id="rId14"/>
      <w:headerReference w:type="first" r:id="rId15"/>
      <w:footerReference w:type="first" r:id="rId16"/>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B880F" w14:textId="77777777" w:rsidR="005A6D69" w:rsidRDefault="005A6D69" w:rsidP="00BC6AFE">
      <w:pPr>
        <w:spacing w:after="0"/>
      </w:pPr>
      <w:r>
        <w:separator/>
      </w:r>
    </w:p>
  </w:endnote>
  <w:endnote w:type="continuationSeparator" w:id="0">
    <w:p w14:paraId="7CD0CA9C" w14:textId="77777777" w:rsidR="005A6D69" w:rsidRDefault="005A6D69"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35E60" w14:textId="37DC812E" w:rsidR="00D24082" w:rsidRDefault="00D24082">
    <w:pPr>
      <w:pStyle w:val="Fuzeile"/>
      <w:jc w:val="center"/>
    </w:pPr>
    <w:r>
      <w:fldChar w:fldCharType="begin"/>
    </w:r>
    <w:r>
      <w:instrText>PAGE</w:instrText>
    </w:r>
    <w:r>
      <w:fldChar w:fldCharType="separate"/>
    </w:r>
    <w:r w:rsidR="00F71AD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71432" w14:textId="77777777" w:rsidR="00D24082" w:rsidRDefault="00D24082">
    <w:pPr>
      <w:pStyle w:val="Fuzeile"/>
      <w:rPr>
        <w:sz w:val="24"/>
        <w:szCs w:val="24"/>
      </w:rPr>
    </w:pPr>
  </w:p>
  <w:p w14:paraId="53CEAF7C" w14:textId="77777777" w:rsidR="00D24082" w:rsidRDefault="00D24082">
    <w:pPr>
      <w:pStyle w:val="Fuzeile"/>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3B2F0269" w14:textId="77777777" w:rsidR="00D24082" w:rsidRDefault="00D24082">
    <w:pPr>
      <w:pStyle w:val="Fuzeile"/>
    </w:pPr>
  </w:p>
  <w:p w14:paraId="157C523C" w14:textId="77777777" w:rsidR="00D24082" w:rsidRDefault="00D24082">
    <w:pPr>
      <w:pStyle w:val="Fuzeile"/>
    </w:pPr>
    <w:r>
      <w:t>http://epp.eurostat.ec.europa.eu</w:t>
    </w:r>
  </w:p>
  <w:p w14:paraId="5D6B8456" w14:textId="77777777" w:rsidR="00D24082" w:rsidRDefault="00D24082">
    <w:pPr>
      <w:pStyle w:val="Fuzeile"/>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B53C4" w14:textId="77777777" w:rsidR="005A6D69" w:rsidRDefault="005A6D69" w:rsidP="00BC6AFE">
      <w:pPr>
        <w:spacing w:after="0"/>
      </w:pPr>
      <w:r>
        <w:separator/>
      </w:r>
    </w:p>
  </w:footnote>
  <w:footnote w:type="continuationSeparator" w:id="0">
    <w:p w14:paraId="27FF9F2C" w14:textId="77777777" w:rsidR="005A6D69" w:rsidRDefault="005A6D69"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7E06E" w14:textId="77777777" w:rsidR="00D24082" w:rsidRDefault="00D24082">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ennummer5"/>
      <w:lvlText w:val="%1."/>
      <w:lvlJc w:val="left"/>
      <w:pPr>
        <w:tabs>
          <w:tab w:val="num" w:pos="9779"/>
        </w:tabs>
        <w:ind w:left="9779" w:hanging="360"/>
      </w:pPr>
    </w:lvl>
  </w:abstractNum>
  <w:abstractNum w:abstractNumId="1" w15:restartNumberingAfterBreak="0">
    <w:nsid w:val="FFFFFF80"/>
    <w:multiLevelType w:val="singleLevel"/>
    <w:tmpl w:val="1FA4565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ennumm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62685D"/>
    <w:multiLevelType w:val="singleLevel"/>
    <w:tmpl w:val="D96C95A2"/>
    <w:lvl w:ilvl="0">
      <w:start w:val="1"/>
      <w:numFmt w:val="bullet"/>
      <w:pStyle w:val="Aufzhlungszeichen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Aufzhlungszeichen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A2B7B1C"/>
    <w:multiLevelType w:val="hybridMultilevel"/>
    <w:tmpl w:val="1660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D5AD3"/>
    <w:multiLevelType w:val="singleLevel"/>
    <w:tmpl w:val="82EE6B70"/>
    <w:lvl w:ilvl="0">
      <w:start w:val="1"/>
      <w:numFmt w:val="bullet"/>
      <w:pStyle w:val="Aufzhlungszeichen2"/>
      <w:lvlText w:val=""/>
      <w:lvlJc w:val="left"/>
      <w:pPr>
        <w:tabs>
          <w:tab w:val="num" w:pos="1360"/>
        </w:tabs>
        <w:ind w:left="1360" w:hanging="283"/>
      </w:pPr>
      <w:rPr>
        <w:rFonts w:ascii="Symbol" w:hAnsi="Symbol"/>
      </w:rPr>
    </w:lvl>
  </w:abstractNum>
  <w:abstractNum w:abstractNumId="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428415E7"/>
    <w:multiLevelType w:val="multilevel"/>
    <w:tmpl w:val="92100ADA"/>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481EA4"/>
    <w:multiLevelType w:val="multilevel"/>
    <w:tmpl w:val="28525E6E"/>
    <w:lvl w:ilvl="0">
      <w:start w:val="1"/>
      <w:numFmt w:val="decimal"/>
      <w:pStyle w:val="Listennumm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860AAB"/>
    <w:multiLevelType w:val="multilevel"/>
    <w:tmpl w:val="E8744BD2"/>
    <w:lvl w:ilvl="0">
      <w:start w:val="1"/>
      <w:numFmt w:val="decimal"/>
      <w:pStyle w:val="Listennumm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432656"/>
    <w:multiLevelType w:val="multilevel"/>
    <w:tmpl w:val="AC885D7A"/>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600"/>
        </w:tabs>
        <w:ind w:left="600" w:hanging="600"/>
      </w:pPr>
    </w:lvl>
    <w:lvl w:ilvl="2">
      <w:start w:val="1"/>
      <w:numFmt w:val="decimal"/>
      <w:pStyle w:val="berschrift3"/>
      <w:lvlText w:val="%1.%2.%3."/>
      <w:lvlJc w:val="left"/>
      <w:pPr>
        <w:tabs>
          <w:tab w:val="num" w:pos="1920"/>
        </w:tabs>
        <w:ind w:left="1920" w:hanging="840"/>
      </w:pPr>
    </w:lvl>
    <w:lvl w:ilvl="3">
      <w:start w:val="1"/>
      <w:numFmt w:val="decimal"/>
      <w:pStyle w:val="berschrift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BD0BEC"/>
    <w:multiLevelType w:val="singleLevel"/>
    <w:tmpl w:val="72D6F376"/>
    <w:lvl w:ilvl="0">
      <w:start w:val="1"/>
      <w:numFmt w:val="bullet"/>
      <w:pStyle w:val="Aufzhlungszeichen"/>
      <w:lvlText w:val=""/>
      <w:lvlJc w:val="left"/>
      <w:pPr>
        <w:tabs>
          <w:tab w:val="num" w:pos="283"/>
        </w:tabs>
        <w:ind w:left="283" w:hanging="283"/>
      </w:pPr>
      <w:rPr>
        <w:rFonts w:ascii="Symbol" w:hAnsi="Symbol"/>
      </w:rPr>
    </w:lvl>
  </w:abstractNum>
  <w:abstractNum w:abstractNumId="1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4"/>
  </w:num>
  <w:num w:numId="4">
    <w:abstractNumId w:val="15"/>
  </w:num>
  <w:num w:numId="5">
    <w:abstractNumId w:val="9"/>
  </w:num>
  <w:num w:numId="6">
    <w:abstractNumId w:val="8"/>
  </w:num>
  <w:num w:numId="7">
    <w:abstractNumId w:val="5"/>
  </w:num>
  <w:num w:numId="8">
    <w:abstractNumId w:val="4"/>
  </w:num>
  <w:num w:numId="9">
    <w:abstractNumId w:val="16"/>
  </w:num>
  <w:num w:numId="10">
    <w:abstractNumId w:val="18"/>
  </w:num>
  <w:num w:numId="11">
    <w:abstractNumId w:val="17"/>
  </w:num>
  <w:num w:numId="12">
    <w:abstractNumId w:val="19"/>
  </w:num>
  <w:num w:numId="13">
    <w:abstractNumId w:val="6"/>
  </w:num>
  <w:num w:numId="14">
    <w:abstractNumId w:val="10"/>
  </w:num>
  <w:num w:numId="15">
    <w:abstractNumId w:val="12"/>
  </w:num>
  <w:num w:numId="16">
    <w:abstractNumId w:val="11"/>
  </w:num>
  <w:num w:numId="17">
    <w:abstractNumId w:val="2"/>
  </w:num>
  <w:num w:numId="18">
    <w:abstractNumId w:val="13"/>
  </w:num>
  <w:num w:numId="19">
    <w:abstractNumId w:val="14"/>
  </w:num>
  <w:num w:numId="20">
    <w:abstractNumId w:val="3"/>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D5502A"/>
    <w:rsid w:val="00042E08"/>
    <w:rsid w:val="000642A1"/>
    <w:rsid w:val="00066307"/>
    <w:rsid w:val="000F7438"/>
    <w:rsid w:val="000F745B"/>
    <w:rsid w:val="00127067"/>
    <w:rsid w:val="00171006"/>
    <w:rsid w:val="00181C2C"/>
    <w:rsid w:val="001857CF"/>
    <w:rsid w:val="001B50CE"/>
    <w:rsid w:val="001E1F09"/>
    <w:rsid w:val="001F0E03"/>
    <w:rsid w:val="002012A8"/>
    <w:rsid w:val="00215C16"/>
    <w:rsid w:val="00216A97"/>
    <w:rsid w:val="00243A2C"/>
    <w:rsid w:val="0024688D"/>
    <w:rsid w:val="00284CD8"/>
    <w:rsid w:val="002C3F0F"/>
    <w:rsid w:val="002E0D97"/>
    <w:rsid w:val="00332D6F"/>
    <w:rsid w:val="00334C2D"/>
    <w:rsid w:val="0036228E"/>
    <w:rsid w:val="00372FC1"/>
    <w:rsid w:val="00391434"/>
    <w:rsid w:val="003D30B8"/>
    <w:rsid w:val="004734EF"/>
    <w:rsid w:val="00483E73"/>
    <w:rsid w:val="00484A08"/>
    <w:rsid w:val="0049590D"/>
    <w:rsid w:val="004D6BDE"/>
    <w:rsid w:val="004F36C6"/>
    <w:rsid w:val="00573E28"/>
    <w:rsid w:val="005A6D69"/>
    <w:rsid w:val="005B4EA5"/>
    <w:rsid w:val="005B53DA"/>
    <w:rsid w:val="005C425F"/>
    <w:rsid w:val="005E5730"/>
    <w:rsid w:val="005E75BB"/>
    <w:rsid w:val="006312AF"/>
    <w:rsid w:val="006875D6"/>
    <w:rsid w:val="006C2A79"/>
    <w:rsid w:val="006E0D7A"/>
    <w:rsid w:val="00741CF0"/>
    <w:rsid w:val="0079167A"/>
    <w:rsid w:val="007A0375"/>
    <w:rsid w:val="007E14B1"/>
    <w:rsid w:val="00815E24"/>
    <w:rsid w:val="00820BDC"/>
    <w:rsid w:val="008847C3"/>
    <w:rsid w:val="008A75D0"/>
    <w:rsid w:val="008C332C"/>
    <w:rsid w:val="008E107B"/>
    <w:rsid w:val="008E29ED"/>
    <w:rsid w:val="008E2AAA"/>
    <w:rsid w:val="00912E8D"/>
    <w:rsid w:val="00923850"/>
    <w:rsid w:val="009851A3"/>
    <w:rsid w:val="009A41E5"/>
    <w:rsid w:val="009B2A2F"/>
    <w:rsid w:val="009B4EE0"/>
    <w:rsid w:val="009C1226"/>
    <w:rsid w:val="009C7FED"/>
    <w:rsid w:val="009F1FFA"/>
    <w:rsid w:val="009F276D"/>
    <w:rsid w:val="009F4C40"/>
    <w:rsid w:val="00A17E8C"/>
    <w:rsid w:val="00A66F5F"/>
    <w:rsid w:val="00A97F33"/>
    <w:rsid w:val="00AB4423"/>
    <w:rsid w:val="00AC5CEE"/>
    <w:rsid w:val="00AF4EA5"/>
    <w:rsid w:val="00B35D91"/>
    <w:rsid w:val="00B3641F"/>
    <w:rsid w:val="00B9492F"/>
    <w:rsid w:val="00BC1463"/>
    <w:rsid w:val="00BC17F5"/>
    <w:rsid w:val="00BC6AFE"/>
    <w:rsid w:val="00C3713B"/>
    <w:rsid w:val="00C92C47"/>
    <w:rsid w:val="00CA1AC3"/>
    <w:rsid w:val="00D067A1"/>
    <w:rsid w:val="00D24082"/>
    <w:rsid w:val="00D52EA1"/>
    <w:rsid w:val="00D5502A"/>
    <w:rsid w:val="00DB601E"/>
    <w:rsid w:val="00DD36DD"/>
    <w:rsid w:val="00DE2286"/>
    <w:rsid w:val="00E51582"/>
    <w:rsid w:val="00E87D2C"/>
    <w:rsid w:val="00EF6BF5"/>
    <w:rsid w:val="00F20FFC"/>
    <w:rsid w:val="00F36C5E"/>
    <w:rsid w:val="00F371F2"/>
    <w:rsid w:val="00F44C09"/>
    <w:rsid w:val="00F60780"/>
    <w:rsid w:val="00F6162F"/>
    <w:rsid w:val="00F64420"/>
    <w:rsid w:val="00F71ADF"/>
    <w:rsid w:val="00FA1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72F41B"/>
  <w15:chartTrackingRefBased/>
  <w15:docId w15:val="{7816FE56-46A3-48D2-91CA-EBC713CC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2EA1"/>
    <w:pPr>
      <w:spacing w:after="240"/>
      <w:jc w:val="both"/>
    </w:pPr>
    <w:rPr>
      <w:sz w:val="24"/>
      <w:lang w:eastAsia="en-US"/>
    </w:rPr>
  </w:style>
  <w:style w:type="paragraph" w:styleId="berschrift1">
    <w:name w:val="heading 1"/>
    <w:basedOn w:val="Standard"/>
    <w:next w:val="Text1"/>
    <w:link w:val="berschrift1Zchn"/>
    <w:qFormat/>
    <w:pPr>
      <w:keepNext/>
      <w:numPr>
        <w:numId w:val="3"/>
      </w:numPr>
      <w:spacing w:before="240"/>
      <w:outlineLvl w:val="0"/>
    </w:pPr>
    <w:rPr>
      <w:b/>
      <w:smallCaps/>
    </w:rPr>
  </w:style>
  <w:style w:type="paragraph" w:styleId="berschrift2">
    <w:name w:val="heading 2"/>
    <w:basedOn w:val="Standard"/>
    <w:next w:val="Text2"/>
    <w:link w:val="berschrift2Zchn"/>
    <w:qFormat/>
    <w:pPr>
      <w:keepNext/>
      <w:numPr>
        <w:ilvl w:val="1"/>
        <w:numId w:val="3"/>
      </w:numPr>
      <w:outlineLvl w:val="1"/>
    </w:pPr>
    <w:rPr>
      <w:b/>
    </w:rPr>
  </w:style>
  <w:style w:type="paragraph" w:styleId="berschrift3">
    <w:name w:val="heading 3"/>
    <w:basedOn w:val="Standard"/>
    <w:next w:val="Text3"/>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spacing w:before="240" w:after="60"/>
      <w:ind w:left="3332" w:hanging="708"/>
      <w:outlineLvl w:val="4"/>
    </w:pPr>
    <w:rPr>
      <w:rFonts w:ascii="Arial" w:hAnsi="Arial"/>
      <w:sz w:val="22"/>
    </w:rPr>
  </w:style>
  <w:style w:type="paragraph" w:styleId="berschrift6">
    <w:name w:val="heading 6"/>
    <w:basedOn w:val="Standard"/>
    <w:next w:val="Standard"/>
    <w:qFormat/>
    <w:pPr>
      <w:spacing w:before="240" w:after="60"/>
      <w:ind w:left="4040" w:hanging="708"/>
      <w:outlineLvl w:val="5"/>
    </w:pPr>
    <w:rPr>
      <w:rFonts w:ascii="Arial" w:hAnsi="Arial"/>
      <w:i/>
      <w:sz w:val="22"/>
    </w:rPr>
  </w:style>
  <w:style w:type="paragraph" w:styleId="berschrift7">
    <w:name w:val="heading 7"/>
    <w:basedOn w:val="Standard"/>
    <w:next w:val="Standard"/>
    <w:qFormat/>
    <w:pPr>
      <w:spacing w:before="240" w:after="60"/>
      <w:ind w:left="4748" w:hanging="708"/>
      <w:outlineLvl w:val="6"/>
    </w:pPr>
    <w:rPr>
      <w:rFonts w:ascii="Arial" w:hAnsi="Arial"/>
      <w:sz w:val="20"/>
    </w:rPr>
  </w:style>
  <w:style w:type="paragraph" w:styleId="berschrift8">
    <w:name w:val="heading 8"/>
    <w:basedOn w:val="Standard"/>
    <w:next w:val="Standard"/>
    <w:qFormat/>
    <w:pPr>
      <w:spacing w:before="240" w:after="60"/>
      <w:ind w:left="5456" w:hanging="708"/>
      <w:outlineLvl w:val="7"/>
    </w:pPr>
    <w:rPr>
      <w:rFonts w:ascii="Arial" w:hAnsi="Arial"/>
      <w:i/>
      <w:sz w:val="20"/>
    </w:rPr>
  </w:style>
  <w:style w:type="paragraph" w:styleId="berschrift9">
    <w:name w:val="heading 9"/>
    <w:basedOn w:val="Standard"/>
    <w:next w:val="Standard"/>
    <w:qFormat/>
    <w:pPr>
      <w:spacing w:before="240" w:after="60"/>
      <w:ind w:left="6164" w:hanging="708"/>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160"/>
      </w:tabs>
      <w:ind w:left="1077"/>
    </w:pPr>
  </w:style>
  <w:style w:type="paragraph" w:customStyle="1" w:styleId="Text3">
    <w:name w:val="Text 3"/>
    <w:basedOn w:val="Standard"/>
    <w:pPr>
      <w:tabs>
        <w:tab w:val="left" w:pos="2302"/>
      </w:tabs>
      <w:ind w:left="1916"/>
    </w:pPr>
  </w:style>
  <w:style w:type="paragraph" w:customStyle="1" w:styleId="Text4">
    <w:name w:val="Text 4"/>
    <w:basedOn w:val="Standard"/>
    <w:pPr>
      <w:ind w:left="2880"/>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styleId="Gruformel">
    <w:name w:val="Closing"/>
    <w:basedOn w:val="Standard"/>
    <w:next w:val="Unterschrift"/>
    <w:pPr>
      <w:tabs>
        <w:tab w:val="left" w:pos="5103"/>
      </w:tabs>
      <w:spacing w:before="240"/>
      <w:ind w:left="5103"/>
      <w:jc w:val="left"/>
    </w:pPr>
  </w:style>
  <w:style w:type="paragraph" w:styleId="Unterschrift">
    <w:name w:val="Signature"/>
    <w:basedOn w:val="Standard"/>
    <w:next w:val="Contact"/>
    <w:link w:val="UnterschriftZchn"/>
    <w:uiPriority w:val="99"/>
    <w:pPr>
      <w:tabs>
        <w:tab w:val="left" w:pos="5103"/>
      </w:tabs>
      <w:spacing w:before="1200" w:after="0"/>
      <w:ind w:left="5103"/>
      <w:jc w:val="center"/>
    </w:pPr>
  </w:style>
  <w:style w:type="paragraph" w:customStyle="1" w:styleId="Enclosures">
    <w:name w:val="Enclosures"/>
    <w:basedOn w:val="Standard"/>
    <w:next w:val="Participants"/>
    <w:pPr>
      <w:keepNext/>
      <w:keepLines/>
      <w:tabs>
        <w:tab w:val="left" w:pos="5670"/>
      </w:tabs>
      <w:spacing w:before="480" w:after="0"/>
      <w:ind w:left="1985" w:hanging="1985"/>
      <w:jc w:val="left"/>
    </w:pPr>
  </w:style>
  <w:style w:type="paragraph" w:customStyle="1" w:styleId="Participants">
    <w:name w:val="Participants"/>
    <w:basedOn w:val="Standard"/>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Standard"/>
    <w:next w:val="Standard"/>
    <w:pPr>
      <w:tabs>
        <w:tab w:val="left" w:pos="2552"/>
        <w:tab w:val="left" w:pos="2835"/>
        <w:tab w:val="left" w:pos="5670"/>
        <w:tab w:val="left" w:pos="6379"/>
        <w:tab w:val="left" w:pos="6804"/>
      </w:tabs>
      <w:spacing w:before="480" w:after="0"/>
      <w:ind w:left="1985" w:hanging="1985"/>
      <w:jc w:val="left"/>
    </w:pPr>
  </w:style>
  <w:style w:type="paragraph" w:styleId="Kommentartext">
    <w:name w:val="annotation text"/>
    <w:basedOn w:val="Standard"/>
    <w:link w:val="KommentartextZchn"/>
    <w:semiHidden/>
    <w:rPr>
      <w:sz w:val="20"/>
    </w:rPr>
  </w:style>
  <w:style w:type="paragraph" w:styleId="Datum">
    <w:name w:val="Date"/>
    <w:basedOn w:val="Standard"/>
    <w:next w:val="References"/>
    <w:link w:val="DatumZchn"/>
    <w:uiPriority w:val="99"/>
    <w:pPr>
      <w:spacing w:after="0"/>
      <w:ind w:left="5103" w:right="-567"/>
      <w:jc w:val="left"/>
    </w:pPr>
  </w:style>
  <w:style w:type="paragraph" w:customStyle="1" w:styleId="References">
    <w:name w:val="References"/>
    <w:basedOn w:val="Standard"/>
    <w:next w:val="AddressTR"/>
    <w:uiPriority w:val="99"/>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Contact"/>
    <w:pPr>
      <w:tabs>
        <w:tab w:val="left" w:pos="5103"/>
      </w:tabs>
      <w:spacing w:before="1200" w:after="0"/>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rPr>
  </w:style>
  <w:style w:type="paragraph" w:styleId="Funotentext">
    <w:name w:val="footnote text"/>
    <w:basedOn w:val="Standard"/>
    <w:semiHidden/>
    <w:pPr>
      <w:ind w:left="357" w:hanging="357"/>
    </w:pPr>
    <w:rPr>
      <w:sz w:val="20"/>
    </w:rPr>
  </w:style>
  <w:style w:type="paragraph" w:styleId="Kopfzeile">
    <w:name w:val="header"/>
    <w:basedOn w:val="Standard"/>
    <w:link w:val="KopfzeileZchn"/>
    <w:uiPriority w:val="99"/>
    <w:pPr>
      <w:tabs>
        <w:tab w:val="center" w:pos="4153"/>
        <w:tab w:val="right" w:pos="8306"/>
      </w:tabs>
    </w:p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160"/>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160"/>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pPr>
      <w:ind w:left="720"/>
    </w:p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titel">
    <w:name w:val="Subtitle"/>
    <w:basedOn w:val="Standard"/>
    <w:qFormat/>
    <w:pPr>
      <w:spacing w:after="60"/>
      <w:jc w:val="center"/>
      <w:outlineLvl w:val="1"/>
    </w:pPr>
    <w:rPr>
      <w:rFonts w:ascii="Arial" w:hAnsi="Arial"/>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qFormat/>
    <w:pPr>
      <w:spacing w:before="240" w:after="60"/>
      <w:jc w:val="center"/>
      <w:outlineLvl w:val="0"/>
    </w:pPr>
    <w:rPr>
      <w:rFonts w:ascii="Arial" w:hAnsi="Arial"/>
      <w:b/>
      <w:kern w:val="28"/>
      <w:sz w:val="32"/>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Enclosures"/>
    <w:uiPriority w:val="99"/>
    <w:pPr>
      <w:spacing w:before="480" w:after="0"/>
      <w:ind w:left="567" w:hanging="567"/>
      <w:jc w:val="left"/>
    </w:pPr>
  </w:style>
  <w:style w:type="paragraph" w:customStyle="1" w:styleId="DisclaimerNotice">
    <w:name w:val="Disclaimer Notice"/>
    <w:basedOn w:val="Standard"/>
    <w:next w:val="AddressTR"/>
    <w:pPr>
      <w:ind w:left="5103"/>
      <w:jc w:val="left"/>
    </w:pPr>
    <w:rPr>
      <w:i/>
      <w:sz w:val="20"/>
    </w:rPr>
  </w:style>
  <w:style w:type="paragraph" w:customStyle="1" w:styleId="Disclaimer">
    <w:name w:val="Disclaimer"/>
    <w:basedOn w:val="Standard"/>
    <w:pPr>
      <w:keepLines/>
      <w:pBdr>
        <w:top w:val="single" w:sz="4" w:space="1" w:color="auto"/>
      </w:pBdr>
      <w:spacing w:before="480" w:after="0"/>
    </w:pPr>
    <w:rPr>
      <w:i/>
    </w:rPr>
  </w:style>
  <w:style w:type="character" w:styleId="BesuchterLink">
    <w:name w:val="FollowedHyperlink"/>
    <w:rPr>
      <w:color w:val="800080"/>
      <w:u w:val="single"/>
    </w:rPr>
  </w:style>
  <w:style w:type="paragraph" w:customStyle="1" w:styleId="DisclaimerSJ">
    <w:name w:val="Disclaimer_SJ"/>
    <w:basedOn w:val="Standard"/>
    <w:next w:val="Standard"/>
    <w:pPr>
      <w:spacing w:after="0"/>
    </w:pPr>
    <w:rPr>
      <w:rFonts w:ascii="Arial" w:hAnsi="Arial"/>
      <w:b/>
      <w:sz w:val="16"/>
    </w:rPr>
  </w:style>
  <w:style w:type="paragraph" w:customStyle="1" w:styleId="Designator">
    <w:name w:val="Designator"/>
    <w:basedOn w:val="Standard"/>
    <w:pPr>
      <w:spacing w:after="0"/>
      <w:jc w:val="center"/>
    </w:pPr>
    <w:rPr>
      <w:b/>
      <w:caps/>
      <w:sz w:val="32"/>
    </w:rPr>
  </w:style>
  <w:style w:type="paragraph" w:customStyle="1" w:styleId="Releasable">
    <w:name w:val="Releasable"/>
    <w:basedOn w:val="Standard"/>
    <w:qFormat/>
    <w:pPr>
      <w:spacing w:after="0"/>
      <w:jc w:val="center"/>
    </w:pPr>
    <w:rPr>
      <w:b/>
      <w:caps/>
      <w:sz w:val="32"/>
      <w:lang w:val="de-DE"/>
    </w:rPr>
  </w:style>
  <w:style w:type="paragraph" w:customStyle="1" w:styleId="RUE">
    <w:name w:val="RUE"/>
    <w:basedOn w:val="Standard"/>
    <w:pPr>
      <w:spacing w:after="0"/>
      <w:jc w:val="center"/>
    </w:pPr>
    <w:rPr>
      <w:b/>
      <w:caps/>
      <w:sz w:val="32"/>
      <w:bdr w:val="single" w:sz="18" w:space="0" w:color="auto"/>
      <w:lang w:val="de-DE"/>
    </w:rPr>
  </w:style>
  <w:style w:type="paragraph" w:customStyle="1" w:styleId="ConfidentialUE">
    <w:name w:val="Confidential UE"/>
    <w:basedOn w:val="Standard"/>
    <w:pPr>
      <w:spacing w:after="0"/>
      <w:jc w:val="center"/>
    </w:pPr>
    <w:rPr>
      <w:b/>
      <w:caps/>
      <w:sz w:val="32"/>
      <w:bdr w:val="single" w:sz="18" w:space="0" w:color="auto"/>
    </w:rPr>
  </w:style>
  <w:style w:type="paragraph" w:customStyle="1" w:styleId="TrsSecretUE">
    <w:name w:val="Très Secret UE"/>
    <w:basedOn w:val="Standard"/>
    <w:pPr>
      <w:spacing w:after="0"/>
      <w:jc w:val="center"/>
    </w:pPr>
    <w:rPr>
      <w:b/>
      <w:caps/>
      <w:color w:val="FF0000"/>
      <w:sz w:val="32"/>
      <w:bdr w:val="single" w:sz="18" w:space="0" w:color="FF0000"/>
    </w:rPr>
  </w:style>
  <w:style w:type="paragraph" w:customStyle="1" w:styleId="SecretUE">
    <w:name w:val="Secret UE"/>
    <w:basedOn w:val="Standard"/>
    <w:pPr>
      <w:spacing w:after="0"/>
      <w:jc w:val="center"/>
    </w:pPr>
    <w:rPr>
      <w:b/>
      <w:caps/>
      <w:color w:val="FF0000"/>
      <w:sz w:val="32"/>
      <w:bdr w:val="single" w:sz="18" w:space="0" w:color="FF0000"/>
    </w:rPr>
  </w:style>
  <w:style w:type="character" w:customStyle="1" w:styleId="FuzeileZchn">
    <w:name w:val="Fußzeile Zchn"/>
    <w:link w:val="Fuzeile"/>
    <w:uiPriority w:val="99"/>
    <w:rsid w:val="00BC6AFE"/>
    <w:rPr>
      <w:rFonts w:ascii="Arial" w:hAnsi="Arial"/>
      <w:sz w:val="16"/>
      <w:lang w:eastAsia="en-US"/>
    </w:rPr>
  </w:style>
  <w:style w:type="character" w:customStyle="1" w:styleId="DatumZchn">
    <w:name w:val="Datum Zchn"/>
    <w:link w:val="Datum"/>
    <w:uiPriority w:val="99"/>
    <w:rsid w:val="00BC6AFE"/>
    <w:rPr>
      <w:sz w:val="24"/>
      <w:lang w:eastAsia="en-US"/>
    </w:rPr>
  </w:style>
  <w:style w:type="character" w:customStyle="1" w:styleId="UnterschriftZchn">
    <w:name w:val="Unterschrift Zchn"/>
    <w:link w:val="Unterschrift"/>
    <w:uiPriority w:val="99"/>
    <w:rsid w:val="00BC6AFE"/>
    <w:rPr>
      <w:sz w:val="24"/>
      <w:lang w:eastAsia="en-US"/>
    </w:rPr>
  </w:style>
  <w:style w:type="paragraph" w:customStyle="1" w:styleId="ZCom">
    <w:name w:val="Z_Com"/>
    <w:basedOn w:val="Standard"/>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KopfzeileZchn">
    <w:name w:val="Kopfzeile Zchn"/>
    <w:link w:val="Kopfzeile"/>
    <w:uiPriority w:val="99"/>
    <w:rsid w:val="00BC6AFE"/>
    <w:rPr>
      <w:sz w:val="24"/>
      <w:lang w:eastAsia="en-US"/>
    </w:rPr>
  </w:style>
  <w:style w:type="character" w:customStyle="1" w:styleId="berschrift2Zchn">
    <w:name w:val="Überschrift 2 Zchn"/>
    <w:link w:val="berschrift2"/>
    <w:rsid w:val="00BC6AFE"/>
    <w:rPr>
      <w:b/>
      <w:sz w:val="24"/>
      <w:lang w:eastAsia="en-US"/>
    </w:rPr>
  </w:style>
  <w:style w:type="character" w:customStyle="1" w:styleId="berschrift1Zchn">
    <w:name w:val="Überschrift 1 Zchn"/>
    <w:link w:val="berschrift1"/>
    <w:rsid w:val="00BC6AFE"/>
    <w:rPr>
      <w:b/>
      <w:smallCaps/>
      <w:sz w:val="24"/>
      <w:lang w:eastAsia="en-US"/>
    </w:rPr>
  </w:style>
  <w:style w:type="table" w:styleId="Tabellenraster">
    <w:name w:val="Table Grid"/>
    <w:basedOn w:val="NormaleTabel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E1F09"/>
    <w:rPr>
      <w:color w:val="808080"/>
    </w:rPr>
  </w:style>
  <w:style w:type="character" w:styleId="Kommentarzeichen">
    <w:name w:val="annotation reference"/>
    <w:basedOn w:val="Absatz-Standardschriftart"/>
    <w:uiPriority w:val="99"/>
    <w:semiHidden/>
    <w:unhideWhenUsed/>
    <w:rsid w:val="00DE2286"/>
    <w:rPr>
      <w:sz w:val="16"/>
      <w:szCs w:val="16"/>
    </w:rPr>
  </w:style>
  <w:style w:type="paragraph" w:styleId="Kommentarthema">
    <w:name w:val="annotation subject"/>
    <w:basedOn w:val="Kommentartext"/>
    <w:next w:val="Kommentartext"/>
    <w:link w:val="KommentarthemaZchn"/>
    <w:uiPriority w:val="99"/>
    <w:semiHidden/>
    <w:unhideWhenUsed/>
    <w:rsid w:val="00DE2286"/>
    <w:rPr>
      <w:b/>
      <w:bCs/>
    </w:rPr>
  </w:style>
  <w:style w:type="character" w:customStyle="1" w:styleId="KommentartextZchn">
    <w:name w:val="Kommentartext Zchn"/>
    <w:basedOn w:val="Absatz-Standardschriftart"/>
    <w:link w:val="Kommentartext"/>
    <w:semiHidden/>
    <w:rsid w:val="00DE2286"/>
    <w:rPr>
      <w:lang w:eastAsia="en-US"/>
    </w:rPr>
  </w:style>
  <w:style w:type="character" w:customStyle="1" w:styleId="KommentarthemaZchn">
    <w:name w:val="Kommentarthema Zchn"/>
    <w:basedOn w:val="KommentartextZchn"/>
    <w:link w:val="Kommentarthema"/>
    <w:uiPriority w:val="99"/>
    <w:semiHidden/>
    <w:rsid w:val="00DE2286"/>
    <w:rPr>
      <w:b/>
      <w:bCs/>
      <w:lang w:eastAsia="en-US"/>
    </w:rPr>
  </w:style>
  <w:style w:type="paragraph" w:styleId="Sprechblasentext">
    <w:name w:val="Balloon Text"/>
    <w:basedOn w:val="Standard"/>
    <w:link w:val="SprechblasentextZchn"/>
    <w:uiPriority w:val="99"/>
    <w:semiHidden/>
    <w:unhideWhenUsed/>
    <w:rsid w:val="00DE2286"/>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228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086124">
      <w:bodyDiv w:val="1"/>
      <w:marLeft w:val="0"/>
      <w:marRight w:val="0"/>
      <w:marTop w:val="0"/>
      <w:marBottom w:val="0"/>
      <w:divBdr>
        <w:top w:val="none" w:sz="0" w:space="0" w:color="auto"/>
        <w:left w:val="none" w:sz="0" w:space="0" w:color="auto"/>
        <w:bottom w:val="none" w:sz="0" w:space="0" w:color="auto"/>
        <w:right w:val="none" w:sz="0" w:space="0" w:color="auto"/>
      </w:divBdr>
    </w:div>
    <w:div w:id="2066105466">
      <w:bodyDiv w:val="1"/>
      <w:marLeft w:val="0"/>
      <w:marRight w:val="0"/>
      <w:marTop w:val="0"/>
      <w:marBottom w:val="0"/>
      <w:divBdr>
        <w:top w:val="none" w:sz="0" w:space="0" w:color="auto"/>
        <w:left w:val="none" w:sz="0" w:space="0" w:color="auto"/>
        <w:bottom w:val="none" w:sz="0" w:space="0" w:color="auto"/>
        <w:right w:val="none" w:sz="0" w:space="0" w:color="auto"/>
      </w:divBdr>
      <w:divsChild>
        <w:div w:id="680667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FNE~1\AppData\Local\Temp\NTTS2021_Abstract_template-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C0781FBD-88EA-4788-AFF8-1B37DD21B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NTTS2021_Abstract_template-1.dot</Template>
  <TotalTime>0</TotalTime>
  <Pages>5</Pages>
  <Words>1545</Words>
  <Characters>8989</Characters>
  <Application>Microsoft Office Word</Application>
  <DocSecurity>0</DocSecurity>
  <PresentationFormat>Microsoft Word 14.0</PresentationFormat>
  <Lines>74</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KuefnerB001</dc:creator>
  <cp:keywords>EL4</cp:keywords>
  <cp:lastModifiedBy>Küfner Benjamin</cp:lastModifiedBy>
  <cp:revision>4</cp:revision>
  <cp:lastPrinted>2018-05-29T10:06:00Z</cp:lastPrinted>
  <dcterms:created xsi:type="dcterms:W3CDTF">2020-10-15T17:58:00Z</dcterms:created>
  <dcterms:modified xsi:type="dcterms:W3CDTF">2020-10-15T18:28:00Z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