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AD7FD" w14:textId="77777777" w:rsidR="00BC6AFE" w:rsidRDefault="00787AF3" w:rsidP="00BC6AFE">
      <w:pPr>
        <w:pStyle w:val="Title"/>
      </w:pPr>
      <w:r>
        <w:t>Distributional national accounts for household income and consumption</w:t>
      </w:r>
    </w:p>
    <w:p w14:paraId="7DACF260" w14:textId="77777777" w:rsidR="00243A2C" w:rsidRDefault="00243A2C" w:rsidP="00243A2C">
      <w:r w:rsidRPr="00243A2C">
        <w:rPr>
          <w:b/>
          <w:u w:val="single"/>
        </w:rPr>
        <w:t>Keywords</w:t>
      </w:r>
      <w:r w:rsidRPr="00243A2C">
        <w:rPr>
          <w:b/>
        </w:rPr>
        <w:t>:</w:t>
      </w:r>
      <w:r>
        <w:t xml:space="preserve"> </w:t>
      </w:r>
      <w:r w:rsidR="005C5D48">
        <w:t xml:space="preserve">Income, Consumption, </w:t>
      </w:r>
      <w:r w:rsidR="00787AF3">
        <w:t xml:space="preserve">Micro-macro conceptual link, Distributional </w:t>
      </w:r>
      <w:r w:rsidR="009E77E7">
        <w:t>national accounts</w:t>
      </w:r>
    </w:p>
    <w:p w14:paraId="6EDB5B89" w14:textId="77777777" w:rsidR="002012A8" w:rsidRDefault="002012A8" w:rsidP="002012A8">
      <w:pPr>
        <w:pStyle w:val="Heading1"/>
      </w:pPr>
      <w:r>
        <w:t>Introduction</w:t>
      </w:r>
    </w:p>
    <w:p w14:paraId="705390FA" w14:textId="5A752671" w:rsidR="0070169F" w:rsidRDefault="00A417E9" w:rsidP="0052287B">
      <w:r w:rsidRPr="00A417E9">
        <w:t xml:space="preserve">The European Commission has stressed the need to bring social indicators on a par with the EU reinforced macroeconomic governance. A key part of the strategy is the availability of harmonised statistics at EU level covering the distributional aspects of households’ Income, Consumption and Wealth (ICW). Such statistics will </w:t>
      </w:r>
      <w:r w:rsidR="000D7324">
        <w:t>help assess</w:t>
      </w:r>
      <w:r w:rsidR="00941FF9">
        <w:t>ing</w:t>
      </w:r>
      <w:r w:rsidRPr="00A417E9">
        <w:t xml:space="preserve"> the social impacts of economic policies and the econo</w:t>
      </w:r>
      <w:r>
        <w:t xml:space="preserve">mic impacts of social policies. </w:t>
      </w:r>
    </w:p>
    <w:p w14:paraId="50EDAA8D" w14:textId="139C30C2" w:rsidR="00921D21" w:rsidRDefault="0070169F" w:rsidP="0052287B">
      <w:r>
        <w:t>As</w:t>
      </w:r>
      <w:r w:rsidR="008F0AF4">
        <w:t xml:space="preserve"> policy makers show a particular interest into the reconciliation of micro data from social surveys with macroeconomic data available through the System of National Accounts</w:t>
      </w:r>
      <w:r>
        <w:t>, Eurostat is running a project that aims at compiling distributional national accounts for</w:t>
      </w:r>
      <w:r w:rsidR="007A5DCA">
        <w:t xml:space="preserve"> the h</w:t>
      </w:r>
      <w:r>
        <w:t>ousehold sector.</w:t>
      </w:r>
      <w:r w:rsidR="00C74FC6">
        <w:t xml:space="preserve"> In a first step, we compared the different income and consumption expenditure concepts and data collection practices of micro and macro data sources</w:t>
      </w:r>
      <w:r w:rsidR="00921D21">
        <w:t>,</w:t>
      </w:r>
      <w:r w:rsidR="00C74FC6">
        <w:t xml:space="preserve"> tryin</w:t>
      </w:r>
      <w:r w:rsidR="00921D21">
        <w:t xml:space="preserve">g to achieve </w:t>
      </w:r>
      <w:r w:rsidR="00C74FC6">
        <w:t>best possible corresp</w:t>
      </w:r>
      <w:r w:rsidR="00921D21">
        <w:t>o</w:t>
      </w:r>
      <w:r w:rsidR="00C74FC6">
        <w:t xml:space="preserve">ndance. Second, the data gap </w:t>
      </w:r>
      <w:r w:rsidR="00921D21">
        <w:t xml:space="preserve">was </w:t>
      </w:r>
      <w:r w:rsidR="00C74FC6">
        <w:t>quantified</w:t>
      </w:r>
      <w:r w:rsidR="00921D21">
        <w:t xml:space="preserve"> for all income</w:t>
      </w:r>
      <w:r w:rsidR="00292D50">
        <w:t xml:space="preserve"> [1]</w:t>
      </w:r>
      <w:r w:rsidR="00921D21">
        <w:t xml:space="preserve"> and consumption expenditure </w:t>
      </w:r>
      <w:r w:rsidR="00292D50">
        <w:t xml:space="preserve">[2] </w:t>
      </w:r>
      <w:r w:rsidR="00921D21">
        <w:t>items and possible explanations for the gaps were sought</w:t>
      </w:r>
      <w:r w:rsidR="00C74FC6">
        <w:t>.</w:t>
      </w:r>
      <w:r w:rsidR="00921D21">
        <w:t xml:space="preserve"> In a third step, we are now using </w:t>
      </w:r>
      <w:r w:rsidR="00921D21" w:rsidRPr="0043290B">
        <w:t>different methods for allocating the micro-macro gap</w:t>
      </w:r>
      <w:r w:rsidR="00921D21">
        <w:t xml:space="preserve"> for all EU countries i</w:t>
      </w:r>
      <w:r w:rsidR="00C74FC6">
        <w:t>n</w:t>
      </w:r>
      <w:r w:rsidR="00C74FC6" w:rsidRPr="0043290B">
        <w:t xml:space="preserve"> </w:t>
      </w:r>
      <w:r w:rsidR="00C74FC6">
        <w:t>a</w:t>
      </w:r>
      <w:r w:rsidR="00C74FC6" w:rsidRPr="0043290B">
        <w:t xml:space="preserve"> cent</w:t>
      </w:r>
      <w:r w:rsidR="00C74FC6">
        <w:t>ralised exercise</w:t>
      </w:r>
      <w:r w:rsidR="00921D21">
        <w:t>. We then assess the impact of the different methods used through a sensitivity analysis using several indicators.</w:t>
      </w:r>
      <w:r w:rsidR="004C56EF">
        <w:t xml:space="preserve"> </w:t>
      </w:r>
      <w:r w:rsidR="00921D21">
        <w:t>A number of countries chose to participate by reporting own results in a standardised template suggested by the OECD-Eurostat Expert Group on Disparities in a National Accounts framework (EG DNA).</w:t>
      </w:r>
      <w:r w:rsidR="004C56EF">
        <w:t xml:space="preserve"> </w:t>
      </w:r>
    </w:p>
    <w:p w14:paraId="09402B8F" w14:textId="250BF317" w:rsidR="00A417E9" w:rsidRDefault="00A417E9" w:rsidP="00A417E9">
      <w:r>
        <w:t xml:space="preserve">The current </w:t>
      </w:r>
      <w:r w:rsidR="0043290B">
        <w:t>paper</w:t>
      </w:r>
      <w:r>
        <w:t xml:space="preserve"> presents the approach applied in the Eurostat centrali</w:t>
      </w:r>
      <w:r w:rsidR="00414CB1">
        <w:t>s</w:t>
      </w:r>
      <w:r>
        <w:t>ed exercise.</w:t>
      </w:r>
    </w:p>
    <w:p w14:paraId="7DD3D494" w14:textId="77777777" w:rsidR="003C0CD4" w:rsidRDefault="00BC6AFE" w:rsidP="003C0CD4">
      <w:pPr>
        <w:pStyle w:val="Heading1"/>
      </w:pPr>
      <w:r>
        <w:t>Methods</w:t>
      </w:r>
    </w:p>
    <w:p w14:paraId="2DEB8446" w14:textId="7400BC52" w:rsidR="00A83F8B" w:rsidRDefault="009E77E7" w:rsidP="00A716CE">
      <w:pPr>
        <w:spacing w:before="100" w:beforeAutospacing="1" w:after="100" w:afterAutospacing="1"/>
        <w:rPr>
          <w:color w:val="000000"/>
          <w:lang w:eastAsia="fr-BE"/>
        </w:rPr>
      </w:pPr>
      <w:r w:rsidRPr="009E77E7">
        <w:rPr>
          <w:color w:val="000000"/>
          <w:lang w:eastAsia="fr-BE"/>
        </w:rPr>
        <w:t xml:space="preserve">The Eurostat centralised exercise aims at compiling experimental distributional </w:t>
      </w:r>
      <w:r w:rsidR="008C5B3F">
        <w:rPr>
          <w:color w:val="000000"/>
          <w:lang w:eastAsia="fr-BE"/>
        </w:rPr>
        <w:t>statistics</w:t>
      </w:r>
      <w:r w:rsidR="008C5B3F" w:rsidRPr="009E77E7">
        <w:rPr>
          <w:color w:val="000000"/>
          <w:lang w:eastAsia="fr-BE"/>
        </w:rPr>
        <w:t xml:space="preserve"> </w:t>
      </w:r>
      <w:r w:rsidRPr="009E77E7">
        <w:rPr>
          <w:color w:val="000000"/>
          <w:lang w:eastAsia="fr-BE"/>
        </w:rPr>
        <w:t xml:space="preserve">for household income and consumption, </w:t>
      </w:r>
      <w:r w:rsidR="006C4916">
        <w:rPr>
          <w:color w:val="000000"/>
          <w:lang w:eastAsia="fr-BE"/>
        </w:rPr>
        <w:t xml:space="preserve">by aligning aggregated micro data </w:t>
      </w:r>
      <w:r w:rsidRPr="009E77E7">
        <w:rPr>
          <w:color w:val="000000"/>
          <w:lang w:eastAsia="fr-BE"/>
        </w:rPr>
        <w:t xml:space="preserve">with </w:t>
      </w:r>
      <w:r w:rsidR="006C4916">
        <w:rPr>
          <w:color w:val="000000"/>
          <w:lang w:eastAsia="fr-BE"/>
        </w:rPr>
        <w:t>macro</w:t>
      </w:r>
      <w:r w:rsidR="008C5B3F">
        <w:rPr>
          <w:color w:val="000000"/>
          <w:lang w:eastAsia="fr-BE"/>
        </w:rPr>
        <w:t>economic</w:t>
      </w:r>
      <w:r w:rsidRPr="009E77E7">
        <w:rPr>
          <w:color w:val="000000"/>
          <w:lang w:eastAsia="fr-BE"/>
        </w:rPr>
        <w:t xml:space="preserve"> totals. It is based on sector accounts data as well as </w:t>
      </w:r>
      <w:r w:rsidR="00A716CE" w:rsidRPr="00A42FC6">
        <w:rPr>
          <w:color w:val="000000"/>
          <w:lang w:eastAsia="fr-BE"/>
        </w:rPr>
        <w:t>survey data for income (</w:t>
      </w:r>
      <w:r w:rsidR="00A716CE">
        <w:t>EU Statistics on Income and Living Conditions - EU-SILC</w:t>
      </w:r>
      <w:r w:rsidR="00A716CE" w:rsidRPr="00A42FC6">
        <w:rPr>
          <w:color w:val="000000"/>
          <w:lang w:eastAsia="fr-BE"/>
        </w:rPr>
        <w:t>) and consumption</w:t>
      </w:r>
      <w:r w:rsidR="00350C15">
        <w:rPr>
          <w:color w:val="000000"/>
          <w:lang w:eastAsia="fr-BE"/>
        </w:rPr>
        <w:t xml:space="preserve"> expenditure</w:t>
      </w:r>
      <w:r w:rsidR="00A716CE" w:rsidRPr="00A42FC6">
        <w:rPr>
          <w:color w:val="000000"/>
          <w:lang w:eastAsia="fr-BE"/>
        </w:rPr>
        <w:t xml:space="preserve"> </w:t>
      </w:r>
      <w:r w:rsidR="00A716CE">
        <w:rPr>
          <w:color w:val="000000"/>
          <w:lang w:eastAsia="fr-BE"/>
        </w:rPr>
        <w:t>(</w:t>
      </w:r>
      <w:r w:rsidR="00A716CE">
        <w:t>Household Budget Survey - HBS</w:t>
      </w:r>
      <w:r>
        <w:rPr>
          <w:color w:val="000000"/>
          <w:lang w:eastAsia="fr-BE"/>
        </w:rPr>
        <w:t>) available at Eurostat</w:t>
      </w:r>
      <w:r w:rsidR="00227F85">
        <w:rPr>
          <w:color w:val="000000"/>
          <w:lang w:eastAsia="fr-BE"/>
        </w:rPr>
        <w:t xml:space="preserve"> for the reference year 2015</w:t>
      </w:r>
      <w:r>
        <w:rPr>
          <w:color w:val="000000"/>
          <w:lang w:eastAsia="fr-BE"/>
        </w:rPr>
        <w:t xml:space="preserve">. </w:t>
      </w:r>
    </w:p>
    <w:p w14:paraId="428F247B" w14:textId="2D2B25DD" w:rsidR="006F1353" w:rsidRDefault="00A83F8B" w:rsidP="00A716CE">
      <w:pPr>
        <w:spacing w:before="100" w:beforeAutospacing="1" w:after="100" w:afterAutospacing="1"/>
        <w:rPr>
          <w:color w:val="000000"/>
          <w:lang w:eastAsia="fr-BE"/>
        </w:rPr>
      </w:pPr>
      <w:r>
        <w:rPr>
          <w:color w:val="000000"/>
          <w:lang w:eastAsia="fr-BE"/>
        </w:rPr>
        <w:t>First, we aggregate s</w:t>
      </w:r>
      <w:r w:rsidR="00350C15">
        <w:rPr>
          <w:color w:val="000000"/>
          <w:lang w:eastAsia="fr-BE"/>
        </w:rPr>
        <w:t>ome of the</w:t>
      </w:r>
      <w:r w:rsidR="00350C15" w:rsidRPr="00A42FC6">
        <w:rPr>
          <w:color w:val="000000"/>
          <w:lang w:eastAsia="fr-BE"/>
        </w:rPr>
        <w:t xml:space="preserve"> </w:t>
      </w:r>
      <w:r w:rsidR="00A716CE" w:rsidRPr="00A42FC6">
        <w:rPr>
          <w:color w:val="000000"/>
          <w:lang w:eastAsia="fr-BE"/>
        </w:rPr>
        <w:t xml:space="preserve">individual </w:t>
      </w:r>
      <w:r w:rsidR="009E77E7">
        <w:rPr>
          <w:color w:val="000000"/>
          <w:lang w:eastAsia="fr-BE"/>
        </w:rPr>
        <w:t xml:space="preserve">survey </w:t>
      </w:r>
      <w:r w:rsidR="00A716CE" w:rsidRPr="00A42FC6">
        <w:rPr>
          <w:color w:val="000000"/>
          <w:lang w:eastAsia="fr-BE"/>
        </w:rPr>
        <w:t xml:space="preserve">variables to achieve proper conceptual correspondence with the </w:t>
      </w:r>
      <w:r w:rsidR="00A716CE">
        <w:rPr>
          <w:color w:val="000000"/>
          <w:lang w:eastAsia="fr-BE"/>
        </w:rPr>
        <w:t>national accounts</w:t>
      </w:r>
      <w:r w:rsidR="00A716CE" w:rsidRPr="00A42FC6">
        <w:rPr>
          <w:color w:val="000000"/>
          <w:lang w:eastAsia="fr-BE"/>
        </w:rPr>
        <w:t xml:space="preserve"> </w:t>
      </w:r>
      <w:r w:rsidR="00A716CE">
        <w:rPr>
          <w:color w:val="000000"/>
          <w:lang w:eastAsia="fr-BE"/>
        </w:rPr>
        <w:t xml:space="preserve">(NA) </w:t>
      </w:r>
      <w:r w:rsidR="00A716CE" w:rsidRPr="00A42FC6">
        <w:rPr>
          <w:color w:val="000000"/>
          <w:lang w:eastAsia="fr-BE"/>
        </w:rPr>
        <w:t>items.</w:t>
      </w:r>
      <w:r w:rsidR="009E77E7">
        <w:rPr>
          <w:color w:val="000000"/>
          <w:lang w:eastAsia="fr-BE"/>
        </w:rPr>
        <w:t xml:space="preserve"> </w:t>
      </w:r>
      <w:r w:rsidR="00227F85">
        <w:rPr>
          <w:color w:val="000000"/>
          <w:lang w:eastAsia="fr-BE"/>
        </w:rPr>
        <w:t xml:space="preserve">As such, </w:t>
      </w:r>
      <w:r w:rsidR="00227F85" w:rsidRPr="00426A2B">
        <w:rPr>
          <w:color w:val="000000"/>
          <w:lang w:eastAsia="fr-BE"/>
        </w:rPr>
        <w:t xml:space="preserve">the </w:t>
      </w:r>
      <w:r w:rsidR="00227F85">
        <w:rPr>
          <w:color w:val="000000"/>
          <w:lang w:eastAsia="fr-BE"/>
        </w:rPr>
        <w:t>micro-macro conceptual link f</w:t>
      </w:r>
      <w:r w:rsidR="00227F85" w:rsidRPr="00426A2B">
        <w:rPr>
          <w:color w:val="000000"/>
          <w:lang w:eastAsia="fr-BE"/>
        </w:rPr>
        <w:t>or consumption</w:t>
      </w:r>
      <w:r w:rsidR="00227F85">
        <w:rPr>
          <w:color w:val="000000"/>
          <w:lang w:eastAsia="fr-BE"/>
        </w:rPr>
        <w:t xml:space="preserve"> is </w:t>
      </w:r>
      <w:r w:rsidR="008710FB">
        <w:rPr>
          <w:color w:val="000000"/>
          <w:lang w:eastAsia="fr-BE"/>
        </w:rPr>
        <w:t>near</w:t>
      </w:r>
      <w:r w:rsidR="00227F85">
        <w:rPr>
          <w:color w:val="000000"/>
          <w:lang w:eastAsia="fr-BE"/>
        </w:rPr>
        <w:t>ly based on the</w:t>
      </w:r>
      <w:r w:rsidR="00227F85" w:rsidRPr="00426A2B">
        <w:rPr>
          <w:color w:val="000000"/>
          <w:lang w:eastAsia="fr-BE"/>
        </w:rPr>
        <w:t xml:space="preserve"> twelve main COICOP categories</w:t>
      </w:r>
      <w:r w:rsidR="00227F85">
        <w:rPr>
          <w:color w:val="000000"/>
          <w:lang w:eastAsia="fr-BE"/>
        </w:rPr>
        <w:t xml:space="preserve">. </w:t>
      </w:r>
      <w:r w:rsidR="006F1353" w:rsidRPr="006F1353">
        <w:rPr>
          <w:color w:val="000000"/>
          <w:lang w:eastAsia="fr-BE"/>
        </w:rPr>
        <w:t xml:space="preserve">For disposable income, </w:t>
      </w:r>
      <w:r w:rsidR="00227F85">
        <w:rPr>
          <w:color w:val="000000"/>
          <w:lang w:eastAsia="fr-BE"/>
        </w:rPr>
        <w:t xml:space="preserve">however, </w:t>
      </w:r>
      <w:r w:rsidR="001F6B31">
        <w:rPr>
          <w:color w:val="000000"/>
          <w:lang w:eastAsia="fr-BE"/>
        </w:rPr>
        <w:t>significant</w:t>
      </w:r>
      <w:r w:rsidR="001F6B31" w:rsidRPr="006F1353">
        <w:rPr>
          <w:color w:val="000000"/>
          <w:lang w:eastAsia="fr-BE"/>
        </w:rPr>
        <w:t xml:space="preserve"> </w:t>
      </w:r>
      <w:r w:rsidR="006F1353" w:rsidRPr="006F1353">
        <w:rPr>
          <w:color w:val="000000"/>
          <w:lang w:eastAsia="fr-BE"/>
        </w:rPr>
        <w:t xml:space="preserve">conceptual differences between household surveys and national accounts </w:t>
      </w:r>
      <w:r w:rsidR="001F6B31">
        <w:rPr>
          <w:color w:val="000000"/>
          <w:lang w:eastAsia="fr-BE"/>
        </w:rPr>
        <w:t>remain for some items, even after best possible aggregation</w:t>
      </w:r>
      <w:r w:rsidR="006F1353">
        <w:rPr>
          <w:color w:val="000000"/>
          <w:lang w:eastAsia="fr-BE"/>
        </w:rPr>
        <w:t xml:space="preserve"> [</w:t>
      </w:r>
      <w:r w:rsidR="001F6B31">
        <w:rPr>
          <w:color w:val="000000"/>
          <w:lang w:eastAsia="fr-BE"/>
        </w:rPr>
        <w:t>3</w:t>
      </w:r>
      <w:r w:rsidR="006F1353">
        <w:rPr>
          <w:color w:val="000000"/>
          <w:lang w:eastAsia="fr-BE"/>
        </w:rPr>
        <w:t>]</w:t>
      </w:r>
      <w:r w:rsidR="006F1353" w:rsidRPr="006F1353">
        <w:rPr>
          <w:color w:val="000000"/>
          <w:lang w:eastAsia="fr-BE"/>
        </w:rPr>
        <w:t>.</w:t>
      </w:r>
    </w:p>
    <w:p w14:paraId="4186D14D" w14:textId="6EF572DD" w:rsidR="00CE0E2A" w:rsidRDefault="00A83F8B" w:rsidP="00CE0E2A">
      <w:pPr>
        <w:spacing w:before="100" w:beforeAutospacing="1" w:after="100" w:afterAutospacing="1"/>
        <w:rPr>
          <w:color w:val="000000"/>
          <w:lang w:eastAsia="fr-BE"/>
        </w:rPr>
      </w:pPr>
      <w:r>
        <w:rPr>
          <w:color w:val="000000"/>
          <w:lang w:eastAsia="fr-BE"/>
        </w:rPr>
        <w:t>Second, t</w:t>
      </w:r>
      <w:r w:rsidRPr="00A42FC6">
        <w:rPr>
          <w:color w:val="000000"/>
          <w:lang w:eastAsia="fr-BE"/>
        </w:rPr>
        <w:t xml:space="preserve">he </w:t>
      </w:r>
      <w:r w:rsidR="00CE0E2A">
        <w:rPr>
          <w:color w:val="000000"/>
          <w:lang w:eastAsia="fr-BE"/>
        </w:rPr>
        <w:t>national accounts</w:t>
      </w:r>
      <w:r w:rsidR="00CE0E2A" w:rsidRPr="00A42FC6">
        <w:rPr>
          <w:color w:val="000000"/>
          <w:lang w:eastAsia="fr-BE"/>
        </w:rPr>
        <w:t xml:space="preserve"> </w:t>
      </w:r>
      <w:r w:rsidR="00426A2B" w:rsidRPr="00A42FC6">
        <w:rPr>
          <w:color w:val="000000"/>
          <w:lang w:eastAsia="fr-BE"/>
        </w:rPr>
        <w:t xml:space="preserve">figures </w:t>
      </w:r>
      <w:r w:rsidR="000738ED">
        <w:rPr>
          <w:color w:val="000000"/>
          <w:lang w:eastAsia="fr-BE"/>
        </w:rPr>
        <w:t xml:space="preserve">are </w:t>
      </w:r>
      <w:r w:rsidR="00426A2B" w:rsidRPr="00A42FC6">
        <w:rPr>
          <w:color w:val="000000"/>
          <w:lang w:eastAsia="fr-BE"/>
        </w:rPr>
        <w:t>adjusted by a country-specific factor to exclude the part of the household population that is not covered in the social surveys, such as institutional households.</w:t>
      </w:r>
      <w:r w:rsidR="001E07B0">
        <w:rPr>
          <w:color w:val="000000"/>
          <w:lang w:eastAsia="fr-BE"/>
        </w:rPr>
        <w:t xml:space="preserve"> </w:t>
      </w:r>
      <w:r w:rsidR="00CE0E2A">
        <w:rPr>
          <w:color w:val="000000"/>
          <w:lang w:eastAsia="fr-BE"/>
        </w:rPr>
        <w:t xml:space="preserve">Then, </w:t>
      </w:r>
      <w:r w:rsidR="009B06F4">
        <w:rPr>
          <w:color w:val="000000"/>
          <w:lang w:eastAsia="fr-BE"/>
        </w:rPr>
        <w:t xml:space="preserve">we cluster the households </w:t>
      </w:r>
      <w:r w:rsidR="009B06F4" w:rsidRPr="00A42FC6">
        <w:rPr>
          <w:color w:val="000000"/>
          <w:lang w:eastAsia="fr-BE"/>
        </w:rPr>
        <w:t xml:space="preserve">into household groups by income quintile, on the basis of equivalized </w:t>
      </w:r>
      <w:r w:rsidR="009B06F4">
        <w:rPr>
          <w:color w:val="000000"/>
          <w:lang w:eastAsia="fr-BE"/>
        </w:rPr>
        <w:t xml:space="preserve">total </w:t>
      </w:r>
      <w:r w:rsidR="009B06F4" w:rsidRPr="00A42FC6">
        <w:rPr>
          <w:color w:val="000000"/>
          <w:lang w:eastAsia="fr-BE"/>
        </w:rPr>
        <w:t>disposable income</w:t>
      </w:r>
      <w:r w:rsidR="009B06F4">
        <w:rPr>
          <w:color w:val="000000"/>
          <w:lang w:eastAsia="fr-BE"/>
        </w:rPr>
        <w:t>, and</w:t>
      </w:r>
      <w:r w:rsidR="00CE0E2A">
        <w:rPr>
          <w:color w:val="000000"/>
          <w:lang w:eastAsia="fr-BE"/>
        </w:rPr>
        <w:t xml:space="preserve"> quantify the </w:t>
      </w:r>
      <w:r w:rsidR="005E7284">
        <w:rPr>
          <w:color w:val="000000"/>
          <w:lang w:eastAsia="fr-BE"/>
        </w:rPr>
        <w:t xml:space="preserve">gap between </w:t>
      </w:r>
      <w:r w:rsidR="00CE0E2A" w:rsidRPr="00F44F97">
        <w:rPr>
          <w:szCs w:val="24"/>
        </w:rPr>
        <w:t xml:space="preserve">national accounts </w:t>
      </w:r>
      <w:r w:rsidR="00CE0E2A">
        <w:rPr>
          <w:szCs w:val="24"/>
        </w:rPr>
        <w:t>and micro data</w:t>
      </w:r>
      <w:r w:rsidR="00CE0E2A">
        <w:rPr>
          <w:color w:val="000000"/>
          <w:lang w:eastAsia="fr-BE"/>
        </w:rPr>
        <w:t xml:space="preserve"> </w:t>
      </w:r>
      <w:r w:rsidR="00CE0E2A" w:rsidRPr="00F44F97">
        <w:rPr>
          <w:szCs w:val="24"/>
        </w:rPr>
        <w:t>totals</w:t>
      </w:r>
      <w:r w:rsidR="00CE0E2A" w:rsidDel="00CE0E2A">
        <w:rPr>
          <w:color w:val="000000"/>
          <w:lang w:eastAsia="fr-BE"/>
        </w:rPr>
        <w:t xml:space="preserve"> </w:t>
      </w:r>
      <w:r w:rsidR="00CE0E2A">
        <w:rPr>
          <w:color w:val="000000"/>
          <w:lang w:eastAsia="fr-BE"/>
        </w:rPr>
        <w:t>for each income and consumption item.</w:t>
      </w:r>
    </w:p>
    <w:p w14:paraId="5603CCCA" w14:textId="045E55E6" w:rsidR="00CE0E2A" w:rsidRDefault="00CE0E2A" w:rsidP="00CE0E2A">
      <w:pPr>
        <w:spacing w:before="100" w:beforeAutospacing="1" w:after="100" w:afterAutospacing="1"/>
        <w:rPr>
          <w:szCs w:val="24"/>
        </w:rPr>
      </w:pPr>
      <w:r>
        <w:rPr>
          <w:color w:val="000000"/>
          <w:lang w:eastAsia="fr-BE"/>
        </w:rPr>
        <w:lastRenderedPageBreak/>
        <w:t>Fo</w:t>
      </w:r>
      <w:r w:rsidR="00983126">
        <w:rPr>
          <w:color w:val="000000"/>
          <w:lang w:eastAsia="fr-BE"/>
        </w:rPr>
        <w:t>r closing the gap, we identify</w:t>
      </w:r>
      <w:r>
        <w:rPr>
          <w:color w:val="000000"/>
          <w:lang w:eastAsia="fr-BE"/>
        </w:rPr>
        <w:t xml:space="preserve"> </w:t>
      </w:r>
      <w:r>
        <w:rPr>
          <w:szCs w:val="24"/>
        </w:rPr>
        <w:t>t</w:t>
      </w:r>
      <w:r w:rsidRPr="00F44F97">
        <w:rPr>
          <w:szCs w:val="24"/>
        </w:rPr>
        <w:t xml:space="preserve">he </w:t>
      </w:r>
      <w:r w:rsidR="00426A2B" w:rsidRPr="00F44F97">
        <w:rPr>
          <w:szCs w:val="24"/>
        </w:rPr>
        <w:t>following methods</w:t>
      </w:r>
      <w:r>
        <w:rPr>
          <w:szCs w:val="24"/>
        </w:rPr>
        <w:t>:</w:t>
      </w:r>
    </w:p>
    <w:tbl>
      <w:tblPr>
        <w:tblStyle w:val="TableGrid"/>
        <w:tblW w:w="0" w:type="auto"/>
        <w:tblLook w:val="04A0" w:firstRow="1" w:lastRow="0" w:firstColumn="1" w:lastColumn="0" w:noHBand="0" w:noVBand="1"/>
      </w:tblPr>
      <w:tblGrid>
        <w:gridCol w:w="2660"/>
        <w:gridCol w:w="3176"/>
        <w:gridCol w:w="2919"/>
      </w:tblGrid>
      <w:tr w:rsidR="00A83F8B" w14:paraId="5424EB27" w14:textId="77777777" w:rsidTr="0089061C">
        <w:tc>
          <w:tcPr>
            <w:tcW w:w="2660" w:type="dxa"/>
          </w:tcPr>
          <w:p w14:paraId="66FDDD6E" w14:textId="43F7EB25" w:rsidR="00A83F8B" w:rsidRDefault="00A83F8B" w:rsidP="00CE0E2A">
            <w:pPr>
              <w:spacing w:before="100" w:beforeAutospacing="1" w:after="100" w:afterAutospacing="1"/>
              <w:rPr>
                <w:szCs w:val="24"/>
              </w:rPr>
            </w:pPr>
            <w:r>
              <w:rPr>
                <w:szCs w:val="24"/>
              </w:rPr>
              <w:t>Method</w:t>
            </w:r>
          </w:p>
        </w:tc>
        <w:tc>
          <w:tcPr>
            <w:tcW w:w="3176" w:type="dxa"/>
          </w:tcPr>
          <w:p w14:paraId="3424A9AA" w14:textId="6E53F094" w:rsidR="00A83F8B" w:rsidRDefault="00A83F8B" w:rsidP="00CE0E2A">
            <w:pPr>
              <w:spacing w:before="100" w:beforeAutospacing="1" w:after="100" w:afterAutospacing="1"/>
              <w:rPr>
                <w:szCs w:val="24"/>
              </w:rPr>
            </w:pPr>
            <w:r>
              <w:rPr>
                <w:szCs w:val="24"/>
              </w:rPr>
              <w:t>Description</w:t>
            </w:r>
          </w:p>
        </w:tc>
        <w:tc>
          <w:tcPr>
            <w:tcW w:w="2919" w:type="dxa"/>
          </w:tcPr>
          <w:p w14:paraId="7D8DBD64" w14:textId="4CF0F1F3" w:rsidR="00A83F8B" w:rsidRDefault="00482581" w:rsidP="00CE0E2A">
            <w:pPr>
              <w:spacing w:before="100" w:beforeAutospacing="1" w:after="100" w:afterAutospacing="1"/>
              <w:rPr>
                <w:szCs w:val="24"/>
              </w:rPr>
            </w:pPr>
            <w:r>
              <w:rPr>
                <w:szCs w:val="24"/>
              </w:rPr>
              <w:t>Assumption</w:t>
            </w:r>
          </w:p>
        </w:tc>
      </w:tr>
      <w:tr w:rsidR="00A83F8B" w14:paraId="04BF49DA" w14:textId="77777777" w:rsidTr="0089061C">
        <w:tc>
          <w:tcPr>
            <w:tcW w:w="2660" w:type="dxa"/>
          </w:tcPr>
          <w:p w14:paraId="275E2B4F" w14:textId="74DC9E0E" w:rsidR="00A83F8B" w:rsidRDefault="00A83F8B" w:rsidP="0089061C">
            <w:pPr>
              <w:spacing w:before="100" w:beforeAutospacing="1" w:after="100" w:afterAutospacing="1"/>
              <w:jc w:val="left"/>
              <w:rPr>
                <w:szCs w:val="24"/>
              </w:rPr>
            </w:pPr>
            <w:r>
              <w:rPr>
                <w:color w:val="000000"/>
                <w:lang w:eastAsia="fr-BE"/>
              </w:rPr>
              <w:t xml:space="preserve">(i) </w:t>
            </w:r>
            <w:r w:rsidRPr="00A42FC6">
              <w:rPr>
                <w:color w:val="000000"/>
                <w:lang w:eastAsia="fr-BE"/>
              </w:rPr>
              <w:t>Simple proportional scaling</w:t>
            </w:r>
          </w:p>
        </w:tc>
        <w:tc>
          <w:tcPr>
            <w:tcW w:w="3176" w:type="dxa"/>
          </w:tcPr>
          <w:p w14:paraId="62B03E01" w14:textId="50AC4D1A" w:rsidR="00A83F8B" w:rsidRDefault="00A83F8B" w:rsidP="0089061C">
            <w:pPr>
              <w:spacing w:before="100" w:beforeAutospacing="1" w:after="100" w:afterAutospacing="1"/>
              <w:jc w:val="left"/>
              <w:rPr>
                <w:szCs w:val="24"/>
              </w:rPr>
            </w:pPr>
            <w:r w:rsidRPr="00A42FC6">
              <w:rPr>
                <w:color w:val="000000"/>
                <w:lang w:eastAsia="fr-BE"/>
              </w:rPr>
              <w:t>The entire gap is distributed proportionally to each household group, the micro data are uprated using the coefficient to reach the macro total.</w:t>
            </w:r>
          </w:p>
        </w:tc>
        <w:tc>
          <w:tcPr>
            <w:tcW w:w="2919" w:type="dxa"/>
          </w:tcPr>
          <w:p w14:paraId="1E479112" w14:textId="737176D2" w:rsidR="00A83F8B" w:rsidRDefault="00482581" w:rsidP="0089061C">
            <w:pPr>
              <w:spacing w:before="100" w:beforeAutospacing="1" w:after="100" w:afterAutospacing="1"/>
              <w:jc w:val="left"/>
              <w:rPr>
                <w:szCs w:val="24"/>
              </w:rPr>
            </w:pPr>
            <w:r>
              <w:rPr>
                <w:szCs w:val="24"/>
              </w:rPr>
              <w:t>T</w:t>
            </w:r>
            <w:r w:rsidR="00A83F8B">
              <w:rPr>
                <w:szCs w:val="24"/>
              </w:rPr>
              <w:t>he distribution found in the sample survey is close to the real distribution of the household population.</w:t>
            </w:r>
          </w:p>
        </w:tc>
      </w:tr>
      <w:tr w:rsidR="00A83F8B" w14:paraId="5A192D85" w14:textId="77777777" w:rsidTr="0089061C">
        <w:tc>
          <w:tcPr>
            <w:tcW w:w="2660" w:type="dxa"/>
          </w:tcPr>
          <w:p w14:paraId="3980E805" w14:textId="541EFF0B" w:rsidR="00A83F8B" w:rsidRPr="0089061C" w:rsidRDefault="00A83F8B" w:rsidP="0089061C">
            <w:pPr>
              <w:pStyle w:val="ListParagraph"/>
              <w:numPr>
                <w:ilvl w:val="0"/>
                <w:numId w:val="0"/>
              </w:numPr>
              <w:spacing w:before="100" w:beforeAutospacing="1"/>
              <w:jc w:val="left"/>
              <w:rPr>
                <w:color w:val="000000"/>
                <w:lang w:eastAsia="fr-BE"/>
              </w:rPr>
            </w:pPr>
            <w:r>
              <w:rPr>
                <w:color w:val="000000"/>
                <w:lang w:eastAsia="fr-BE"/>
              </w:rPr>
              <w:t xml:space="preserve">(ii) </w:t>
            </w:r>
            <w:r w:rsidRPr="00A42FC6">
              <w:rPr>
                <w:color w:val="000000"/>
                <w:lang w:eastAsia="fr-BE"/>
              </w:rPr>
              <w:t>Pareto tail modelling (complemented by proportional scalin</w:t>
            </w:r>
            <w:r w:rsidR="001F444A">
              <w:rPr>
                <w:color w:val="000000"/>
                <w:lang w:eastAsia="fr-BE"/>
              </w:rPr>
              <w:t>g</w:t>
            </w:r>
            <w:r w:rsidR="0089061C">
              <w:rPr>
                <w:color w:val="000000"/>
                <w:lang w:eastAsia="fr-BE"/>
              </w:rPr>
              <w:t>)</w:t>
            </w:r>
          </w:p>
        </w:tc>
        <w:tc>
          <w:tcPr>
            <w:tcW w:w="3176" w:type="dxa"/>
          </w:tcPr>
          <w:p w14:paraId="2151C7A8" w14:textId="5AE666B2" w:rsidR="00A83F8B" w:rsidRDefault="00A83F8B" w:rsidP="0089061C">
            <w:pPr>
              <w:spacing w:before="100" w:beforeAutospacing="1" w:after="100" w:afterAutospacing="1"/>
              <w:jc w:val="left"/>
              <w:rPr>
                <w:szCs w:val="24"/>
              </w:rPr>
            </w:pPr>
            <w:r>
              <w:rPr>
                <w:color w:val="000000"/>
                <w:lang w:eastAsia="fr-BE"/>
              </w:rPr>
              <w:t>The top 10% of households by income component are adjusted to follow a Pareto distribution.</w:t>
            </w:r>
            <w:r w:rsidRPr="00A42FC6">
              <w:rPr>
                <w:color w:val="000000"/>
                <w:lang w:eastAsia="fr-BE"/>
              </w:rPr>
              <w:t xml:space="preserve"> </w:t>
            </w:r>
            <w:r>
              <w:rPr>
                <w:color w:val="000000"/>
                <w:lang w:eastAsia="fr-BE"/>
              </w:rPr>
              <w:t xml:space="preserve">It follows steps 1-4 </w:t>
            </w:r>
            <w:r>
              <w:t xml:space="preserve">of the approach by </w:t>
            </w:r>
            <w:r w:rsidRPr="005E7284">
              <w:t>Törmälehto, V-M (2019)</w:t>
            </w:r>
            <w:r>
              <w:rPr>
                <w:color w:val="000000"/>
                <w:lang w:eastAsia="fr-BE"/>
              </w:rPr>
              <w:t xml:space="preserve"> [4]. T</w:t>
            </w:r>
            <w:r w:rsidRPr="00A42FC6">
              <w:rPr>
                <w:color w:val="000000"/>
                <w:lang w:eastAsia="fr-BE"/>
              </w:rPr>
              <w:t>he remaining gap by item is subsequently allocated to all households by simple proportional scaling to match the corresponding NA totals.</w:t>
            </w:r>
          </w:p>
        </w:tc>
        <w:tc>
          <w:tcPr>
            <w:tcW w:w="2919" w:type="dxa"/>
          </w:tcPr>
          <w:p w14:paraId="59654894" w14:textId="21DF78AF" w:rsidR="00A83F8B" w:rsidRDefault="00482581" w:rsidP="0089061C">
            <w:pPr>
              <w:spacing w:before="100" w:beforeAutospacing="1" w:after="100" w:afterAutospacing="1"/>
              <w:jc w:val="left"/>
              <w:rPr>
                <w:szCs w:val="24"/>
              </w:rPr>
            </w:pPr>
            <w:r>
              <w:rPr>
                <w:szCs w:val="24"/>
              </w:rPr>
              <w:t>The sample survey strongly underestimates the economic resources of households at the very top of the distribution.</w:t>
            </w:r>
          </w:p>
        </w:tc>
      </w:tr>
      <w:tr w:rsidR="00A83F8B" w14:paraId="3E6BF33C" w14:textId="77777777" w:rsidTr="0089061C">
        <w:tc>
          <w:tcPr>
            <w:tcW w:w="2660" w:type="dxa"/>
          </w:tcPr>
          <w:p w14:paraId="12F433D1" w14:textId="7D09E479" w:rsidR="00A83F8B" w:rsidRDefault="00A83F8B" w:rsidP="0089061C">
            <w:pPr>
              <w:spacing w:before="100" w:beforeAutospacing="1" w:after="100" w:afterAutospacing="1"/>
              <w:jc w:val="left"/>
              <w:rPr>
                <w:szCs w:val="24"/>
              </w:rPr>
            </w:pPr>
            <w:r>
              <w:rPr>
                <w:color w:val="000000"/>
                <w:lang w:eastAsia="fr-BE"/>
              </w:rPr>
              <w:t xml:space="preserve">(iii) </w:t>
            </w:r>
            <w:r w:rsidRPr="00A42FC6">
              <w:rPr>
                <w:color w:val="000000"/>
                <w:lang w:eastAsia="fr-BE"/>
              </w:rPr>
              <w:t xml:space="preserve">Allocation of </w:t>
            </w:r>
            <w:r>
              <w:rPr>
                <w:color w:val="000000"/>
                <w:lang w:eastAsia="fr-BE"/>
              </w:rPr>
              <w:t>ascending/descending</w:t>
            </w:r>
            <w:r w:rsidRPr="00A42FC6">
              <w:rPr>
                <w:color w:val="000000"/>
                <w:lang w:eastAsia="fr-BE"/>
              </w:rPr>
              <w:t xml:space="preserve"> shares by quintile</w:t>
            </w:r>
          </w:p>
        </w:tc>
        <w:tc>
          <w:tcPr>
            <w:tcW w:w="3176" w:type="dxa"/>
          </w:tcPr>
          <w:p w14:paraId="3D748D00" w14:textId="3130378D" w:rsidR="00A83F8B" w:rsidRDefault="00A83F8B" w:rsidP="0089061C">
            <w:pPr>
              <w:spacing w:before="100" w:beforeAutospacing="1" w:after="100" w:afterAutospacing="1"/>
              <w:jc w:val="left"/>
              <w:rPr>
                <w:szCs w:val="24"/>
              </w:rPr>
            </w:pPr>
            <w:r>
              <w:rPr>
                <w:color w:val="000000"/>
                <w:lang w:eastAsia="fr-BE"/>
              </w:rPr>
              <w:t>This includes</w:t>
            </w:r>
            <w:r w:rsidRPr="00A42FC6">
              <w:rPr>
                <w:color w:val="000000"/>
                <w:lang w:eastAsia="fr-BE"/>
              </w:rPr>
              <w:t xml:space="preserve"> ‘to-the-top’ allocation: gap shares 0%, 10%, 20%, 30%, 40% to Q1, Q2, Q3, Q4, Q5 accordingly; and ‘to-the-bottom’ allocation: gap shares 40%, 30%, 20%, 10%, 0% to Q1, Q2, Q3, Q4, Q5 accordingly. The meso-level gaps are subsequently distributed across the underlying households.</w:t>
            </w:r>
          </w:p>
        </w:tc>
        <w:tc>
          <w:tcPr>
            <w:tcW w:w="2919" w:type="dxa"/>
          </w:tcPr>
          <w:p w14:paraId="3B521C0E" w14:textId="239E99D9" w:rsidR="00A83F8B" w:rsidRDefault="00482581" w:rsidP="0089061C">
            <w:pPr>
              <w:spacing w:before="100" w:beforeAutospacing="1" w:after="100" w:afterAutospacing="1"/>
              <w:jc w:val="left"/>
              <w:rPr>
                <w:szCs w:val="24"/>
              </w:rPr>
            </w:pPr>
            <w:r>
              <w:rPr>
                <w:szCs w:val="24"/>
              </w:rPr>
              <w:t>A linear under-/over-estimation of economic resources towards the top of the household distribution in the sample survey.</w:t>
            </w:r>
          </w:p>
        </w:tc>
      </w:tr>
      <w:tr w:rsidR="00A83F8B" w14:paraId="76842795" w14:textId="77777777" w:rsidTr="0089061C">
        <w:tc>
          <w:tcPr>
            <w:tcW w:w="2660" w:type="dxa"/>
          </w:tcPr>
          <w:p w14:paraId="7EA0E6A4" w14:textId="77777777" w:rsidR="00A83F8B" w:rsidRPr="00A42FC6" w:rsidRDefault="00A83F8B" w:rsidP="00A83F8B">
            <w:pPr>
              <w:pStyle w:val="ListParagraph"/>
              <w:numPr>
                <w:ilvl w:val="0"/>
                <w:numId w:val="0"/>
              </w:numPr>
              <w:spacing w:before="100" w:beforeAutospacing="1"/>
              <w:rPr>
                <w:color w:val="000000"/>
                <w:lang w:eastAsia="fr-BE"/>
              </w:rPr>
            </w:pPr>
            <w:r>
              <w:rPr>
                <w:color w:val="000000"/>
                <w:lang w:eastAsia="fr-BE"/>
              </w:rPr>
              <w:t xml:space="preserve">(iv) </w:t>
            </w:r>
            <w:r w:rsidRPr="00A42FC6">
              <w:rPr>
                <w:color w:val="000000"/>
                <w:lang w:eastAsia="fr-BE"/>
              </w:rPr>
              <w:t xml:space="preserve">Combined approach </w:t>
            </w:r>
          </w:p>
          <w:p w14:paraId="4E5F1ABD" w14:textId="77777777" w:rsidR="00A83F8B" w:rsidRDefault="00A83F8B" w:rsidP="0089061C">
            <w:pPr>
              <w:spacing w:before="100" w:beforeAutospacing="1" w:after="100" w:afterAutospacing="1"/>
              <w:jc w:val="left"/>
              <w:rPr>
                <w:szCs w:val="24"/>
              </w:rPr>
            </w:pPr>
          </w:p>
        </w:tc>
        <w:tc>
          <w:tcPr>
            <w:tcW w:w="3176" w:type="dxa"/>
          </w:tcPr>
          <w:p w14:paraId="3191AB9D" w14:textId="70D370EB" w:rsidR="00A83F8B" w:rsidRDefault="00A83F8B" w:rsidP="0089061C">
            <w:pPr>
              <w:spacing w:before="100" w:beforeAutospacing="1" w:after="100" w:afterAutospacing="1"/>
              <w:jc w:val="left"/>
              <w:rPr>
                <w:szCs w:val="24"/>
              </w:rPr>
            </w:pPr>
            <w:r>
              <w:rPr>
                <w:color w:val="000000"/>
                <w:lang w:eastAsia="fr-BE"/>
              </w:rPr>
              <w:t>The</w:t>
            </w:r>
            <w:r w:rsidRPr="00A42FC6">
              <w:rPr>
                <w:color w:val="000000"/>
                <w:lang w:eastAsia="fr-BE"/>
              </w:rPr>
              <w:t xml:space="preserve"> Pareto-based results </w:t>
            </w:r>
            <w:r w:rsidRPr="00754F31">
              <w:rPr>
                <w:color w:val="000000"/>
                <w:lang w:eastAsia="fr-BE"/>
              </w:rPr>
              <w:t xml:space="preserve">for ‘property income (received)’, ‘mixed income’ and ‘wealth taxes’ </w:t>
            </w:r>
            <w:r>
              <w:rPr>
                <w:color w:val="000000"/>
                <w:lang w:eastAsia="fr-BE"/>
              </w:rPr>
              <w:t>are</w:t>
            </w:r>
            <w:r w:rsidRPr="00754F31">
              <w:rPr>
                <w:color w:val="000000"/>
                <w:lang w:eastAsia="fr-BE"/>
              </w:rPr>
              <w:t xml:space="preserve"> combined with the proportionally scaled results for the other </w:t>
            </w:r>
            <w:r w:rsidR="00654A0A">
              <w:rPr>
                <w:color w:val="000000"/>
                <w:lang w:eastAsia="fr-BE"/>
              </w:rPr>
              <w:t>items</w:t>
            </w:r>
            <w:r w:rsidRPr="00754F31">
              <w:rPr>
                <w:color w:val="000000"/>
                <w:lang w:eastAsia="fr-BE"/>
              </w:rPr>
              <w:t xml:space="preserve"> into a disposable income aggregate</w:t>
            </w:r>
          </w:p>
        </w:tc>
        <w:tc>
          <w:tcPr>
            <w:tcW w:w="2919" w:type="dxa"/>
          </w:tcPr>
          <w:p w14:paraId="3C716F8A" w14:textId="4021FA25" w:rsidR="00A83F8B" w:rsidRDefault="00482581" w:rsidP="0089061C">
            <w:pPr>
              <w:spacing w:before="100" w:beforeAutospacing="1" w:after="100" w:afterAutospacing="1"/>
              <w:jc w:val="left"/>
              <w:rPr>
                <w:szCs w:val="24"/>
              </w:rPr>
            </w:pPr>
            <w:r>
              <w:rPr>
                <w:szCs w:val="24"/>
              </w:rPr>
              <w:t xml:space="preserve">The sample survey strongly underestimates property income, mixed income and wealth taxes of households at the very top of the distribution, whereas other income items are correctly estimated. </w:t>
            </w:r>
          </w:p>
        </w:tc>
      </w:tr>
    </w:tbl>
    <w:p w14:paraId="3F28D018" w14:textId="588278A4" w:rsidR="00CA728A" w:rsidRPr="00426A2B" w:rsidRDefault="009B06F4" w:rsidP="00CA728A">
      <w:pPr>
        <w:spacing w:before="100" w:beforeAutospacing="1" w:after="100" w:afterAutospacing="1"/>
        <w:rPr>
          <w:color w:val="000000"/>
          <w:lang w:eastAsia="fr-BE"/>
        </w:rPr>
      </w:pPr>
      <w:r>
        <w:rPr>
          <w:szCs w:val="24"/>
        </w:rPr>
        <w:t xml:space="preserve">All of these methods </w:t>
      </w:r>
      <w:r w:rsidR="00983126">
        <w:rPr>
          <w:szCs w:val="24"/>
        </w:rPr>
        <w:t>are</w:t>
      </w:r>
      <w:r>
        <w:rPr>
          <w:szCs w:val="24"/>
        </w:rPr>
        <w:t xml:space="preserve"> tentatively applied to income, while only methods (i) and (iii) </w:t>
      </w:r>
      <w:r w:rsidR="00983126">
        <w:rPr>
          <w:szCs w:val="24"/>
        </w:rPr>
        <w:t>are</w:t>
      </w:r>
      <w:r>
        <w:rPr>
          <w:szCs w:val="24"/>
        </w:rPr>
        <w:t xml:space="preserve"> deemed suitable for consumption.</w:t>
      </w:r>
      <w:r w:rsidR="00CA728A">
        <w:rPr>
          <w:szCs w:val="24"/>
        </w:rPr>
        <w:t xml:space="preserve"> </w:t>
      </w:r>
      <w:r w:rsidR="00CA728A" w:rsidRPr="00A42FC6">
        <w:rPr>
          <w:color w:val="000000"/>
          <w:lang w:eastAsia="fr-BE"/>
        </w:rPr>
        <w:t xml:space="preserve">In order to measure the impact of the different methods, </w:t>
      </w:r>
      <w:r w:rsidR="00CA728A">
        <w:rPr>
          <w:color w:val="000000"/>
          <w:lang w:eastAsia="fr-BE"/>
        </w:rPr>
        <w:t xml:space="preserve">a </w:t>
      </w:r>
      <w:r w:rsidR="00CA728A" w:rsidRPr="00A42FC6">
        <w:rPr>
          <w:color w:val="000000"/>
          <w:lang w:eastAsia="fr-BE"/>
        </w:rPr>
        <w:t xml:space="preserve">sensitivity analysis by means of </w:t>
      </w:r>
      <w:r w:rsidR="00CA728A">
        <w:rPr>
          <w:color w:val="000000"/>
          <w:lang w:eastAsia="fr-BE"/>
        </w:rPr>
        <w:t xml:space="preserve">the </w:t>
      </w:r>
      <w:r w:rsidR="00CA728A" w:rsidRPr="00A42FC6">
        <w:rPr>
          <w:color w:val="000000"/>
          <w:lang w:eastAsia="fr-BE"/>
        </w:rPr>
        <w:t xml:space="preserve">Gini coefficient and </w:t>
      </w:r>
      <w:r w:rsidR="00CA728A">
        <w:rPr>
          <w:color w:val="000000"/>
          <w:lang w:eastAsia="fr-BE"/>
        </w:rPr>
        <w:t xml:space="preserve">the </w:t>
      </w:r>
      <w:r w:rsidR="00CA728A" w:rsidRPr="00A42FC6">
        <w:rPr>
          <w:color w:val="000000"/>
          <w:lang w:eastAsia="fr-BE"/>
        </w:rPr>
        <w:t xml:space="preserve">Q5/Q1 ratio </w:t>
      </w:r>
      <w:r w:rsidR="00983126">
        <w:rPr>
          <w:color w:val="000000"/>
          <w:lang w:eastAsia="fr-BE"/>
        </w:rPr>
        <w:t>is applied</w:t>
      </w:r>
      <w:r w:rsidR="00CA728A" w:rsidRPr="00A42FC6">
        <w:rPr>
          <w:color w:val="000000"/>
          <w:lang w:eastAsia="fr-BE"/>
        </w:rPr>
        <w:t xml:space="preserve"> </w:t>
      </w:r>
      <w:r w:rsidR="00CA728A">
        <w:rPr>
          <w:color w:val="000000"/>
          <w:lang w:eastAsia="fr-BE"/>
        </w:rPr>
        <w:t>for each</w:t>
      </w:r>
      <w:r w:rsidR="00CA728A" w:rsidRPr="00A42FC6">
        <w:rPr>
          <w:color w:val="000000"/>
          <w:lang w:eastAsia="fr-BE"/>
        </w:rPr>
        <w:t xml:space="preserve"> item an</w:t>
      </w:r>
      <w:r w:rsidR="00CA728A">
        <w:rPr>
          <w:color w:val="000000"/>
          <w:lang w:eastAsia="fr-BE"/>
        </w:rPr>
        <w:t>d for total income/consumption.</w:t>
      </w:r>
    </w:p>
    <w:p w14:paraId="31E923CF" w14:textId="3A49F2AB" w:rsidR="00A716CE" w:rsidRDefault="00A716CE" w:rsidP="004C2FDC">
      <w:pPr>
        <w:pStyle w:val="ListParagraph"/>
        <w:numPr>
          <w:ilvl w:val="0"/>
          <w:numId w:val="0"/>
        </w:numPr>
        <w:spacing w:before="100" w:beforeAutospacing="1"/>
        <w:rPr>
          <w:color w:val="000000"/>
          <w:lang w:eastAsia="fr-BE"/>
        </w:rPr>
      </w:pPr>
    </w:p>
    <w:p w14:paraId="41EF4BC2" w14:textId="77777777" w:rsidR="001C4B75" w:rsidRPr="00A42FC6" w:rsidRDefault="001C4B75" w:rsidP="004C2FDC">
      <w:pPr>
        <w:pStyle w:val="ListParagraph"/>
        <w:numPr>
          <w:ilvl w:val="0"/>
          <w:numId w:val="0"/>
        </w:numPr>
        <w:spacing w:before="100" w:beforeAutospacing="1"/>
        <w:rPr>
          <w:color w:val="000000"/>
          <w:lang w:eastAsia="fr-BE"/>
        </w:rPr>
      </w:pPr>
    </w:p>
    <w:p w14:paraId="418DC3B0" w14:textId="77777777" w:rsidR="00BC6AFE" w:rsidRDefault="00BC6AFE" w:rsidP="00BC6AFE">
      <w:pPr>
        <w:pStyle w:val="Heading1"/>
      </w:pPr>
      <w:r>
        <w:lastRenderedPageBreak/>
        <w:t>Results</w:t>
      </w:r>
    </w:p>
    <w:p w14:paraId="6A05A9E0" w14:textId="103FA5FE" w:rsidR="009C200A" w:rsidRDefault="006756E2" w:rsidP="00426A2B">
      <w:pPr>
        <w:spacing w:before="100" w:beforeAutospacing="1" w:after="100" w:afterAutospacing="1"/>
        <w:rPr>
          <w:color w:val="000000"/>
          <w:lang w:eastAsia="fr-BE"/>
        </w:rPr>
      </w:pPr>
      <w:r>
        <w:rPr>
          <w:color w:val="000000"/>
          <w:lang w:eastAsia="fr-BE"/>
        </w:rPr>
        <w:t>As</w:t>
      </w:r>
      <w:r w:rsidRPr="006756E2">
        <w:rPr>
          <w:color w:val="000000"/>
          <w:lang w:eastAsia="fr-BE"/>
        </w:rPr>
        <w:t xml:space="preserve"> the nature of gap is unknown, the choice of the gap allocation method hides a considerable margin of uncertainty</w:t>
      </w:r>
      <w:r w:rsidR="0089061C">
        <w:rPr>
          <w:color w:val="000000"/>
          <w:lang w:eastAsia="fr-BE"/>
        </w:rPr>
        <w:t>.</w:t>
      </w:r>
      <w:r w:rsidR="0097554F">
        <w:rPr>
          <w:color w:val="000000"/>
          <w:lang w:eastAsia="fr-BE"/>
        </w:rPr>
        <w:t xml:space="preserve"> </w:t>
      </w:r>
      <w:r w:rsidR="001F444A">
        <w:rPr>
          <w:color w:val="000000"/>
          <w:lang w:eastAsia="fr-BE"/>
        </w:rPr>
        <w:t>As we had assumed</w:t>
      </w:r>
      <w:r w:rsidR="00143986">
        <w:rPr>
          <w:color w:val="000000"/>
          <w:lang w:eastAsia="fr-BE"/>
        </w:rPr>
        <w:t>,</w:t>
      </w:r>
      <w:r w:rsidR="009C200A">
        <w:rPr>
          <w:color w:val="000000"/>
          <w:lang w:eastAsia="fr-BE"/>
        </w:rPr>
        <w:t xml:space="preserve"> (i) </w:t>
      </w:r>
      <w:r w:rsidR="001F444A">
        <w:rPr>
          <w:color w:val="000000"/>
          <w:lang w:eastAsia="fr-BE"/>
        </w:rPr>
        <w:t xml:space="preserve">the </w:t>
      </w:r>
      <w:r w:rsidR="009C200A">
        <w:rPr>
          <w:color w:val="000000"/>
          <w:lang w:eastAsia="fr-BE"/>
        </w:rPr>
        <w:t>simple proportional method</w:t>
      </w:r>
      <w:r w:rsidR="00143986">
        <w:rPr>
          <w:color w:val="000000"/>
          <w:lang w:eastAsia="fr-BE"/>
        </w:rPr>
        <w:t xml:space="preserve"> preserve</w:t>
      </w:r>
      <w:r w:rsidR="009C200A">
        <w:rPr>
          <w:color w:val="000000"/>
          <w:lang w:eastAsia="fr-BE"/>
        </w:rPr>
        <w:t>s</w:t>
      </w:r>
      <w:r w:rsidR="00143986">
        <w:rPr>
          <w:color w:val="000000"/>
          <w:lang w:eastAsia="fr-BE"/>
        </w:rPr>
        <w:t xml:space="preserve"> the </w:t>
      </w:r>
      <w:r w:rsidR="009C200A">
        <w:rPr>
          <w:color w:val="000000"/>
          <w:lang w:eastAsia="fr-BE"/>
        </w:rPr>
        <w:t>original</w:t>
      </w:r>
      <w:r w:rsidR="00143986">
        <w:rPr>
          <w:color w:val="000000"/>
          <w:lang w:eastAsia="fr-BE"/>
        </w:rPr>
        <w:t xml:space="preserve"> </w:t>
      </w:r>
      <w:r w:rsidR="009C200A">
        <w:rPr>
          <w:color w:val="000000"/>
          <w:lang w:eastAsia="fr-BE"/>
        </w:rPr>
        <w:t xml:space="preserve">distribution from the survey data at the detailed level. When aggregated up to total disposable income, the inequality across households generally increases depending on the </w:t>
      </w:r>
      <w:r w:rsidR="001821F0">
        <w:rPr>
          <w:color w:val="000000"/>
          <w:lang w:eastAsia="fr-BE"/>
        </w:rPr>
        <w:t>household</w:t>
      </w:r>
      <w:r w:rsidR="009C200A">
        <w:rPr>
          <w:color w:val="000000"/>
          <w:lang w:eastAsia="fr-BE"/>
        </w:rPr>
        <w:t xml:space="preserve"> income composition and the size of the micro-macro gap by item. </w:t>
      </w:r>
      <w:r w:rsidR="001F444A">
        <w:rPr>
          <w:color w:val="000000"/>
          <w:lang w:eastAsia="fr-BE"/>
        </w:rPr>
        <w:t>As we had likewise expected</w:t>
      </w:r>
      <w:r w:rsidR="009C200A">
        <w:rPr>
          <w:color w:val="000000"/>
          <w:lang w:eastAsia="fr-BE"/>
        </w:rPr>
        <w:t>, (ii)</w:t>
      </w:r>
      <w:r w:rsidR="001F444A">
        <w:rPr>
          <w:color w:val="000000"/>
          <w:lang w:eastAsia="fr-BE"/>
        </w:rPr>
        <w:t xml:space="preserve"> the</w:t>
      </w:r>
      <w:r w:rsidR="009C200A">
        <w:rPr>
          <w:color w:val="000000"/>
          <w:lang w:eastAsia="fr-BE"/>
        </w:rPr>
        <w:t xml:space="preserve"> Pareto tail modelling drastically increases the inequality</w:t>
      </w:r>
      <w:r w:rsidR="001F444A">
        <w:rPr>
          <w:color w:val="000000"/>
          <w:lang w:eastAsia="fr-BE"/>
        </w:rPr>
        <w:t xml:space="preserve"> </w:t>
      </w:r>
      <w:r>
        <w:rPr>
          <w:color w:val="000000"/>
          <w:lang w:eastAsia="fr-BE"/>
        </w:rPr>
        <w:t xml:space="preserve">by targeting </w:t>
      </w:r>
      <w:r w:rsidR="001F444A">
        <w:rPr>
          <w:color w:val="000000"/>
          <w:lang w:eastAsia="fr-BE"/>
        </w:rPr>
        <w:t xml:space="preserve">only </w:t>
      </w:r>
      <w:r>
        <w:rPr>
          <w:color w:val="000000"/>
          <w:lang w:eastAsia="fr-BE"/>
        </w:rPr>
        <w:t>a small portion of the population</w:t>
      </w:r>
      <w:r w:rsidR="001F444A">
        <w:rPr>
          <w:color w:val="000000"/>
          <w:lang w:eastAsia="fr-BE"/>
        </w:rPr>
        <w:t>.</w:t>
      </w:r>
      <w:r w:rsidR="009C200A">
        <w:rPr>
          <w:color w:val="000000"/>
          <w:lang w:eastAsia="fr-BE"/>
        </w:rPr>
        <w:t xml:space="preserve"> </w:t>
      </w:r>
      <w:r w:rsidR="001F444A">
        <w:rPr>
          <w:color w:val="000000"/>
          <w:lang w:eastAsia="fr-BE"/>
        </w:rPr>
        <w:t>Applied to all income components, it</w:t>
      </w:r>
      <w:r w:rsidR="009C200A">
        <w:rPr>
          <w:color w:val="000000"/>
          <w:lang w:eastAsia="fr-BE"/>
        </w:rPr>
        <w:t xml:space="preserve"> is </w:t>
      </w:r>
      <w:r w:rsidR="001F444A">
        <w:rPr>
          <w:color w:val="000000"/>
          <w:lang w:eastAsia="fr-BE"/>
        </w:rPr>
        <w:t>a fairly</w:t>
      </w:r>
      <w:r w:rsidR="009C200A">
        <w:rPr>
          <w:color w:val="000000"/>
          <w:lang w:eastAsia="fr-BE"/>
        </w:rPr>
        <w:t xml:space="preserve"> extreme </w:t>
      </w:r>
      <w:r w:rsidR="0089061C">
        <w:rPr>
          <w:color w:val="000000"/>
          <w:lang w:eastAsia="fr-BE"/>
        </w:rPr>
        <w:t>scenario</w:t>
      </w:r>
      <w:r w:rsidR="009C200A">
        <w:rPr>
          <w:color w:val="000000"/>
          <w:lang w:eastAsia="fr-BE"/>
        </w:rPr>
        <w:t>.</w:t>
      </w:r>
      <w:r>
        <w:rPr>
          <w:color w:val="000000"/>
          <w:lang w:eastAsia="fr-BE"/>
        </w:rPr>
        <w:t xml:space="preserve"> </w:t>
      </w:r>
      <w:r w:rsidR="007369AC">
        <w:rPr>
          <w:color w:val="000000"/>
          <w:lang w:eastAsia="fr-BE"/>
        </w:rPr>
        <w:t>However, it proves appropriate for transactions that are concentrated in the top income population. The two sub-approaches of (iii) a</w:t>
      </w:r>
      <w:r w:rsidR="007369AC" w:rsidRPr="00A42FC6">
        <w:rPr>
          <w:color w:val="000000"/>
          <w:lang w:eastAsia="fr-BE"/>
        </w:rPr>
        <w:t xml:space="preserve">llocation of </w:t>
      </w:r>
      <w:r w:rsidR="007369AC">
        <w:rPr>
          <w:color w:val="000000"/>
          <w:lang w:eastAsia="fr-BE"/>
        </w:rPr>
        <w:t>ascending/descending</w:t>
      </w:r>
      <w:r w:rsidR="007369AC" w:rsidRPr="00A42FC6">
        <w:rPr>
          <w:color w:val="000000"/>
          <w:lang w:eastAsia="fr-BE"/>
        </w:rPr>
        <w:t xml:space="preserve"> shares by quintile</w:t>
      </w:r>
      <w:r w:rsidR="007369AC">
        <w:rPr>
          <w:color w:val="000000"/>
          <w:lang w:eastAsia="fr-BE"/>
        </w:rPr>
        <w:t xml:space="preserve"> are less marginal and produce contrasting </w:t>
      </w:r>
      <w:r w:rsidR="00214F2B">
        <w:rPr>
          <w:color w:val="000000"/>
          <w:lang w:eastAsia="fr-BE"/>
        </w:rPr>
        <w:t xml:space="preserve">results in terms of inequality. Despite the </w:t>
      </w:r>
      <w:r w:rsidR="00214F2B" w:rsidRPr="00214F2B">
        <w:rPr>
          <w:color w:val="000000"/>
          <w:lang w:eastAsia="fr-BE"/>
        </w:rPr>
        <w:t xml:space="preserve">rather hypothetical </w:t>
      </w:r>
      <w:r w:rsidR="001821F0">
        <w:rPr>
          <w:color w:val="000000"/>
          <w:lang w:eastAsia="fr-BE"/>
        </w:rPr>
        <w:t>approach</w:t>
      </w:r>
      <w:r w:rsidR="00214F2B">
        <w:rPr>
          <w:color w:val="000000"/>
          <w:lang w:eastAsia="fr-BE"/>
        </w:rPr>
        <w:t xml:space="preserve">, the applied assumptions </w:t>
      </w:r>
      <w:r w:rsidR="00214F2B" w:rsidRPr="00214F2B">
        <w:rPr>
          <w:color w:val="000000"/>
          <w:lang w:eastAsia="fr-BE"/>
        </w:rPr>
        <w:t xml:space="preserve">could still be </w:t>
      </w:r>
      <w:r w:rsidR="00214F2B">
        <w:rPr>
          <w:color w:val="000000"/>
          <w:lang w:eastAsia="fr-BE"/>
        </w:rPr>
        <w:t>relevant for some country-specific cases of underestimati</w:t>
      </w:r>
      <w:r w:rsidR="001F444A">
        <w:rPr>
          <w:color w:val="000000"/>
          <w:lang w:eastAsia="fr-BE"/>
        </w:rPr>
        <w:t xml:space="preserve">ng </w:t>
      </w:r>
      <w:r w:rsidR="00214F2B">
        <w:rPr>
          <w:color w:val="000000"/>
          <w:lang w:eastAsia="fr-BE"/>
        </w:rPr>
        <w:t>higher/lower income households.</w:t>
      </w:r>
      <w:r w:rsidR="001821F0">
        <w:rPr>
          <w:color w:val="000000"/>
          <w:lang w:eastAsia="fr-BE"/>
        </w:rPr>
        <w:t xml:space="preserve"> Finally, (iv)</w:t>
      </w:r>
      <w:r w:rsidR="00CE1F79">
        <w:rPr>
          <w:color w:val="000000"/>
          <w:lang w:eastAsia="fr-BE"/>
        </w:rPr>
        <w:t xml:space="preserve"> </w:t>
      </w:r>
      <w:r w:rsidR="001F444A">
        <w:rPr>
          <w:color w:val="000000"/>
          <w:lang w:eastAsia="fr-BE"/>
        </w:rPr>
        <w:t xml:space="preserve">the </w:t>
      </w:r>
      <w:r w:rsidR="00CE1F79">
        <w:rPr>
          <w:color w:val="000000"/>
          <w:lang w:eastAsia="fr-BE"/>
        </w:rPr>
        <w:t xml:space="preserve">combined </w:t>
      </w:r>
      <w:r w:rsidR="001F444A">
        <w:rPr>
          <w:color w:val="000000"/>
          <w:lang w:eastAsia="fr-BE"/>
        </w:rPr>
        <w:t xml:space="preserve">method </w:t>
      </w:r>
      <w:r w:rsidR="00CE1F79">
        <w:rPr>
          <w:color w:val="000000"/>
          <w:lang w:eastAsia="fr-BE"/>
        </w:rPr>
        <w:t xml:space="preserve">seems to </w:t>
      </w:r>
      <w:r w:rsidR="001F444A">
        <w:rPr>
          <w:color w:val="000000"/>
          <w:lang w:eastAsia="fr-BE"/>
        </w:rPr>
        <w:t xml:space="preserve">be </w:t>
      </w:r>
      <w:r w:rsidR="00CE1F79">
        <w:rPr>
          <w:color w:val="000000"/>
          <w:lang w:eastAsia="fr-BE"/>
        </w:rPr>
        <w:t>a</w:t>
      </w:r>
      <w:r w:rsidR="001F444A">
        <w:rPr>
          <w:color w:val="000000"/>
          <w:lang w:eastAsia="fr-BE"/>
        </w:rPr>
        <w:t>n adequate</w:t>
      </w:r>
      <w:r w:rsidR="00CE1F79">
        <w:rPr>
          <w:color w:val="000000"/>
          <w:lang w:eastAsia="fr-BE"/>
        </w:rPr>
        <w:t xml:space="preserve"> </w:t>
      </w:r>
      <w:r w:rsidR="001F444A">
        <w:rPr>
          <w:color w:val="000000"/>
          <w:lang w:eastAsia="fr-BE"/>
        </w:rPr>
        <w:t xml:space="preserve">approach for </w:t>
      </w:r>
      <w:r w:rsidR="007E4520">
        <w:rPr>
          <w:color w:val="000000"/>
          <w:lang w:eastAsia="fr-BE"/>
        </w:rPr>
        <w:t xml:space="preserve">capturing the </w:t>
      </w:r>
      <w:r w:rsidR="00165130">
        <w:rPr>
          <w:color w:val="000000"/>
          <w:lang w:eastAsia="fr-BE"/>
        </w:rPr>
        <w:t>likely</w:t>
      </w:r>
      <w:r w:rsidR="007E4520">
        <w:rPr>
          <w:color w:val="000000"/>
          <w:lang w:eastAsia="fr-BE"/>
        </w:rPr>
        <w:t xml:space="preserve"> distributional pattern </w:t>
      </w:r>
      <w:r w:rsidR="00CB1A2A">
        <w:rPr>
          <w:color w:val="000000"/>
          <w:lang w:eastAsia="fr-BE"/>
        </w:rPr>
        <w:t>of households income.</w:t>
      </w:r>
    </w:p>
    <w:p w14:paraId="7652E797" w14:textId="77777777" w:rsidR="00BC6AFE" w:rsidRDefault="00BC6AFE" w:rsidP="00BC6AFE">
      <w:pPr>
        <w:pStyle w:val="Heading1"/>
      </w:pPr>
      <w:r>
        <w:t>Conclusions</w:t>
      </w:r>
    </w:p>
    <w:p w14:paraId="326CB118" w14:textId="179AEBFC" w:rsidR="007369AC" w:rsidRPr="00D81A66" w:rsidRDefault="004C56EF" w:rsidP="0089061C">
      <w:pPr>
        <w:rPr>
          <w:color w:val="000000"/>
          <w:lang w:eastAsia="fr-BE"/>
        </w:rPr>
      </w:pPr>
      <w:r w:rsidRPr="00A417E9">
        <w:t>At present</w:t>
      </w:r>
      <w:r>
        <w:t>,</w:t>
      </w:r>
      <w:r w:rsidRPr="00A417E9">
        <w:t xml:space="preserve"> differing concepts and data collection practices at micro and macro level mean that the analysis of these different sources do not necessarily lead to the same conclusions as regards people’s prosperity.</w:t>
      </w:r>
      <w:r w:rsidR="00D43179">
        <w:t xml:space="preserve"> </w:t>
      </w:r>
      <w:r w:rsidR="00F645F4" w:rsidRPr="00D81A66">
        <w:rPr>
          <w:color w:val="000000"/>
          <w:lang w:eastAsia="fr-BE"/>
        </w:rPr>
        <w:t xml:space="preserve">Despite the different level of conceptual comparability and the lack of additional sources (e.g. administrative data, national compilers’ knowledge of quality gaps, etc.) that are </w:t>
      </w:r>
      <w:r w:rsidR="00D43179">
        <w:rPr>
          <w:color w:val="000000"/>
          <w:lang w:eastAsia="fr-BE"/>
        </w:rPr>
        <w:t>at best</w:t>
      </w:r>
      <w:r w:rsidR="00D43179" w:rsidRPr="00D81A66">
        <w:rPr>
          <w:color w:val="000000"/>
          <w:lang w:eastAsia="fr-BE"/>
        </w:rPr>
        <w:t xml:space="preserve"> </w:t>
      </w:r>
      <w:r w:rsidR="00F645F4" w:rsidRPr="00D81A66">
        <w:rPr>
          <w:color w:val="000000"/>
          <w:lang w:eastAsia="fr-BE"/>
        </w:rPr>
        <w:t xml:space="preserve">available nationally, the </w:t>
      </w:r>
      <w:r w:rsidR="00D43179">
        <w:rPr>
          <w:color w:val="000000"/>
          <w:lang w:eastAsia="fr-BE"/>
        </w:rPr>
        <w:t xml:space="preserve">social </w:t>
      </w:r>
      <w:r w:rsidR="00F645F4" w:rsidRPr="00D81A66">
        <w:rPr>
          <w:color w:val="000000"/>
          <w:lang w:eastAsia="fr-BE"/>
        </w:rPr>
        <w:t xml:space="preserve">survey data at Eurostat </w:t>
      </w:r>
      <w:r w:rsidR="007E4520" w:rsidRPr="00D81A66">
        <w:rPr>
          <w:color w:val="000000"/>
          <w:lang w:eastAsia="fr-BE"/>
        </w:rPr>
        <w:t>a</w:t>
      </w:r>
      <w:r w:rsidR="005E7284" w:rsidRPr="00D81A66">
        <w:rPr>
          <w:color w:val="000000"/>
          <w:lang w:eastAsia="fr-BE"/>
        </w:rPr>
        <w:t>re</w:t>
      </w:r>
      <w:r w:rsidR="00F645F4" w:rsidRPr="00D81A66">
        <w:rPr>
          <w:color w:val="000000"/>
          <w:lang w:eastAsia="fr-BE"/>
        </w:rPr>
        <w:t xml:space="preserve"> considered to provide a suitable basis for </w:t>
      </w:r>
      <w:r w:rsidR="00D43179">
        <w:rPr>
          <w:color w:val="000000"/>
          <w:lang w:eastAsia="fr-BE"/>
        </w:rPr>
        <w:t xml:space="preserve">an </w:t>
      </w:r>
      <w:r w:rsidR="00F645F4" w:rsidRPr="00D81A66">
        <w:rPr>
          <w:color w:val="000000"/>
          <w:lang w:eastAsia="fr-BE"/>
        </w:rPr>
        <w:t xml:space="preserve">experimental </w:t>
      </w:r>
      <w:r w:rsidR="00D43179" w:rsidRPr="00D81A66">
        <w:rPr>
          <w:color w:val="000000"/>
          <w:lang w:eastAsia="fr-BE"/>
        </w:rPr>
        <w:t>distribution</w:t>
      </w:r>
      <w:r w:rsidR="00D43179">
        <w:rPr>
          <w:color w:val="000000"/>
          <w:lang w:eastAsia="fr-BE"/>
        </w:rPr>
        <w:t xml:space="preserve"> of</w:t>
      </w:r>
      <w:r w:rsidR="00D43179" w:rsidRPr="00D81A66">
        <w:rPr>
          <w:color w:val="000000"/>
          <w:lang w:eastAsia="fr-BE"/>
        </w:rPr>
        <w:t xml:space="preserve"> </w:t>
      </w:r>
      <w:r w:rsidR="00F645F4" w:rsidRPr="00D81A66">
        <w:rPr>
          <w:color w:val="000000"/>
          <w:lang w:eastAsia="fr-BE"/>
        </w:rPr>
        <w:t>national accounts estimates</w:t>
      </w:r>
      <w:r w:rsidR="00D43179">
        <w:rPr>
          <w:color w:val="000000"/>
          <w:lang w:eastAsia="fr-BE"/>
        </w:rPr>
        <w:t xml:space="preserve"> for income and consumption</w:t>
      </w:r>
      <w:r w:rsidR="00F645F4" w:rsidRPr="00D81A66">
        <w:rPr>
          <w:color w:val="000000"/>
          <w:lang w:eastAsia="fr-BE"/>
        </w:rPr>
        <w:t>.</w:t>
      </w:r>
    </w:p>
    <w:p w14:paraId="0ED2C3AF" w14:textId="46B7A845" w:rsidR="007369AC" w:rsidRDefault="007369AC" w:rsidP="007369AC">
      <w:pPr>
        <w:spacing w:before="100" w:beforeAutospacing="1" w:after="100" w:afterAutospacing="1"/>
        <w:rPr>
          <w:color w:val="000000"/>
          <w:highlight w:val="yellow"/>
          <w:lang w:eastAsia="fr-BE"/>
        </w:rPr>
      </w:pPr>
      <w:r w:rsidRPr="00D81A66">
        <w:rPr>
          <w:color w:val="000000"/>
          <w:lang w:eastAsia="fr-BE"/>
        </w:rPr>
        <w:t xml:space="preserve">The results </w:t>
      </w:r>
      <w:r w:rsidR="001C66D1">
        <w:rPr>
          <w:color w:val="000000"/>
          <w:lang w:eastAsia="fr-BE"/>
        </w:rPr>
        <w:t xml:space="preserve">strongly </w:t>
      </w:r>
      <w:r w:rsidRPr="00D81A66">
        <w:rPr>
          <w:color w:val="000000"/>
          <w:lang w:eastAsia="fr-BE"/>
        </w:rPr>
        <w:t xml:space="preserve">depend on the assumptions </w:t>
      </w:r>
      <w:r w:rsidR="001C66D1">
        <w:rPr>
          <w:color w:val="000000"/>
          <w:lang w:eastAsia="fr-BE"/>
        </w:rPr>
        <w:t>on which</w:t>
      </w:r>
      <w:r w:rsidR="001C66D1" w:rsidRPr="00D81A66">
        <w:rPr>
          <w:color w:val="000000"/>
          <w:lang w:eastAsia="fr-BE"/>
        </w:rPr>
        <w:t xml:space="preserve"> </w:t>
      </w:r>
      <w:r w:rsidR="001C66D1">
        <w:rPr>
          <w:color w:val="000000"/>
          <w:lang w:eastAsia="fr-BE"/>
        </w:rPr>
        <w:t>the</w:t>
      </w:r>
      <w:r w:rsidRPr="00D81A66">
        <w:rPr>
          <w:color w:val="000000"/>
          <w:lang w:eastAsia="fr-BE"/>
        </w:rPr>
        <w:t xml:space="preserve"> gap allocation</w:t>
      </w:r>
      <w:r w:rsidR="001C66D1">
        <w:rPr>
          <w:color w:val="000000"/>
          <w:lang w:eastAsia="fr-BE"/>
        </w:rPr>
        <w:t xml:space="preserve"> is built through the different methods</w:t>
      </w:r>
      <w:r w:rsidRPr="00D81A66">
        <w:rPr>
          <w:color w:val="000000"/>
          <w:lang w:eastAsia="fr-BE"/>
        </w:rPr>
        <w:t xml:space="preserve">. </w:t>
      </w:r>
      <w:r w:rsidR="001C66D1">
        <w:rPr>
          <w:color w:val="000000"/>
          <w:lang w:eastAsia="fr-BE"/>
        </w:rPr>
        <w:t>It is thus deemed of utmost importance, that t</w:t>
      </w:r>
      <w:r w:rsidR="001C66D1" w:rsidRPr="00D81A66">
        <w:rPr>
          <w:color w:val="000000"/>
          <w:lang w:eastAsia="fr-BE"/>
        </w:rPr>
        <w:t>he</w:t>
      </w:r>
      <w:r w:rsidR="001C66D1">
        <w:rPr>
          <w:color w:val="000000"/>
          <w:lang w:eastAsia="fr-BE"/>
        </w:rPr>
        <w:t xml:space="preserve"> assumptions</w:t>
      </w:r>
      <w:r w:rsidR="001C66D1" w:rsidRPr="00D81A66">
        <w:rPr>
          <w:color w:val="000000"/>
          <w:lang w:eastAsia="fr-BE"/>
        </w:rPr>
        <w:t xml:space="preserve"> </w:t>
      </w:r>
      <w:r w:rsidR="001C66D1">
        <w:rPr>
          <w:color w:val="000000"/>
          <w:lang w:eastAsia="fr-BE"/>
        </w:rPr>
        <w:t xml:space="preserve"> reflect</w:t>
      </w:r>
      <w:r w:rsidRPr="00D81A66">
        <w:rPr>
          <w:color w:val="000000"/>
          <w:lang w:eastAsia="fr-BE"/>
        </w:rPr>
        <w:t xml:space="preserve"> </w:t>
      </w:r>
      <w:r w:rsidR="001C66D1">
        <w:rPr>
          <w:color w:val="000000"/>
          <w:lang w:eastAsia="fr-BE"/>
        </w:rPr>
        <w:t>real</w:t>
      </w:r>
      <w:r w:rsidR="001C66D1" w:rsidRPr="00D81A66">
        <w:rPr>
          <w:color w:val="000000"/>
          <w:lang w:eastAsia="fr-BE"/>
        </w:rPr>
        <w:t xml:space="preserve"> </w:t>
      </w:r>
      <w:r w:rsidRPr="00D81A66">
        <w:rPr>
          <w:color w:val="000000"/>
          <w:lang w:eastAsia="fr-BE"/>
        </w:rPr>
        <w:t xml:space="preserve">scenarios  </w:t>
      </w:r>
      <w:r w:rsidR="001C66D1">
        <w:rPr>
          <w:color w:val="000000"/>
          <w:lang w:eastAsia="fr-BE"/>
        </w:rPr>
        <w:t>prevailing in the</w:t>
      </w:r>
      <w:r w:rsidR="001C66D1" w:rsidRPr="007369AC">
        <w:rPr>
          <w:color w:val="000000"/>
          <w:lang w:eastAsia="fr-BE"/>
        </w:rPr>
        <w:t xml:space="preserve"> </w:t>
      </w:r>
      <w:r w:rsidRPr="007369AC">
        <w:rPr>
          <w:color w:val="000000"/>
          <w:lang w:eastAsia="fr-BE"/>
        </w:rPr>
        <w:t>countries.</w:t>
      </w:r>
      <w:r w:rsidR="00214F2B">
        <w:rPr>
          <w:color w:val="000000"/>
          <w:lang w:eastAsia="fr-BE"/>
        </w:rPr>
        <w:t xml:space="preserve"> </w:t>
      </w:r>
      <w:r w:rsidR="001821F0">
        <w:rPr>
          <w:color w:val="000000"/>
          <w:lang w:eastAsia="fr-BE"/>
        </w:rPr>
        <w:t xml:space="preserve">Therefore, </w:t>
      </w:r>
      <w:r w:rsidR="00EA7D29">
        <w:rPr>
          <w:color w:val="000000"/>
          <w:lang w:eastAsia="fr-BE"/>
        </w:rPr>
        <w:t>Eurostat continues its dialogue</w:t>
      </w:r>
      <w:r w:rsidR="001821F0">
        <w:rPr>
          <w:color w:val="000000"/>
          <w:lang w:eastAsia="fr-BE"/>
        </w:rPr>
        <w:t xml:space="preserve"> on the proposed results and methodology with </w:t>
      </w:r>
      <w:r w:rsidR="00EA7D29">
        <w:rPr>
          <w:color w:val="000000"/>
          <w:lang w:eastAsia="fr-BE"/>
        </w:rPr>
        <w:t>EU</w:t>
      </w:r>
      <w:r w:rsidR="00FE3A78">
        <w:rPr>
          <w:color w:val="000000"/>
          <w:lang w:eastAsia="fr-BE"/>
        </w:rPr>
        <w:t xml:space="preserve"> </w:t>
      </w:r>
      <w:bookmarkStart w:id="0" w:name="_GoBack"/>
      <w:bookmarkEnd w:id="0"/>
      <w:r w:rsidR="001821F0">
        <w:rPr>
          <w:color w:val="000000"/>
          <w:lang w:eastAsia="fr-BE"/>
        </w:rPr>
        <w:t>countries.</w:t>
      </w:r>
    </w:p>
    <w:p w14:paraId="46A9BB82" w14:textId="77777777" w:rsidR="00BC6AFE" w:rsidRDefault="00BC6AFE" w:rsidP="009B4EE0">
      <w:pPr>
        <w:pStyle w:val="Heading1"/>
        <w:numPr>
          <w:ilvl w:val="0"/>
          <w:numId w:val="0"/>
        </w:numPr>
        <w:ind w:left="480" w:hanging="480"/>
      </w:pPr>
      <w:r>
        <w:t>References</w:t>
      </w:r>
    </w:p>
    <w:p w14:paraId="094E719B" w14:textId="54103DA0" w:rsidR="00292D50" w:rsidRDefault="00292D50" w:rsidP="001C4B75">
      <w:pPr>
        <w:pStyle w:val="Text1"/>
        <w:numPr>
          <w:ilvl w:val="0"/>
          <w:numId w:val="20"/>
        </w:numPr>
        <w:ind w:left="426" w:hanging="426"/>
      </w:pPr>
      <w:r>
        <w:t>Eurostat (2018</w:t>
      </w:r>
      <w:r w:rsidRPr="003C0CD4">
        <w:t>)</w:t>
      </w:r>
      <w:r>
        <w:t xml:space="preserve">, </w:t>
      </w:r>
      <w:r w:rsidRPr="00292D50">
        <w:t>Concepts for household income - comparison between micro and macro approach</w:t>
      </w:r>
      <w:r>
        <w:t xml:space="preserve">. </w:t>
      </w:r>
      <w:hyperlink r:id="rId11" w:history="1">
        <w:r w:rsidRPr="00820BA4">
          <w:rPr>
            <w:rStyle w:val="Hyperlink"/>
          </w:rPr>
          <w:t>https://ec.europa.eu/eurostat/statistics-explained/index.php?title=Concepts_for_household_income_-_comparison_between_micro_and_macro_approach</w:t>
        </w:r>
      </w:hyperlink>
    </w:p>
    <w:p w14:paraId="4D585C89" w14:textId="21467B05" w:rsidR="00292D50" w:rsidRDefault="00292D50" w:rsidP="001C4B75">
      <w:pPr>
        <w:pStyle w:val="Text1"/>
        <w:numPr>
          <w:ilvl w:val="0"/>
          <w:numId w:val="20"/>
        </w:numPr>
        <w:ind w:left="426" w:hanging="426"/>
      </w:pPr>
      <w:r>
        <w:t>Eurostat (2018</w:t>
      </w:r>
      <w:r w:rsidRPr="003C0CD4">
        <w:t>)</w:t>
      </w:r>
      <w:r>
        <w:t xml:space="preserve">, </w:t>
      </w:r>
      <w:r w:rsidRPr="00292D50">
        <w:t>Concepts for household consumption - comparison between micro and macro approach</w:t>
      </w:r>
      <w:r>
        <w:t xml:space="preserve">. </w:t>
      </w:r>
      <w:r w:rsidRPr="00292D50">
        <w:t>https://ec.europa.eu/eurostat/statistics-explained/index.php?title=Concepts_for_household_consumption_-_comparison_between_micro_and_macro_approach</w:t>
      </w:r>
    </w:p>
    <w:p w14:paraId="788B4722" w14:textId="77777777" w:rsidR="003C0CD4" w:rsidRDefault="00A716CE" w:rsidP="006F1353">
      <w:pPr>
        <w:pStyle w:val="Text1"/>
        <w:numPr>
          <w:ilvl w:val="0"/>
          <w:numId w:val="20"/>
        </w:numPr>
        <w:ind w:left="426" w:hanging="426"/>
      </w:pPr>
      <w:r>
        <w:t>Eurostat (2018</w:t>
      </w:r>
      <w:r w:rsidR="007E4520">
        <w:t>),</w:t>
      </w:r>
      <w:r w:rsidR="003C0CD4" w:rsidRPr="003C0CD4">
        <w:t xml:space="preserve"> </w:t>
      </w:r>
      <w:r w:rsidR="006F1353">
        <w:t xml:space="preserve">Comparison of household income: </w:t>
      </w:r>
      <w:r w:rsidR="006F1353" w:rsidRPr="006F1353">
        <w:t>European Union Statistics on  Income and Living Conditions and National Accounts https://ec.europa.eu/eurostat/documents/7894008/9077550/Methodological_note.pdf</w:t>
      </w:r>
    </w:p>
    <w:p w14:paraId="136380D1" w14:textId="42707848" w:rsidR="005E7284" w:rsidRPr="007E4520" w:rsidRDefault="005E7284" w:rsidP="005E7284">
      <w:pPr>
        <w:pStyle w:val="Text1"/>
        <w:numPr>
          <w:ilvl w:val="0"/>
          <w:numId w:val="20"/>
        </w:numPr>
        <w:ind w:left="426" w:hanging="426"/>
        <w:rPr>
          <w:rStyle w:val="Hyperlink"/>
          <w:color w:val="auto"/>
          <w:u w:val="none"/>
        </w:rPr>
      </w:pPr>
      <w:r w:rsidRPr="005E7284">
        <w:t>Törmälehto, V-M (2019), Reconciliation of EU statistics on income and living conditions (EU-SILC) data and national accounts, Eurostat, pp 30-31</w:t>
      </w:r>
      <w:r>
        <w:t xml:space="preserve"> </w:t>
      </w:r>
      <w:hyperlink r:id="rId12" w:history="1">
        <w:r w:rsidRPr="002A476C">
          <w:rPr>
            <w:rStyle w:val="Hyperlink"/>
          </w:rPr>
          <w:t>https://ec.europa.eu/eurostat/documents/3888793/9959642/KS-TC-19-004-EN-N.pdf/cd90cd0f-ebcf-43b6-ab4b-c28bcdda4f46</w:t>
        </w:r>
      </w:hyperlink>
    </w:p>
    <w:sectPr w:rsidR="005E7284" w:rsidRPr="007E4520"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33CC6" w14:textId="77777777" w:rsidR="0052287B" w:rsidRDefault="0052287B" w:rsidP="00BC6AFE">
      <w:pPr>
        <w:spacing w:after="0"/>
      </w:pPr>
      <w:r>
        <w:separator/>
      </w:r>
    </w:p>
  </w:endnote>
  <w:endnote w:type="continuationSeparator" w:id="0">
    <w:p w14:paraId="5B5BBB1D" w14:textId="77777777" w:rsidR="0052287B" w:rsidRDefault="0052287B"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A791A" w14:textId="1C00E4CA" w:rsidR="00D24082" w:rsidRDefault="00D24082">
    <w:pPr>
      <w:pStyle w:val="Footer"/>
      <w:jc w:val="center"/>
    </w:pPr>
    <w:r>
      <w:fldChar w:fldCharType="begin"/>
    </w:r>
    <w:r>
      <w:instrText>PAGE</w:instrText>
    </w:r>
    <w:r>
      <w:fldChar w:fldCharType="separate"/>
    </w:r>
    <w:r w:rsidR="008A5CF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793FB" w14:textId="77777777" w:rsidR="00D24082" w:rsidRDefault="00D24082">
    <w:pPr>
      <w:pStyle w:val="Footer"/>
      <w:rPr>
        <w:sz w:val="24"/>
        <w:szCs w:val="24"/>
      </w:rPr>
    </w:pPr>
  </w:p>
  <w:p w14:paraId="2774C838" w14:textId="77777777" w:rsidR="00D24082" w:rsidRDefault="00D24082">
    <w:pPr>
      <w:pStyle w:val="Footer"/>
    </w:pPr>
    <w:r w:rsidRPr="004107B6">
      <w:t xml:space="preserve">Commission européenne, 2920 Luxembourg, LUXEMBOURG - Tel. </w:t>
    </w:r>
    <w:r>
      <w:t>+352 43011</w:t>
    </w:r>
    <w:r>
      <w:rPr>
        <w:noProof/>
      </w:rPr>
      <w:br/>
      <w:t>Office: BECH A2/160 - Tel. direct line +352 4301-+352-4301-35934 - Fax +352 4301-+352-4301-33899</w:t>
    </w:r>
  </w:p>
  <w:p w14:paraId="4631E37C" w14:textId="77777777" w:rsidR="00D24082" w:rsidRDefault="00D24082">
    <w:pPr>
      <w:pStyle w:val="Footer"/>
    </w:pPr>
  </w:p>
  <w:p w14:paraId="02F0EF68" w14:textId="77777777" w:rsidR="00D24082" w:rsidRDefault="00D24082">
    <w:pPr>
      <w:pStyle w:val="Footer"/>
    </w:pPr>
    <w:r>
      <w:t>http://epp.eurostat.ec.europa.eu</w:t>
    </w:r>
  </w:p>
  <w:p w14:paraId="701D16B6"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4F23A" w14:textId="77777777" w:rsidR="0052287B" w:rsidRDefault="0052287B" w:rsidP="00BC6AFE">
      <w:pPr>
        <w:spacing w:after="0"/>
      </w:pPr>
      <w:r>
        <w:separator/>
      </w:r>
    </w:p>
  </w:footnote>
  <w:footnote w:type="continuationSeparator" w:id="0">
    <w:p w14:paraId="5AC695B6" w14:textId="77777777" w:rsidR="0052287B" w:rsidRDefault="0052287B"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618F3"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7341CE"/>
    <w:multiLevelType w:val="hybridMultilevel"/>
    <w:tmpl w:val="B8D2CC56"/>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9BB767B"/>
    <w:multiLevelType w:val="hybridMultilevel"/>
    <w:tmpl w:val="9A9E16F2"/>
    <w:lvl w:ilvl="0" w:tplc="BD2E000E">
      <w:start w:val="1"/>
      <w:numFmt w:val="decimal"/>
      <w:pStyle w:val="ListParagraph"/>
      <w:lvlText w:val="%1."/>
      <w:lvlJc w:val="left"/>
      <w:pPr>
        <w:tabs>
          <w:tab w:val="num" w:pos="720"/>
        </w:tabs>
        <w:ind w:left="720" w:hanging="360"/>
      </w:pPr>
      <w:rPr>
        <w:rFonts w:cs="Times New Roman"/>
        <w:b w:val="0"/>
        <w:color w:val="auto"/>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C6911C0"/>
    <w:multiLevelType w:val="hybridMultilevel"/>
    <w:tmpl w:val="813AF1CE"/>
    <w:lvl w:ilvl="0" w:tplc="50E6E8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3ECC6BA8"/>
    <w:multiLevelType w:val="hybridMultilevel"/>
    <w:tmpl w:val="514AF0D0"/>
    <w:lvl w:ilvl="0" w:tplc="080C0001">
      <w:start w:val="1"/>
      <w:numFmt w:val="bullet"/>
      <w:lvlText w:val=""/>
      <w:lvlJc w:val="left"/>
      <w:pPr>
        <w:ind w:left="720" w:hanging="360"/>
      </w:pPr>
      <w:rPr>
        <w:rFonts w:ascii="Symbol" w:hAnsi="Symbol" w:hint="default"/>
      </w:rPr>
    </w:lvl>
    <w:lvl w:ilvl="1" w:tplc="183CF95A">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1E7A72"/>
    <w:multiLevelType w:val="hybridMultilevel"/>
    <w:tmpl w:val="7A707F70"/>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432656"/>
    <w:multiLevelType w:val="multilevel"/>
    <w:tmpl w:val="B588AAF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Roman"/>
      <w:lvlText w:val="%7."/>
      <w:lvlJc w:val="righ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4" w15:restartNumberingAfterBreak="0">
    <w:nsid w:val="7BA7034E"/>
    <w:multiLevelType w:val="hybridMultilevel"/>
    <w:tmpl w:val="D08C35D0"/>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19"/>
  </w:num>
  <w:num w:numId="5">
    <w:abstractNumId w:val="11"/>
  </w:num>
  <w:num w:numId="6">
    <w:abstractNumId w:val="10"/>
  </w:num>
  <w:num w:numId="7">
    <w:abstractNumId w:val="7"/>
  </w:num>
  <w:num w:numId="8">
    <w:abstractNumId w:val="6"/>
  </w:num>
  <w:num w:numId="9">
    <w:abstractNumId w:val="20"/>
  </w:num>
  <w:num w:numId="10">
    <w:abstractNumId w:val="22"/>
  </w:num>
  <w:num w:numId="11">
    <w:abstractNumId w:val="21"/>
  </w:num>
  <w:num w:numId="12">
    <w:abstractNumId w:val="23"/>
  </w:num>
  <w:num w:numId="13">
    <w:abstractNumId w:val="9"/>
  </w:num>
  <w:num w:numId="14">
    <w:abstractNumId w:val="13"/>
  </w:num>
  <w:num w:numId="15">
    <w:abstractNumId w:val="15"/>
  </w:num>
  <w:num w:numId="16">
    <w:abstractNumId w:val="14"/>
  </w:num>
  <w:num w:numId="17">
    <w:abstractNumId w:val="3"/>
  </w:num>
  <w:num w:numId="18">
    <w:abstractNumId w:val="17"/>
  </w:num>
  <w:num w:numId="19">
    <w:abstractNumId w:val="18"/>
  </w:num>
  <w:num w:numId="20">
    <w:abstractNumId w:val="5"/>
  </w:num>
  <w:num w:numId="21">
    <w:abstractNumId w:val="8"/>
  </w:num>
  <w:num w:numId="22">
    <w:abstractNumId w:val="4"/>
  </w:num>
  <w:num w:numId="23">
    <w:abstractNumId w:val="12"/>
  </w:num>
  <w:num w:numId="24">
    <w:abstractNumId w:val="24"/>
  </w:num>
  <w:num w:numId="25">
    <w:abstractNumId w:val="2"/>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T"/>
  </w:docVars>
  <w:rsids>
    <w:rsidRoot w:val="0052287B"/>
    <w:rsid w:val="000642A1"/>
    <w:rsid w:val="000738ED"/>
    <w:rsid w:val="00084C52"/>
    <w:rsid w:val="0008657A"/>
    <w:rsid w:val="000C6D24"/>
    <w:rsid w:val="000D7324"/>
    <w:rsid w:val="000E0216"/>
    <w:rsid w:val="000F7438"/>
    <w:rsid w:val="00121A2C"/>
    <w:rsid w:val="00127067"/>
    <w:rsid w:val="00143986"/>
    <w:rsid w:val="00146A57"/>
    <w:rsid w:val="00165130"/>
    <w:rsid w:val="001821F0"/>
    <w:rsid w:val="001857CF"/>
    <w:rsid w:val="00196F6D"/>
    <w:rsid w:val="001B50CE"/>
    <w:rsid w:val="001C4B75"/>
    <w:rsid w:val="001C66D1"/>
    <w:rsid w:val="001D3A75"/>
    <w:rsid w:val="001E07B0"/>
    <w:rsid w:val="001F444A"/>
    <w:rsid w:val="001F6B31"/>
    <w:rsid w:val="002012A8"/>
    <w:rsid w:val="00206C22"/>
    <w:rsid w:val="00214F2B"/>
    <w:rsid w:val="00227F85"/>
    <w:rsid w:val="002379CE"/>
    <w:rsid w:val="00243A2C"/>
    <w:rsid w:val="00292B9B"/>
    <w:rsid w:val="00292D50"/>
    <w:rsid w:val="002B0F74"/>
    <w:rsid w:val="002B1495"/>
    <w:rsid w:val="002D45DE"/>
    <w:rsid w:val="002E0D97"/>
    <w:rsid w:val="002F5C15"/>
    <w:rsid w:val="00332D6F"/>
    <w:rsid w:val="00341CE2"/>
    <w:rsid w:val="00350C15"/>
    <w:rsid w:val="00372FC1"/>
    <w:rsid w:val="003C0CD4"/>
    <w:rsid w:val="003D30B8"/>
    <w:rsid w:val="003E689B"/>
    <w:rsid w:val="004107B6"/>
    <w:rsid w:val="00414CB1"/>
    <w:rsid w:val="00426A2B"/>
    <w:rsid w:val="0043290B"/>
    <w:rsid w:val="00467AFA"/>
    <w:rsid w:val="00482581"/>
    <w:rsid w:val="00495E4C"/>
    <w:rsid w:val="004A0D2D"/>
    <w:rsid w:val="004C2FDC"/>
    <w:rsid w:val="004C56EF"/>
    <w:rsid w:val="004E638D"/>
    <w:rsid w:val="0052287B"/>
    <w:rsid w:val="00573E28"/>
    <w:rsid w:val="005B4EA5"/>
    <w:rsid w:val="005B6BD3"/>
    <w:rsid w:val="005C5D48"/>
    <w:rsid w:val="005E7284"/>
    <w:rsid w:val="006312AF"/>
    <w:rsid w:val="00654A0A"/>
    <w:rsid w:val="00655157"/>
    <w:rsid w:val="006756E2"/>
    <w:rsid w:val="006875D6"/>
    <w:rsid w:val="00690FC8"/>
    <w:rsid w:val="006C4916"/>
    <w:rsid w:val="006D09E9"/>
    <w:rsid w:val="006F1353"/>
    <w:rsid w:val="006F761C"/>
    <w:rsid w:val="0070169F"/>
    <w:rsid w:val="007369AC"/>
    <w:rsid w:val="00741CF0"/>
    <w:rsid w:val="00754F31"/>
    <w:rsid w:val="00787AF3"/>
    <w:rsid w:val="007A5DCA"/>
    <w:rsid w:val="007C1B3E"/>
    <w:rsid w:val="007E4520"/>
    <w:rsid w:val="007F75BD"/>
    <w:rsid w:val="00801026"/>
    <w:rsid w:val="0080409D"/>
    <w:rsid w:val="00820BDC"/>
    <w:rsid w:val="008710FB"/>
    <w:rsid w:val="00874E97"/>
    <w:rsid w:val="008847C3"/>
    <w:rsid w:val="0089061C"/>
    <w:rsid w:val="008A5CF0"/>
    <w:rsid w:val="008A75D0"/>
    <w:rsid w:val="008C5B3F"/>
    <w:rsid w:val="008E29ED"/>
    <w:rsid w:val="008F0AF4"/>
    <w:rsid w:val="00901282"/>
    <w:rsid w:val="009147F5"/>
    <w:rsid w:val="00921D21"/>
    <w:rsid w:val="00923850"/>
    <w:rsid w:val="0092789A"/>
    <w:rsid w:val="00940A68"/>
    <w:rsid w:val="00941FF9"/>
    <w:rsid w:val="0097554F"/>
    <w:rsid w:val="00983126"/>
    <w:rsid w:val="009A41E5"/>
    <w:rsid w:val="009B06F4"/>
    <w:rsid w:val="009B2C4B"/>
    <w:rsid w:val="009B4EE0"/>
    <w:rsid w:val="009B6ED5"/>
    <w:rsid w:val="009C200A"/>
    <w:rsid w:val="009E77E7"/>
    <w:rsid w:val="00A17E8C"/>
    <w:rsid w:val="00A417E9"/>
    <w:rsid w:val="00A53361"/>
    <w:rsid w:val="00A716CE"/>
    <w:rsid w:val="00A83F8B"/>
    <w:rsid w:val="00AB4423"/>
    <w:rsid w:val="00B246A0"/>
    <w:rsid w:val="00B31D07"/>
    <w:rsid w:val="00B3641F"/>
    <w:rsid w:val="00B9492F"/>
    <w:rsid w:val="00BA48A2"/>
    <w:rsid w:val="00BA5441"/>
    <w:rsid w:val="00BB5EEF"/>
    <w:rsid w:val="00BC17F5"/>
    <w:rsid w:val="00BC6AFE"/>
    <w:rsid w:val="00BF6D1E"/>
    <w:rsid w:val="00C1166D"/>
    <w:rsid w:val="00C74FC6"/>
    <w:rsid w:val="00CA728A"/>
    <w:rsid w:val="00CB1A2A"/>
    <w:rsid w:val="00CD63FE"/>
    <w:rsid w:val="00CE0E2A"/>
    <w:rsid w:val="00CE1F79"/>
    <w:rsid w:val="00D24082"/>
    <w:rsid w:val="00D43179"/>
    <w:rsid w:val="00D52EA1"/>
    <w:rsid w:val="00D70F81"/>
    <w:rsid w:val="00D777B8"/>
    <w:rsid w:val="00D81A66"/>
    <w:rsid w:val="00DB601E"/>
    <w:rsid w:val="00E011BD"/>
    <w:rsid w:val="00E17D0D"/>
    <w:rsid w:val="00E4455A"/>
    <w:rsid w:val="00E54273"/>
    <w:rsid w:val="00EA7D29"/>
    <w:rsid w:val="00EB17CE"/>
    <w:rsid w:val="00F645F4"/>
    <w:rsid w:val="00F6467F"/>
    <w:rsid w:val="00FC11C8"/>
    <w:rsid w:val="00FE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F01399"/>
  <w15:chartTrackingRefBased/>
  <w15:docId w15:val="{19D6C65B-7B8F-4714-8F9F-854D1ACD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val="en-GB"/>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ußnote"/>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C0CD4"/>
    <w:rPr>
      <w:color w:val="0563C1"/>
      <w:u w:val="single"/>
    </w:rPr>
  </w:style>
  <w:style w:type="paragraph" w:styleId="BalloonText">
    <w:name w:val="Balloon Text"/>
    <w:basedOn w:val="Normal"/>
    <w:link w:val="BalloonTextChar"/>
    <w:uiPriority w:val="99"/>
    <w:semiHidden/>
    <w:unhideWhenUsed/>
    <w:rsid w:val="001D3A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A75"/>
    <w:rPr>
      <w:rFonts w:ascii="Segoe UI" w:hAnsi="Segoe UI" w:cs="Segoe UI"/>
      <w:sz w:val="18"/>
      <w:szCs w:val="18"/>
      <w:lang w:val="en-GB"/>
    </w:rPr>
  </w:style>
  <w:style w:type="paragraph" w:styleId="ListParagraph">
    <w:name w:val="List Paragraph"/>
    <w:basedOn w:val="Normal"/>
    <w:uiPriority w:val="34"/>
    <w:qFormat/>
    <w:rsid w:val="00A716CE"/>
    <w:pPr>
      <w:numPr>
        <w:numId w:val="22"/>
      </w:numPr>
      <w:spacing w:before="120" w:after="0"/>
    </w:pPr>
    <w:rPr>
      <w:szCs w:val="24"/>
    </w:rPr>
  </w:style>
  <w:style w:type="character" w:customStyle="1" w:styleId="FootnoteTextChar">
    <w:name w:val="Footnote Text Char"/>
    <w:aliases w:val="Footnote Char,Fußnote Char"/>
    <w:link w:val="FootnoteText"/>
    <w:uiPriority w:val="99"/>
    <w:rsid w:val="00A716CE"/>
    <w:rPr>
      <w:lang w:val="en-GB"/>
    </w:rPr>
  </w:style>
  <w:style w:type="character" w:styleId="FootnoteReference">
    <w:name w:val="footnote reference"/>
    <w:aliases w:val="Footnote Reference Number"/>
    <w:uiPriority w:val="99"/>
    <w:rsid w:val="00A716CE"/>
    <w:rPr>
      <w:vertAlign w:val="superscript"/>
    </w:rPr>
  </w:style>
  <w:style w:type="character" w:styleId="CommentReference">
    <w:name w:val="annotation reference"/>
    <w:basedOn w:val="DefaultParagraphFont"/>
    <w:uiPriority w:val="99"/>
    <w:semiHidden/>
    <w:unhideWhenUsed/>
    <w:rsid w:val="00BF6D1E"/>
    <w:rPr>
      <w:sz w:val="16"/>
      <w:szCs w:val="16"/>
    </w:rPr>
  </w:style>
  <w:style w:type="paragraph" w:styleId="CommentSubject">
    <w:name w:val="annotation subject"/>
    <w:basedOn w:val="CommentText"/>
    <w:next w:val="CommentText"/>
    <w:link w:val="CommentSubjectChar"/>
    <w:uiPriority w:val="99"/>
    <w:semiHidden/>
    <w:unhideWhenUsed/>
    <w:rsid w:val="00BF6D1E"/>
    <w:rPr>
      <w:b/>
      <w:bCs/>
    </w:rPr>
  </w:style>
  <w:style w:type="character" w:customStyle="1" w:styleId="CommentTextChar">
    <w:name w:val="Comment Text Char"/>
    <w:basedOn w:val="DefaultParagraphFont"/>
    <w:link w:val="CommentText"/>
    <w:semiHidden/>
    <w:rsid w:val="00BF6D1E"/>
    <w:rPr>
      <w:lang w:val="en-GB"/>
    </w:rPr>
  </w:style>
  <w:style w:type="character" w:customStyle="1" w:styleId="CommentSubjectChar">
    <w:name w:val="Comment Subject Char"/>
    <w:basedOn w:val="CommentTextChar"/>
    <w:link w:val="CommentSubject"/>
    <w:uiPriority w:val="99"/>
    <w:semiHidden/>
    <w:rsid w:val="00BF6D1E"/>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32212">
      <w:bodyDiv w:val="1"/>
      <w:marLeft w:val="0"/>
      <w:marRight w:val="0"/>
      <w:marTop w:val="0"/>
      <w:marBottom w:val="0"/>
      <w:divBdr>
        <w:top w:val="none" w:sz="0" w:space="0" w:color="auto"/>
        <w:left w:val="none" w:sz="0" w:space="0" w:color="auto"/>
        <w:bottom w:val="none" w:sz="0" w:space="0" w:color="auto"/>
        <w:right w:val="none" w:sz="0" w:space="0" w:color="auto"/>
      </w:divBdr>
    </w:div>
    <w:div w:id="13233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eurostat/documents/3888793/9959642/KS-TC-19-004-EN-N.pdf/cd90cd0f-ebcf-43b6-ab4b-c28bcdda4f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urostat/statistics-explained/index.php?title=Concepts_for_household_income_-_comparison_between_micro_and_macro_approa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2018-05-29T11:59:20</Date>
    <Language>EN</Language>
  </Created>
  <Edited>
    <Version>10.0.41212.0</Version>
    <Date>2020-10-15T17:37:15</Date>
  </Edited>
  <DocumentModel>
    <Id>0b054141-88b1-4efb-8c91-2905cb0bed6c</Id>
    <Name>Note</Name>
  </DocumentModel>
  <DocumentDate/>
  <DocumentVersion/>
  <CompatibilityMode>Eurolook4X</CompatibilityMode>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0279BE3A-8050-4FF0-864A-25AF25BD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218</TotalTime>
  <Pages>3</Pages>
  <Words>1280</Words>
  <Characters>7297</Characters>
  <Application>Microsoft Office Word</Application>
  <DocSecurity>0</DocSecurity>
  <PresentationFormat>Microsoft Word 14.0</PresentationFormat>
  <Lines>60</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RIOBOO Irene (ESTAT)</dc:creator>
  <cp:keywords>EL4</cp:keywords>
  <cp:lastModifiedBy>ISTATKOV Radoslav (ESTAT)</cp:lastModifiedBy>
  <cp:revision>26</cp:revision>
  <cp:lastPrinted>2018-05-29T10:06:00Z</cp:lastPrinted>
  <dcterms:created xsi:type="dcterms:W3CDTF">2020-10-14T09:12:00Z</dcterms:created>
  <dcterms:modified xsi:type="dcterms:W3CDTF">2020-10-15T15:37:00Z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