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24F5" w14:textId="0F0404FF" w:rsidR="00BC6AFE" w:rsidRDefault="00AC443A" w:rsidP="00BC6AFE">
      <w:pPr>
        <w:pStyle w:val="Title"/>
      </w:pPr>
      <w:r>
        <w:t>Non</w:t>
      </w:r>
      <w:r w:rsidR="004E2F58">
        <w:t>response in the Icelandic Labour Force Survey during Covid-19</w:t>
      </w:r>
    </w:p>
    <w:p w14:paraId="284060F6" w14:textId="77777777" w:rsidR="00645292" w:rsidRDefault="00645292" w:rsidP="00645292"/>
    <w:p w14:paraId="1AB73B89" w14:textId="5505A248" w:rsidR="00243A2C" w:rsidRDefault="00243A2C" w:rsidP="00243A2C">
      <w:r w:rsidRPr="00243A2C">
        <w:rPr>
          <w:b/>
          <w:u w:val="single"/>
        </w:rPr>
        <w:t>Keywords</w:t>
      </w:r>
      <w:r w:rsidRPr="00243A2C">
        <w:rPr>
          <w:b/>
        </w:rPr>
        <w:t>:</w:t>
      </w:r>
      <w:r>
        <w:t xml:space="preserve"> </w:t>
      </w:r>
      <w:r w:rsidR="004E2F58">
        <w:t>Ic</w:t>
      </w:r>
      <w:r w:rsidR="0025172B">
        <w:t>eland, Labour Force Survey, non</w:t>
      </w:r>
      <w:r w:rsidR="004E2F58">
        <w:t>response,</w:t>
      </w:r>
      <w:r w:rsidR="0025172B">
        <w:t xml:space="preserve"> types of nonresponse.</w:t>
      </w:r>
      <w:r w:rsidR="004E2F58">
        <w:t xml:space="preserve"> </w:t>
      </w:r>
    </w:p>
    <w:p w14:paraId="0273C8E5" w14:textId="77777777" w:rsidR="002012A8" w:rsidRPr="00196C64" w:rsidRDefault="002012A8" w:rsidP="002012A8">
      <w:pPr>
        <w:pStyle w:val="Heading1"/>
      </w:pPr>
      <w:r w:rsidRPr="00196C64">
        <w:t>Introduction</w:t>
      </w:r>
    </w:p>
    <w:p w14:paraId="6FF33FAD" w14:textId="4797C893" w:rsidR="00505644" w:rsidRDefault="00505644" w:rsidP="004E15E0">
      <w:r>
        <w:t>The unpredictable nature of the covid-19</w:t>
      </w:r>
      <w:r w:rsidR="00E45D2F">
        <w:t xml:space="preserve"> pandemic </w:t>
      </w:r>
      <w:r>
        <w:t xml:space="preserve">and the fast-changing societal reactions to it, makes it hard to predict how the pandemic may influence response rates in social surveys. </w:t>
      </w:r>
      <w:r w:rsidR="00504463">
        <w:t>Meanwhile</w:t>
      </w:r>
      <w:r>
        <w:t>, sudden declines in response rates</w:t>
      </w:r>
      <w:r w:rsidR="00E45D2F">
        <w:t xml:space="preserve"> may</w:t>
      </w:r>
      <w:r>
        <w:t xml:space="preserve"> have </w:t>
      </w:r>
      <w:r w:rsidR="00E45D2F">
        <w:t>particularly unfortunate consequences for</w:t>
      </w:r>
      <w:r>
        <w:t xml:space="preserve"> surveys such as the European Labour Force Survey (EU-LFS), which is used to track important social and economic indicators </w:t>
      </w:r>
      <w:r w:rsidR="00842A8E">
        <w:t>in order</w:t>
      </w:r>
      <w:r>
        <w:t xml:space="preserve"> to estimate the societal impact of the pandemic.</w:t>
      </w:r>
    </w:p>
    <w:p w14:paraId="0A5BD7FE" w14:textId="6BA5516F" w:rsidR="00FA1DA1" w:rsidRDefault="00505644" w:rsidP="004E15E0">
      <w:r>
        <w:t>While</w:t>
      </w:r>
      <w:r w:rsidR="009D4FAA">
        <w:t xml:space="preserve"> </w:t>
      </w:r>
      <w:r>
        <w:t>the EU-LFS</w:t>
      </w:r>
      <w:r w:rsidR="009D4FAA">
        <w:t xml:space="preserve"> has </w:t>
      </w:r>
      <w:r>
        <w:t xml:space="preserve">generally </w:t>
      </w:r>
      <w:r w:rsidR="009D4FAA">
        <w:t>enjoyed a high response rate co</w:t>
      </w:r>
      <w:r>
        <w:t xml:space="preserve">mpared to other social surveys, </w:t>
      </w:r>
      <w:r w:rsidR="00504463">
        <w:t>its</w:t>
      </w:r>
      <w:r w:rsidR="002E1B25">
        <w:t xml:space="preserve"> </w:t>
      </w:r>
      <w:r w:rsidR="00504463">
        <w:t>response rate has</w:t>
      </w:r>
      <w:r w:rsidR="002E1B25">
        <w:t xml:space="preserve"> </w:t>
      </w:r>
      <w:r w:rsidR="00504463">
        <w:t>decreased</w:t>
      </w:r>
      <w:r w:rsidR="002E1B25">
        <w:t xml:space="preserve"> since 1980 </w:t>
      </w:r>
      <w:r w:rsidR="002E1B25">
        <w:fldChar w:fldCharType="begin" w:fldLock="1"/>
      </w:r>
      <w:r w:rsidR="005C19C2">
        <w:instrText>ADDIN CSL_CITATION {"citationItems":[{"id":"ITEM-1","itemData":{"abstract":"De Leeuw Edith and de Heer Wim. (2002) Trends in Household Survey Nonresponse: A Longitudinal and International Comparison. In Groves Robert M., Dillman Don A., Eltinge John L., Little Roderick J. A. (Eds.). Survey Nonresponse(Wiley, New York) pp. 4154.","author":[{"dropping-particle":"","family":"Leeuw","given":"Edith","non-dropping-particle":"de","parse-names":false,"suffix":""},{"dropping-particle":"","family":"Heer","given":"W.","non-dropping-particle":"de","parse-names":false,"suffix":""}],"chapter-number":"3","container-title":"Survey Nonresponse","editor":[{"dropping-particle":"","family":"Groves","given":"Robert M.","non-dropping-particle":"","parse-names":false,"suffix":""},{"dropping-particle":"","family":"Dillman","given":"D.A.","non-dropping-particle":"","parse-names":false,"suffix":""},{"dropping-particle":"","family":"Little","given":"R.J.A.","non-dropping-particle":"","parse-names":false,"suffix":""}],"id":"ITEM-1","issue":"December 2015","issued":{"date-parts":[["2002"]]},"page":"41","publisher":"Wiley","publisher-place":"New York","title":"Trends in household survey nonresponse: a longitudinal and international comparison","type":"chapter"},"uris":["http://www.mendeley.com/documents/?uuid=9f4e0670-d8fa-49e3-b4ef-47268cba766e"]},{"id":"ITEM-2","itemData":{"DOI":"10.2478/jos-2020-0025","ISSN":"20017367","abstract":"For more than three decades, declining response rates have been of concern to both survey methodologists and practitioners. Still, international comparative studies have been scarce. In one of the first international trend analyses for the period 1980-1997, De Leeuw and De Heer (2002) describe that response rates declined over the years and that countries differed in response rates and nonresponse trends. In this article, we continued where De Leeuw and De Heer (2002) stopped, and present trend data for the next period 1998-2015 from National Statistical Institutes. When we looked at trends over time in this new data set, we found that response rates are still declining over the years. Furthermore, nonresponse trends do differ over countries, but not over surveys. Some countries show a steeper decline in response than others, but all types of surveys show the same downward trend. The differences in (non)response trends over countries can be partly explained by differences in survey design between the countries. Finally, for some countries cost indicators were available, these showed that costs increased over the years and are negatively correlated with noncontact rates.","author":[{"dropping-particle":"","family":"Luiten","given":"Annemieke","non-dropping-particle":"","parse-names":false,"suffix":""},{"dropping-particle":"","family":"Hox","given":"Joop","non-dropping-particle":"","parse-names":false,"suffix":""},{"dropping-particle":"","family":"Leeuw","given":"Edith","non-dropping-particle":"de","parse-names":false,"suffix":""}],"container-title":"Journal of Official Statistics","id":"ITEM-2","issue":"3","issued":{"date-parts":[["2020"]]},"page":"469-487","title":"Survey nonresponse trends and fieldwork effort in the 21st century: Results of an international study across countries and surveys","type":"article-journal","volume":"36"},"uris":["http://www.mendeley.com/documents/?uuid=3a6d95fc-b823-43c2-a4b3-1b912c1bd88a"]}],"mendeley":{"formattedCitation":"&lt;sup&gt;1,2&lt;/sup&gt;","plainTextFormattedCitation":"1,2","previouslyFormattedCitation":"&lt;sup&gt;1,2&lt;/sup&gt;"},"properties":{"noteIndex":0},"schema":"https://github.com/citation-style-language/schema/raw/master/csl-citation.json"}</w:instrText>
      </w:r>
      <w:r w:rsidR="002E1B25">
        <w:fldChar w:fldCharType="separate"/>
      </w:r>
      <w:r w:rsidR="005C19C2" w:rsidRPr="005C19C2">
        <w:rPr>
          <w:noProof/>
          <w:vertAlign w:val="superscript"/>
        </w:rPr>
        <w:t>1,2</w:t>
      </w:r>
      <w:r w:rsidR="002E1B25">
        <w:fldChar w:fldCharType="end"/>
      </w:r>
      <w:r w:rsidR="002E1B25">
        <w:t xml:space="preserve">. </w:t>
      </w:r>
      <w:r w:rsidR="00844D06">
        <w:t xml:space="preserve">During the time period 2014 to 2018, 25 out of 35 countries participating in the EU-LFS observed an increase in nonresponse, with the </w:t>
      </w:r>
      <w:r w:rsidR="002E1B25">
        <w:t>largest overall decline in response rate found in the Icelandic Labour Force survey</w:t>
      </w:r>
      <w:r w:rsidR="00844D06">
        <w:t xml:space="preserve"> (IS-LFS)</w:t>
      </w:r>
      <w:r w:rsidR="00E45D2F">
        <w:t xml:space="preserve"> </w:t>
      </w:r>
      <w:r w:rsidR="00E45D2F">
        <w:fldChar w:fldCharType="begin" w:fldLock="1"/>
      </w:r>
      <w:r w:rsidR="0025172B">
        <w:instrText>ADDIN CSL_CITATION {"citationItems":[{"id":"ITEM-1","itemData":{"ISBN":"9789279214349","author":[{"dropping-particle":"","family":"European Union","given":"","non-dropping-particle":"","parse-names":false,"suffix":""}],"id":"ITEM-1","issued":{"date-parts":[["2020"]]},"publisher":"Publications Office of the European Union","publisher-place":"Luxembourg","title":"Quality report of the European Union Labour Force Survey 2018","type":"book"},"uris":["http://www.mendeley.com/documents/?uuid=a399afc5-ec55-4a7f-8b1e-c73e21fa19fd"]}],"mendeley":{"formattedCitation":"&lt;sup&gt;3&lt;/sup&gt;","plainTextFormattedCitation":"3","previouslyFormattedCitation":"&lt;sup&gt;3&lt;/sup&gt;"},"properties":{"noteIndex":0},"schema":"https://github.com/citation-style-language/schema/raw/master/csl-citation.json"}</w:instrText>
      </w:r>
      <w:r w:rsidR="00E45D2F">
        <w:fldChar w:fldCharType="separate"/>
      </w:r>
      <w:r w:rsidR="00E45D2F" w:rsidRPr="00E45D2F">
        <w:rPr>
          <w:noProof/>
          <w:vertAlign w:val="superscript"/>
        </w:rPr>
        <w:t>3</w:t>
      </w:r>
      <w:r w:rsidR="00E45D2F">
        <w:fldChar w:fldCharType="end"/>
      </w:r>
      <w:r w:rsidR="00844D06">
        <w:t xml:space="preserve">. </w:t>
      </w:r>
      <w:r w:rsidR="00FA1DA1">
        <w:t xml:space="preserve">Thus, it </w:t>
      </w:r>
      <w:r w:rsidR="00BB22FA">
        <w:t>imperative</w:t>
      </w:r>
      <w:r w:rsidR="00FA1DA1">
        <w:t xml:space="preserve"> for Statistics Iceland to monitor, explain and understand the nature of nonresponse in the IS-LFS</w:t>
      </w:r>
      <w:r w:rsidR="004056E9">
        <w:t xml:space="preserve">, </w:t>
      </w:r>
      <w:r w:rsidR="00740FF9">
        <w:t xml:space="preserve">particularly in times of societal disruption, such as during the </w:t>
      </w:r>
      <w:r w:rsidR="00147829">
        <w:t>c</w:t>
      </w:r>
      <w:r w:rsidR="00043913">
        <w:t xml:space="preserve">ovid-19 pandemic. </w:t>
      </w:r>
    </w:p>
    <w:p w14:paraId="3DCC3B2C" w14:textId="1EA0C3C6" w:rsidR="00740FF9" w:rsidRDefault="00BB1638" w:rsidP="00FA1DA1">
      <w:r>
        <w:t>In this paper</w:t>
      </w:r>
      <w:r w:rsidR="00B772E3">
        <w:t xml:space="preserve">, </w:t>
      </w:r>
      <w:r w:rsidR="00FA1DA1">
        <w:t>we ai</w:t>
      </w:r>
      <w:r w:rsidR="00740FF9">
        <w:t xml:space="preserve">m to report, if and </w:t>
      </w:r>
      <w:r w:rsidR="00FA1DA1">
        <w:t>how different types of nonresponse</w:t>
      </w:r>
      <w:r w:rsidR="00740FF9">
        <w:t xml:space="preserve"> change</w:t>
      </w:r>
      <w:r w:rsidR="00B772E3">
        <w:t xml:space="preserve"> in the IS-</w:t>
      </w:r>
      <w:r w:rsidR="00FA1DA1">
        <w:t xml:space="preserve">LFS during the Covid-19 pandemic. </w:t>
      </w:r>
      <w:r w:rsidR="00740FF9">
        <w:t>We will present to date results which will be updated in the final version of the paper.</w:t>
      </w:r>
    </w:p>
    <w:p w14:paraId="105422AE" w14:textId="4C2A6C54" w:rsidR="00AC443A" w:rsidRDefault="00AC443A" w:rsidP="00FA1DA1">
      <w:pPr>
        <w:pStyle w:val="Heading1"/>
      </w:pPr>
      <w:r>
        <w:t>Methods</w:t>
      </w:r>
    </w:p>
    <w:p w14:paraId="119B876E" w14:textId="192A2F30" w:rsidR="00BD0A50" w:rsidRDefault="00BD0A50" w:rsidP="00BD0A50">
      <w:pPr>
        <w:pStyle w:val="Heading2"/>
      </w:pPr>
      <w:r>
        <w:t>The IS-LFS</w:t>
      </w:r>
    </w:p>
    <w:p w14:paraId="5BAAAA7A" w14:textId="4E2B7BFF" w:rsidR="0088684C" w:rsidRDefault="00BD0A50" w:rsidP="00AC443A">
      <w:pPr>
        <w:pStyle w:val="Text2"/>
        <w:ind w:left="0"/>
      </w:pPr>
      <w:r>
        <w:t xml:space="preserve">From 2003, the IS-LFS </w:t>
      </w:r>
      <w:r w:rsidR="00504463">
        <w:t>is</w:t>
      </w:r>
      <w:r>
        <w:t xml:space="preserve"> a continuous survey conducted via </w:t>
      </w:r>
      <w:r w:rsidR="00361570">
        <w:t xml:space="preserve">a </w:t>
      </w:r>
      <w:r>
        <w:t xml:space="preserve">computer assisted telephone interview (CATI). </w:t>
      </w:r>
      <w:r w:rsidR="00FB5B51">
        <w:t xml:space="preserve">Respondents in the IS-LFS constitute </w:t>
      </w:r>
      <w:r w:rsidR="00AC443A">
        <w:t xml:space="preserve">a simple random </w:t>
      </w:r>
      <w:r w:rsidR="00FB5B51">
        <w:t>sample</w:t>
      </w:r>
      <w:r w:rsidR="00AC443A">
        <w:t xml:space="preserve"> of </w:t>
      </w:r>
      <w:r w:rsidR="00FB5B51">
        <w:t xml:space="preserve">about 5000 </w:t>
      </w:r>
      <w:r w:rsidR="00AC443A">
        <w:t>individu</w:t>
      </w:r>
      <w:r w:rsidR="00FB5B51">
        <w:t>als from the National Registry</w:t>
      </w:r>
      <w:r w:rsidR="00012F23">
        <w:t xml:space="preserve">, </w:t>
      </w:r>
      <w:r w:rsidR="00FB5B51">
        <w:t>sampled quarterly and</w:t>
      </w:r>
      <w:r w:rsidR="00504463">
        <w:t xml:space="preserve"> attempts at contact are made in random order over</w:t>
      </w:r>
      <w:r w:rsidR="00FB5B51">
        <w:t xml:space="preserve"> the weeks of the quarter. This</w:t>
      </w:r>
      <w:r w:rsidR="00AC443A">
        <w:t xml:space="preserve"> </w:t>
      </w:r>
      <w:r w:rsidR="00FB5B51">
        <w:t xml:space="preserve">allows </w:t>
      </w:r>
      <w:r w:rsidR="00AC443A">
        <w:t xml:space="preserve">for monthly estimates of </w:t>
      </w:r>
      <w:r w:rsidR="001236DF">
        <w:t xml:space="preserve">different types of </w:t>
      </w:r>
      <w:r w:rsidR="00FB5B51">
        <w:t>nonresponse.</w:t>
      </w:r>
      <w:r w:rsidR="00621948">
        <w:t xml:space="preserve"> </w:t>
      </w:r>
    </w:p>
    <w:p w14:paraId="620560A4" w14:textId="7BB74171" w:rsidR="00AC443A" w:rsidRDefault="00621948" w:rsidP="00AC443A">
      <w:pPr>
        <w:pStyle w:val="Text2"/>
        <w:ind w:left="0"/>
      </w:pPr>
      <w:r>
        <w:t>W</w:t>
      </w:r>
      <w:r w:rsidR="001236DF">
        <w:t>e report</w:t>
      </w:r>
      <w:r>
        <w:t xml:space="preserve"> descriptive statistics for</w:t>
      </w:r>
      <w:r w:rsidR="001236DF">
        <w:t xml:space="preserve"> </w:t>
      </w:r>
      <w:r>
        <w:t xml:space="preserve">respondent </w:t>
      </w:r>
      <w:r w:rsidR="001236DF">
        <w:t>nonresponse</w:t>
      </w:r>
      <w:r w:rsidR="0088684C">
        <w:t xml:space="preserve">, according to foreign/Icelandic citizenship and age groups, </w:t>
      </w:r>
      <w:r w:rsidR="00504463">
        <w:t xml:space="preserve">at the time of the attempted contact, </w:t>
      </w:r>
      <w:r w:rsidR="00842769">
        <w:t xml:space="preserve">- </w:t>
      </w:r>
      <w:r w:rsidR="001236DF">
        <w:t>that is</w:t>
      </w:r>
      <w:r w:rsidR="00842769">
        <w:t>,</w:t>
      </w:r>
      <w:r w:rsidR="001236DF">
        <w:t xml:space="preserve"> for the actual timing of respondent </w:t>
      </w:r>
      <w:r>
        <w:t>behaviour</w:t>
      </w:r>
      <w:r w:rsidR="001661CF">
        <w:t>, and not the reference time</w:t>
      </w:r>
      <w:r w:rsidR="00504463">
        <w:t>-period</w:t>
      </w:r>
      <w:r w:rsidR="001661CF">
        <w:t xml:space="preserve">, </w:t>
      </w:r>
      <w:r w:rsidR="001236DF">
        <w:t>as is customary when reporting resul</w:t>
      </w:r>
      <w:r w:rsidR="001661CF">
        <w:t>ts from the labour force survey</w:t>
      </w:r>
      <w:r w:rsidR="001236DF">
        <w:t>.</w:t>
      </w:r>
      <w:r w:rsidR="00504463">
        <w:t xml:space="preserve"> </w:t>
      </w:r>
      <w:r w:rsidR="00842769">
        <w:t>This allows for a quite sensitive tracking of nonresponse during t</w:t>
      </w:r>
      <w:r w:rsidR="0088684C">
        <w:t>imes of swift societal changes.</w:t>
      </w:r>
    </w:p>
    <w:p w14:paraId="0BDB6E9A" w14:textId="64142AD6" w:rsidR="00BC6AFE" w:rsidRDefault="00BC6AFE" w:rsidP="00196C64">
      <w:pPr>
        <w:pStyle w:val="Heading1"/>
      </w:pPr>
      <w:r w:rsidRPr="00196C64">
        <w:t>Results</w:t>
      </w:r>
    </w:p>
    <w:p w14:paraId="74BC4DCC" w14:textId="79225B76" w:rsidR="00B534F8" w:rsidRPr="00B534F8" w:rsidRDefault="00B534F8" w:rsidP="00B534F8">
      <w:pPr>
        <w:pStyle w:val="Heading2"/>
      </w:pPr>
      <w:r>
        <w:t>The general trend</w:t>
      </w:r>
      <w:r w:rsidR="002D6651">
        <w:t xml:space="preserve"> in response rates</w:t>
      </w:r>
    </w:p>
    <w:p w14:paraId="3FCA6D30" w14:textId="0496882E" w:rsidR="0088684C" w:rsidRDefault="00461E4F" w:rsidP="00A57A1D">
      <w:r>
        <w:t xml:space="preserve">Since </w:t>
      </w:r>
      <w:r w:rsidR="00F7735F">
        <w:t>2003</w:t>
      </w:r>
      <w:r>
        <w:t>, the</w:t>
      </w:r>
      <w:r w:rsidR="00A57A1D">
        <w:t xml:space="preserve"> overall response rate in the IS-LFS was </w:t>
      </w:r>
      <w:r>
        <w:t>relatively</w:t>
      </w:r>
      <w:r w:rsidR="00A57A1D">
        <w:t xml:space="preserve"> high, or about 80 %. However, in 2011 response rates started to </w:t>
      </w:r>
      <w:r w:rsidR="00147829">
        <w:t>decrease</w:t>
      </w:r>
      <w:r w:rsidR="00560608">
        <w:t>. From 2011 to 2020</w:t>
      </w:r>
      <w:r w:rsidR="00A57A1D">
        <w:t xml:space="preserve"> </w:t>
      </w:r>
      <w:r w:rsidR="001661CF">
        <w:t xml:space="preserve">response rates </w:t>
      </w:r>
      <w:r w:rsidR="00A57A1D">
        <w:t>decreased</w:t>
      </w:r>
      <w:r w:rsidR="009068F5">
        <w:t xml:space="preserve"> from 84.7% to 64.7%</w:t>
      </w:r>
      <w:r w:rsidR="00560608">
        <w:t>,</w:t>
      </w:r>
      <w:r w:rsidR="009068F5">
        <w:t xml:space="preserve"> a decrease</w:t>
      </w:r>
      <w:r w:rsidR="00560608">
        <w:t xml:space="preserve"> </w:t>
      </w:r>
      <w:r w:rsidR="00E45D2F">
        <w:t>partly</w:t>
      </w:r>
      <w:r w:rsidR="00560608">
        <w:t xml:space="preserve"> </w:t>
      </w:r>
      <w:r w:rsidR="00A57A1D">
        <w:t xml:space="preserve">driven by the lowering response rate of </w:t>
      </w:r>
      <w:r w:rsidR="0088684C">
        <w:t>people with foreign background</w:t>
      </w:r>
      <w:r w:rsidR="009068F5">
        <w:t xml:space="preserve"> (see Figure 1)</w:t>
      </w:r>
      <w:r w:rsidR="00A57A1D">
        <w:t xml:space="preserve">. </w:t>
      </w:r>
    </w:p>
    <w:p w14:paraId="7C2EC4C3" w14:textId="7F44AA45" w:rsidR="00A57A1D" w:rsidRPr="00196C64" w:rsidRDefault="00A57A1D" w:rsidP="00A57A1D">
      <w:r>
        <w:lastRenderedPageBreak/>
        <w:t xml:space="preserve">In the </w:t>
      </w:r>
      <w:r w:rsidR="009068F5">
        <w:t>third</w:t>
      </w:r>
      <w:r>
        <w:t xml:space="preserve"> quarter of </w:t>
      </w:r>
      <w:r w:rsidR="009068F5">
        <w:t>2020</w:t>
      </w:r>
      <w:r>
        <w:t xml:space="preserve">, the response rate for </w:t>
      </w:r>
      <w:r w:rsidR="009068F5">
        <w:t>people with foreign background</w:t>
      </w:r>
      <w:r>
        <w:t xml:space="preserve"> was </w:t>
      </w:r>
      <w:r w:rsidR="009068F5">
        <w:t>about 20</w:t>
      </w:r>
      <w:r>
        <w:t>%, while for people with Icelandic background it remai</w:t>
      </w:r>
      <w:r w:rsidR="009068F5">
        <w:t>ned relatively high, or about 72%.</w:t>
      </w:r>
    </w:p>
    <w:p w14:paraId="3FFBF2A1" w14:textId="12803401" w:rsidR="00DB36CC" w:rsidRDefault="00BA2D91" w:rsidP="00196C64">
      <w:pPr>
        <w:pStyle w:val="Caption"/>
      </w:pPr>
      <w:r>
        <w:rPr>
          <w:noProof/>
          <w:lang w:val="is-IS" w:eastAsia="is-IS"/>
        </w:rPr>
        <w:drawing>
          <wp:inline distT="0" distB="0" distL="0" distR="0" wp14:anchorId="635426EB" wp14:editId="53C9EC26">
            <wp:extent cx="3608363" cy="254942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528" cy="2561552"/>
                    </a:xfrm>
                    <a:prstGeom prst="rect">
                      <a:avLst/>
                    </a:prstGeom>
                    <a:noFill/>
                    <a:ln>
                      <a:noFill/>
                    </a:ln>
                  </pic:spPr>
                </pic:pic>
              </a:graphicData>
            </a:graphic>
          </wp:inline>
        </w:drawing>
      </w:r>
    </w:p>
    <w:p w14:paraId="3A4E0295" w14:textId="12BE5BF8" w:rsidR="008847C3" w:rsidRDefault="008847C3" w:rsidP="00196C64">
      <w:pPr>
        <w:pStyle w:val="Caption"/>
      </w:pPr>
      <w:r w:rsidRPr="00196C64">
        <w:t xml:space="preserve">Figure </w:t>
      </w:r>
      <w:r w:rsidRPr="00196C64">
        <w:fldChar w:fldCharType="begin"/>
      </w:r>
      <w:r w:rsidRPr="00196C64">
        <w:instrText xml:space="preserve"> SEQ Figure \* ARABIC </w:instrText>
      </w:r>
      <w:r w:rsidRPr="00196C64">
        <w:fldChar w:fldCharType="separate"/>
      </w:r>
      <w:r w:rsidR="00355ED6" w:rsidRPr="00196C64">
        <w:rPr>
          <w:noProof/>
        </w:rPr>
        <w:t>1</w:t>
      </w:r>
      <w:r w:rsidRPr="00196C64">
        <w:fldChar w:fldCharType="end"/>
      </w:r>
      <w:r w:rsidRPr="00196C64">
        <w:t xml:space="preserve">. </w:t>
      </w:r>
      <w:r w:rsidR="00EE0647">
        <w:t>IS-LFS response rates 2003-2020</w:t>
      </w:r>
      <w:r w:rsidR="00F370B9">
        <w:t xml:space="preserve"> by background</w:t>
      </w:r>
      <w:r w:rsidR="00EE0647">
        <w:t>.</w:t>
      </w:r>
    </w:p>
    <w:p w14:paraId="3DA12B25" w14:textId="002BD7DC" w:rsidR="00F7735F" w:rsidRPr="00F7735F" w:rsidRDefault="00F7735F" w:rsidP="00F7735F">
      <w:r>
        <w:t xml:space="preserve">At the same time, a divergence in response rate </w:t>
      </w:r>
      <w:r w:rsidR="002D6651">
        <w:t xml:space="preserve">across </w:t>
      </w:r>
      <w:r>
        <w:t xml:space="preserve">age groups increased (Figure 2), with people between 65 and 74 having consistently the highest response rate and declining far less than </w:t>
      </w:r>
      <w:r w:rsidR="008B58D7">
        <w:t xml:space="preserve">that </w:t>
      </w:r>
      <w:r>
        <w:t xml:space="preserve">of younger people. </w:t>
      </w:r>
    </w:p>
    <w:p w14:paraId="70A66E4C" w14:textId="19335C59" w:rsidR="00F370B9" w:rsidRDefault="00C31362" w:rsidP="00F370B9">
      <w:bookmarkStart w:id="0" w:name="_GoBack"/>
      <w:r>
        <w:rPr>
          <w:noProof/>
          <w:lang w:val="is-IS" w:eastAsia="is-IS"/>
        </w:rPr>
        <w:drawing>
          <wp:inline distT="0" distB="0" distL="0" distR="0" wp14:anchorId="56816B43" wp14:editId="284B6BF8">
            <wp:extent cx="3608070" cy="25508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1492" cy="2560310"/>
                    </a:xfrm>
                    <a:prstGeom prst="rect">
                      <a:avLst/>
                    </a:prstGeom>
                    <a:noFill/>
                    <a:ln>
                      <a:noFill/>
                    </a:ln>
                  </pic:spPr>
                </pic:pic>
              </a:graphicData>
            </a:graphic>
          </wp:inline>
        </w:drawing>
      </w:r>
      <w:bookmarkEnd w:id="0"/>
    </w:p>
    <w:p w14:paraId="42A4058A" w14:textId="5C383B94" w:rsidR="00F370B9" w:rsidRDefault="00F370B9" w:rsidP="00F370B9">
      <w:pPr>
        <w:pStyle w:val="Caption"/>
      </w:pPr>
      <w:r w:rsidRPr="00196C64">
        <w:t xml:space="preserve">Figure </w:t>
      </w:r>
      <w:r w:rsidR="0055615F">
        <w:t>2</w:t>
      </w:r>
      <w:r w:rsidRPr="00196C64">
        <w:t xml:space="preserve">. </w:t>
      </w:r>
      <w:r>
        <w:t>IS-LFS response rates 2003-2020 by age</w:t>
      </w:r>
      <w:r w:rsidR="00331A1C">
        <w:t xml:space="preserve"> groups.</w:t>
      </w:r>
    </w:p>
    <w:p w14:paraId="7211042A" w14:textId="2E8902CE" w:rsidR="00BB1638" w:rsidRDefault="00BB1638" w:rsidP="00BB1638">
      <w:pPr>
        <w:pStyle w:val="Heading2"/>
      </w:pPr>
      <w:r>
        <w:t>Development of nonresponse during Covid-19</w:t>
      </w:r>
    </w:p>
    <w:p w14:paraId="593D5CCB" w14:textId="79DBBCFA" w:rsidR="008B58D7" w:rsidRPr="008B58D7" w:rsidRDefault="004F29BB" w:rsidP="004F29BB">
      <w:r>
        <w:t xml:space="preserve">Figure </w:t>
      </w:r>
      <w:r w:rsidR="00474994">
        <w:t>3 and 4 shows how levels of different nonresponse type develop from month to mont</w:t>
      </w:r>
      <w:r w:rsidR="002D6651">
        <w:t xml:space="preserve">h </w:t>
      </w:r>
      <w:r w:rsidR="00461277">
        <w:t>for</w:t>
      </w:r>
      <w:r w:rsidR="002D6651">
        <w:t xml:space="preserve"> the covid-19 period</w:t>
      </w:r>
      <w:r w:rsidR="00461277">
        <w:t xml:space="preserve"> March to September 2020</w:t>
      </w:r>
      <w:r w:rsidR="002D6651">
        <w:t xml:space="preserve">, </w:t>
      </w:r>
      <w:r w:rsidR="00474994">
        <w:t>by background and age groups, respectively. Measures are shown from January 201</w:t>
      </w:r>
      <w:r w:rsidR="00461277">
        <w:t>9 for comparison. Non-contact was</w:t>
      </w:r>
      <w:r w:rsidR="00474994">
        <w:t xml:space="preserve"> much higher </w:t>
      </w:r>
      <w:r w:rsidR="00461277">
        <w:t xml:space="preserve">in March </w:t>
      </w:r>
      <w:r w:rsidR="00474994">
        <w:t>among people with foreign background</w:t>
      </w:r>
      <w:r w:rsidR="00461277">
        <w:t xml:space="preserve"> (70%) than </w:t>
      </w:r>
      <w:r w:rsidR="00474994">
        <w:t>Icelandic background</w:t>
      </w:r>
      <w:r w:rsidR="00461277">
        <w:t xml:space="preserve"> (15%)</w:t>
      </w:r>
      <w:r w:rsidR="00474994">
        <w:t xml:space="preserve">, </w:t>
      </w:r>
      <w:r w:rsidR="002D6651">
        <w:t xml:space="preserve">but </w:t>
      </w:r>
      <w:r w:rsidR="00474994">
        <w:t xml:space="preserve">a </w:t>
      </w:r>
      <w:r w:rsidR="002D6651">
        <w:t>clear</w:t>
      </w:r>
      <w:r w:rsidR="00474994">
        <w:t xml:space="preserve"> effect of covid-19 is hard to discern. The same can be said with regards to age groups. Age groups diff</w:t>
      </w:r>
      <w:r w:rsidR="002D6651">
        <w:t>er considerably in levels of non-</w:t>
      </w:r>
      <w:r w:rsidR="00583906">
        <w:t>contact. People aged 25-34 have consistently the highest overall nonresponse rates</w:t>
      </w:r>
      <w:r w:rsidR="00160685">
        <w:t xml:space="preserve"> (47% in March)</w:t>
      </w:r>
      <w:r w:rsidR="00583906">
        <w:t>, due to non-contact</w:t>
      </w:r>
      <w:r w:rsidR="00160685">
        <w:t xml:space="preserve"> </w:t>
      </w:r>
      <w:r w:rsidR="00583906">
        <w:t>, while the oldest age group has consistently the lowest</w:t>
      </w:r>
      <w:r w:rsidR="00160685">
        <w:t xml:space="preserve"> nonresponse rate (16% in March)</w:t>
      </w:r>
      <w:r w:rsidR="00583906">
        <w:t xml:space="preserve">. </w:t>
      </w:r>
      <w:r w:rsidR="00160685">
        <w:t>However,</w:t>
      </w:r>
      <w:r w:rsidR="00474994">
        <w:t xml:space="preserve"> no </w:t>
      </w:r>
      <w:r w:rsidR="00583906">
        <w:t>clear</w:t>
      </w:r>
      <w:r w:rsidR="00474994">
        <w:t xml:space="preserve"> effect of covid-19 </w:t>
      </w:r>
      <w:r w:rsidR="00B03046">
        <w:t>can be seen</w:t>
      </w:r>
      <w:r w:rsidR="00B03046">
        <w:rPr>
          <w:rStyle w:val="CommentReference"/>
        </w:rPr>
        <w:t xml:space="preserve"> </w:t>
      </w:r>
      <w:r w:rsidR="00B03046">
        <w:t>on</w:t>
      </w:r>
      <w:r w:rsidR="00474994">
        <w:t xml:space="preserve"> nonresponse </w:t>
      </w:r>
      <w:r w:rsidR="00583906">
        <w:t>between age groups.</w:t>
      </w:r>
    </w:p>
    <w:p w14:paraId="67E57030" w14:textId="44BBAC6C" w:rsidR="00A41E0B" w:rsidRPr="00A41E0B" w:rsidRDefault="00574424" w:rsidP="00A41E0B">
      <w:r>
        <w:rPr>
          <w:noProof/>
          <w:lang w:val="is-IS" w:eastAsia="is-IS"/>
        </w:rPr>
        <w:lastRenderedPageBreak/>
        <w:drawing>
          <wp:inline distT="0" distB="0" distL="0" distR="0" wp14:anchorId="52C2CCD0" wp14:editId="415BE10B">
            <wp:extent cx="4346917" cy="307807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6907" cy="3099311"/>
                    </a:xfrm>
                    <a:prstGeom prst="rect">
                      <a:avLst/>
                    </a:prstGeom>
                    <a:noFill/>
                    <a:ln>
                      <a:noFill/>
                    </a:ln>
                  </pic:spPr>
                </pic:pic>
              </a:graphicData>
            </a:graphic>
          </wp:inline>
        </w:drawing>
      </w:r>
    </w:p>
    <w:p w14:paraId="2C5CF904" w14:textId="1EEF8EE5" w:rsidR="00A41E0B" w:rsidRDefault="00A41E0B" w:rsidP="00A41E0B">
      <w:pPr>
        <w:pStyle w:val="Caption"/>
      </w:pPr>
      <w:r w:rsidRPr="00196C64">
        <w:t xml:space="preserve">Figure </w:t>
      </w:r>
      <w:r w:rsidR="008B58D7">
        <w:t>3</w:t>
      </w:r>
      <w:r w:rsidRPr="00196C64">
        <w:t xml:space="preserve">. </w:t>
      </w:r>
      <w:r>
        <w:t>IS-LFS nonresponse types during Covid-19 by background.</w:t>
      </w:r>
    </w:p>
    <w:p w14:paraId="6ECCE5D0" w14:textId="76430BF9" w:rsidR="008B58D7" w:rsidRDefault="00D975D2" w:rsidP="008B58D7">
      <w:r>
        <w:rPr>
          <w:noProof/>
          <w:lang w:val="is-IS" w:eastAsia="is-IS"/>
        </w:rPr>
        <w:drawing>
          <wp:inline distT="0" distB="0" distL="0" distR="0" wp14:anchorId="02F8EE3E" wp14:editId="6CD3BFAA">
            <wp:extent cx="4431030" cy="313424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252" cy="3157744"/>
                    </a:xfrm>
                    <a:prstGeom prst="rect">
                      <a:avLst/>
                    </a:prstGeom>
                    <a:noFill/>
                    <a:ln>
                      <a:noFill/>
                    </a:ln>
                  </pic:spPr>
                </pic:pic>
              </a:graphicData>
            </a:graphic>
          </wp:inline>
        </w:drawing>
      </w:r>
    </w:p>
    <w:p w14:paraId="30E37F0D" w14:textId="60338601" w:rsidR="008B58D7" w:rsidRDefault="008B58D7" w:rsidP="008B58D7">
      <w:pPr>
        <w:pStyle w:val="Caption"/>
      </w:pPr>
      <w:r w:rsidRPr="00196C64">
        <w:t xml:space="preserve">Figure </w:t>
      </w:r>
      <w:r>
        <w:t>4</w:t>
      </w:r>
      <w:r w:rsidRPr="00196C64">
        <w:t xml:space="preserve">. </w:t>
      </w:r>
      <w:r>
        <w:t xml:space="preserve">IS-LFS nonresponse types during Covid-19 by </w:t>
      </w:r>
      <w:r w:rsidR="00D975D2">
        <w:t>age groups</w:t>
      </w:r>
      <w:r>
        <w:t>.</w:t>
      </w:r>
    </w:p>
    <w:p w14:paraId="21A47694" w14:textId="631EC081" w:rsidR="00BC6AFE" w:rsidRDefault="00BC6AFE" w:rsidP="00196C64">
      <w:pPr>
        <w:pStyle w:val="Heading1"/>
      </w:pPr>
      <w:r w:rsidRPr="00196C64">
        <w:t>Conclusions</w:t>
      </w:r>
    </w:p>
    <w:p w14:paraId="2DE2F783" w14:textId="3DDFDD34" w:rsidR="000879C6" w:rsidRDefault="00DC537F" w:rsidP="00FA1DA1">
      <w:r>
        <w:t xml:space="preserve">The results </w:t>
      </w:r>
      <w:r w:rsidR="00F5723E">
        <w:t>show</w:t>
      </w:r>
      <w:r>
        <w:t>, that to date, the Covid-19, has not affected nonresponse in the IS-LFS</w:t>
      </w:r>
      <w:r w:rsidR="00202B61">
        <w:t xml:space="preserve"> in </w:t>
      </w:r>
      <w:r w:rsidR="00B03046">
        <w:t>a</w:t>
      </w:r>
      <w:r w:rsidR="00202B61">
        <w:t xml:space="preserve"> clear way</w:t>
      </w:r>
      <w:r>
        <w:t xml:space="preserve">. </w:t>
      </w:r>
      <w:r w:rsidR="00A24FAE">
        <w:t>In fact</w:t>
      </w:r>
      <w:r>
        <w:t xml:space="preserve">, </w:t>
      </w:r>
      <w:r w:rsidR="0031718C">
        <w:t>nonresponse</w:t>
      </w:r>
      <w:r>
        <w:t xml:space="preserve"> rates </w:t>
      </w:r>
      <w:r w:rsidR="0031718C">
        <w:t xml:space="preserve">have </w:t>
      </w:r>
      <w:r>
        <w:t xml:space="preserve">slightly </w:t>
      </w:r>
      <w:r w:rsidR="0031718C">
        <w:t>decreased</w:t>
      </w:r>
      <w:r w:rsidR="00A24FAE">
        <w:t xml:space="preserve"> </w:t>
      </w:r>
      <w:r>
        <w:t>among pe</w:t>
      </w:r>
      <w:r w:rsidR="00A24FAE">
        <w:t xml:space="preserve">ople with Icelandic background </w:t>
      </w:r>
      <w:r w:rsidR="00D975D2">
        <w:t xml:space="preserve">since the third </w:t>
      </w:r>
      <w:r w:rsidR="00434A9C">
        <w:t xml:space="preserve">quarter of 2019. </w:t>
      </w:r>
      <w:r w:rsidR="000879C6">
        <w:t xml:space="preserve">Because no clear effect of covid-19 on nonresponse, </w:t>
      </w:r>
      <w:r w:rsidR="002A114A">
        <w:t>S</w:t>
      </w:r>
      <w:r w:rsidR="00434A9C">
        <w:t xml:space="preserve">tatistics Iceland has not implemented changes to IS-LFS data collection, and made no adjustments to data processing in order to deal with nonresponse in the survey. </w:t>
      </w:r>
    </w:p>
    <w:p w14:paraId="3A125115" w14:textId="314A36B0" w:rsidR="00213051" w:rsidRDefault="000879C6" w:rsidP="00AC443A">
      <w:r>
        <w:t>Yet</w:t>
      </w:r>
      <w:r w:rsidR="00DC537F" w:rsidRPr="00434A9C">
        <w:t xml:space="preserve">, </w:t>
      </w:r>
      <w:r w:rsidR="00434A9C" w:rsidRPr="00434A9C">
        <w:t xml:space="preserve">the </w:t>
      </w:r>
      <w:r w:rsidR="00434A9C">
        <w:t xml:space="preserve">general </w:t>
      </w:r>
      <w:r w:rsidR="00A24FAE" w:rsidRPr="00434A9C">
        <w:t>downward tren</w:t>
      </w:r>
      <w:r w:rsidR="00434A9C">
        <w:t xml:space="preserve">d in the IS-LFS response rate since 2011 warrants </w:t>
      </w:r>
      <w:r w:rsidR="003C247E">
        <w:t xml:space="preserve">scrutiny. </w:t>
      </w:r>
      <w:r w:rsidR="005D461A">
        <w:t>It i</w:t>
      </w:r>
      <w:r w:rsidR="00FA1DA1">
        <w:t>s clear that</w:t>
      </w:r>
      <w:r w:rsidR="005D461A">
        <w:t xml:space="preserve"> the</w:t>
      </w:r>
      <w:r w:rsidR="00FA1DA1">
        <w:t xml:space="preserve"> </w:t>
      </w:r>
      <w:r w:rsidR="003C247E">
        <w:t>overall</w:t>
      </w:r>
      <w:r w:rsidR="00FA1DA1">
        <w:t xml:space="preserve"> response rates</w:t>
      </w:r>
      <w:r w:rsidR="003C247E">
        <w:t xml:space="preserve"> in the IS-LFS</w:t>
      </w:r>
      <w:r w:rsidR="00FA1DA1">
        <w:t xml:space="preserve"> </w:t>
      </w:r>
      <w:r w:rsidR="003C247E">
        <w:t xml:space="preserve">depend, at least partly on </w:t>
      </w:r>
      <w:r w:rsidR="005D461A">
        <w:t xml:space="preserve">changes in </w:t>
      </w:r>
      <w:r w:rsidR="003C247E">
        <w:t xml:space="preserve">demographic </w:t>
      </w:r>
      <w:r w:rsidR="005D461A">
        <w:t>composition</w:t>
      </w:r>
      <w:r w:rsidR="003C247E">
        <w:t xml:space="preserve"> in Iceland</w:t>
      </w:r>
      <w:r w:rsidR="005D461A">
        <w:t xml:space="preserve">, which changed drastically in 2006 (see </w:t>
      </w:r>
      <w:hyperlink r:id="rId15" w:history="1">
        <w:r w:rsidR="005D461A" w:rsidRPr="002A6875">
          <w:rPr>
            <w:rStyle w:val="Hyperlink"/>
          </w:rPr>
          <w:t>https://statice.is/statistics/population/inhabitants/background/</w:t>
        </w:r>
      </w:hyperlink>
      <w:r w:rsidR="005D461A">
        <w:t xml:space="preserve">). </w:t>
      </w:r>
    </w:p>
    <w:p w14:paraId="19E61F94" w14:textId="0944F180" w:rsidR="00331A1C" w:rsidRDefault="00213051" w:rsidP="00AC443A">
      <w:r>
        <w:t xml:space="preserve">While </w:t>
      </w:r>
      <w:r w:rsidR="00D74EE8">
        <w:t>the decline in response rate</w:t>
      </w:r>
      <w:r>
        <w:t xml:space="preserve"> is in line with global trends </w:t>
      </w:r>
      <w:r w:rsidR="00D74EE8">
        <w:t>survey response</w:t>
      </w:r>
      <w:r>
        <w:t xml:space="preserve">, few studies have focused on the </w:t>
      </w:r>
      <w:r w:rsidRPr="00E55EF1">
        <w:rPr>
          <w:i/>
        </w:rPr>
        <w:t>reason</w:t>
      </w:r>
      <w:r w:rsidR="00B03046">
        <w:rPr>
          <w:i/>
        </w:rPr>
        <w:t>s</w:t>
      </w:r>
      <w:r>
        <w:t xml:space="preserve"> for </w:t>
      </w:r>
      <w:r w:rsidR="00D74EE8">
        <w:t>this trend</w:t>
      </w:r>
      <w:r>
        <w:fldChar w:fldCharType="begin" w:fldLock="1"/>
      </w:r>
      <w:r>
        <w:instrText>ADDIN CSL_CITATION {"citationItems":[{"id":"ITEM-1","itemData":{"DOI":"10.11587/IZNRQ5","abstract":"Household survey nonresponse is a matter of concern in many countries. In one of the first international trend analyses, de Leeuw and de Heer (2002) found that response rates declined over the years, and that countries differed in response rates and nonresponse trends. Their analyses cover longitudinal data on the Labour Force Survey from National Statistical Institutes for the period 1980 to 1997. We added a new data set, covering the period 1998-2015, and analysed nonresponse data over time and countries. In these analyses we differentiated between voluntary and mandatory surveys. The trends visible in de Leeuw and de Heer (2002) continue with possibly a small deceleration in refusal rates.","author":[{"dropping-particle":"","family":"Leeuw","given":"Edith","non-dropping-particle":"de","parse-names":false,"suffix":""},{"dropping-particle":"","family":"Hox","given":"Joop J.","non-dropping-particle":"","parse-names":false,"suffix":""},{"dropping-particle":"","family":"Luiten","given":"Annemieke","non-dropping-particle":"","parse-names":false,"suffix":""}],"container-title":"Survey Methods: Insights from the Field","id":"ITEM-1","issued":{"date-parts":[["2018"]]},"page":"1-11","title":"International Nonresponse Trends across Countries and Years: An analysis of 36 years of Labour Force Survey data","type":"article-journal"},"uris":["http://www.mendeley.com/documents/?uuid=d1e6a094-a26b-4153-b345-5c932b8f7fc5"]},{"id":"ITEM-2","itemData":{"DOI":"10.2478/jos-2020-0025","ISSN":"20017367","abstract":"For more than three decades, declining response rates have been of concern to both survey methodologists and practitioners. Still, international comparative studies have been scarce. In one of the first international trend analyses for the period 1980-1997, De Leeuw and De Heer (2002) describe that response rates declined over the years and that countries differed in response rates and nonresponse trends. In this article, we continued where De Leeuw and De Heer (2002) stopped, and present trend data for the next period 1998-2015 from National Statistical Institutes. When we looked at trends over time in this new data set, we found that response rates are still declining over the years. Furthermore, nonresponse trends do differ over countries, but not over surveys. Some countries show a steeper decline in response than others, but all types of surveys show the same downward trend. The differences in (non)response trends over countries can be partly explained by differences in survey design between the countries. Finally, for some countries cost indicators were available, these showed that costs increased over the years and are negatively correlated with noncontact rates.","author":[{"dropping-particle":"","family":"Luiten","given":"Annemieke","non-dropping-particle":"","parse-names":false,"suffix":""},{"dropping-particle":"","family":"Hox","given":"Joop","non-dropping-particle":"","parse-names":false,"suffix":""},{"dropping-particle":"","family":"Leeuw","given":"Edith","non-dropping-particle":"de","parse-names":false,"suffix":""}],"container-title":"Journal of Official Statistics","id":"ITEM-2","issue":"3","issued":{"date-parts":[["2020"]]},"page":"469-487","title":"Survey nonresponse trends and fieldwork effort in the 21st century: Results of an international study across countries and surveys","type":"article-journal","volume":"36"},"uris":["http://www.mendeley.com/documents/?uuid=3a6d95fc-b823-43c2-a4b3-1b912c1bd88a"]}],"mendeley":{"formattedCitation":"&lt;sup&gt;2,4&lt;/sup&gt;","plainTextFormattedCitation":"2,4","previouslyFormattedCitation":"&lt;sup&gt;2,4&lt;/sup&gt;"},"properties":{"noteIndex":0},"schema":"https://github.com/citation-style-language/schema/raw/master/csl-citation.json"}</w:instrText>
      </w:r>
      <w:r>
        <w:fldChar w:fldCharType="separate"/>
      </w:r>
      <w:r w:rsidRPr="00A24FAE">
        <w:rPr>
          <w:noProof/>
          <w:vertAlign w:val="superscript"/>
        </w:rPr>
        <w:t>2,4</w:t>
      </w:r>
      <w:r>
        <w:fldChar w:fldCharType="end"/>
      </w:r>
      <w:r>
        <w:t xml:space="preserve">. </w:t>
      </w:r>
      <w:r w:rsidR="001378F4">
        <w:t>C</w:t>
      </w:r>
      <w:r w:rsidR="00A24FAE">
        <w:t xml:space="preserve">ountries differ considerably </w:t>
      </w:r>
      <w:r w:rsidR="005B0272">
        <w:t xml:space="preserve">not only in </w:t>
      </w:r>
      <w:r w:rsidR="00E023A0">
        <w:t>demographic composition and development</w:t>
      </w:r>
      <w:r w:rsidR="005B0272">
        <w:t xml:space="preserve">, but also </w:t>
      </w:r>
      <w:r w:rsidR="00A24FAE">
        <w:t xml:space="preserve">with regards to </w:t>
      </w:r>
      <w:r w:rsidR="00E023A0">
        <w:t>type of</w:t>
      </w:r>
      <w:r w:rsidR="00A24FAE">
        <w:t xml:space="preserve"> nonresponse. For example, while the proportion of non-contacts and refusals in LU- LFS was 33.9  and 2.9, respectively, these proportions were 8.7 and 42.4 in the UK-LFS in 2018 </w:t>
      </w:r>
      <w:r w:rsidR="00A24FAE">
        <w:fldChar w:fldCharType="begin" w:fldLock="1"/>
      </w:r>
      <w:r w:rsidR="00585085">
        <w:instrText>ADDIN CSL_CITATION {"citationItems":[{"id":"ITEM-1","itemData":{"ISBN":"9789279214349","author":[{"dropping-particle":"","family":"European Union","given":"","non-dropping-particle":"","parse-names":false,"suffix":""}],"id":"ITEM-1","issued":{"date-parts":[["2020"]]},"publisher":"Publications Office of the European Union","publisher-place":"Luxembourg","title":"Quality report of the European Union Labour Force Survey 2018","type":"book"},"uris":["http://www.mendeley.com/documents/?uuid=a399afc5-ec55-4a7f-8b1e-c73e21fa19fd"]}],"mendeley":{"formattedCitation":"&lt;sup&gt;3&lt;/sup&gt;","plainTextFormattedCitation":"3","previouslyFormattedCitation":"&lt;sup&gt;3&lt;/sup&gt;"},"properties":{"noteIndex":0},"schema":"https://github.com/citation-style-language/schema/raw/master/csl-citation.json"}</w:instrText>
      </w:r>
      <w:r w:rsidR="00A24FAE">
        <w:fldChar w:fldCharType="separate"/>
      </w:r>
      <w:r w:rsidR="00A24FAE" w:rsidRPr="00A24FAE">
        <w:rPr>
          <w:noProof/>
          <w:vertAlign w:val="superscript"/>
        </w:rPr>
        <w:t>3</w:t>
      </w:r>
      <w:r w:rsidR="00A24FAE">
        <w:fldChar w:fldCharType="end"/>
      </w:r>
      <w:r w:rsidR="00A24FAE">
        <w:t xml:space="preserve">. This suggest that the </w:t>
      </w:r>
      <w:r w:rsidR="008E1DBB">
        <w:t>survey</w:t>
      </w:r>
      <w:r w:rsidR="008E1DBB">
        <w:rPr>
          <w:i/>
        </w:rPr>
        <w:t xml:space="preserve"> </w:t>
      </w:r>
      <w:r w:rsidR="000B42E3" w:rsidRPr="000B42E3">
        <w:t>context</w:t>
      </w:r>
      <w:r w:rsidR="008800E1">
        <w:fldChar w:fldCharType="begin" w:fldLock="1"/>
      </w:r>
      <w:r w:rsidR="008800E1">
        <w:instrText>ADDIN CSL_CITATION {"citationItems":[{"id":"ITEM-1","itemData":{"DOI":"10.1186/s42409-019-0012-x","ISSN":"2523-8930","abstract":"Declining response rates worldwide have stimulated interest in understanding what may be influencing this decline and how it varies across countries and survey populations. In this paper, we describe the development and validation of a short 9-item survey attitude scale that measures three important constructs, thought by many scholars to be related to decisions to participate in surveys, that is, survey enjoyment, survey value, and survey burden. The survey attitude scale is based on a literature review of earlier work by multiple authors. Our overarching goal with this study is to develop and validate a concise and effective measure of how individuals feel about responding to surveys that can be implemented in surveys and panels to understand the willingness to participate in surveys and improve survey effectiveness. The research questions relate to factor structure, measurement equivalence, reliability, and predictive validity of the survey attitude scale. The data came from three probability-based panels: the German GESIS and PPSM panels and the Dutch LISS panel. The survey attitude scale proved to have a replicable three-dimensional factor structure (survey enjoyment, survey value, and survey burden). Partial scalar measurement equivalence was established across three panels that employed two languages (German and Dutch) and three measurement modes (web, telephone, and paper mail). For all three dimensions of the survey attitude scale, the reliability of the corresponding subscales (enjoyment, value, and burden) was satisfactory. Furthermore, the scales correlated with survey response in the expected directions, indicating predictive validity.","author":[{"dropping-particle":"","family":"Leeuw","given":"Edith","non-dropping-particle":"de","parse-names":false,"suffix":""},{"dropping-particle":"","family":"Hox","given":"Joop","non-dropping-particle":"","parse-names":false,"suffix":""},{"dropping-particle":"","family":"Silber","given":"Henning","non-dropping-particle":"","parse-names":false,"suffix":""},{"dropping-particle":"","family":"Struminskaya","given":"Bella","non-dropping-particle":"","parse-names":false,"suffix":""},{"dropping-particle":"","family":"Vis","given":"Corrie","non-dropping-particle":"","parse-names":false,"suffix":""}],"container-title":"Measurement Instruments for the Social Sciences","id":"ITEM-1","issue":"1","issued":{"date-parts":[["2019"]]},"page":"1-10","publisher":"Measurement Instruments for the Social Sciences","title":"Development of an international survey attitude scale: measurement equivalence, reliability, and predictive validity","type":"article-journal","volume":"1"},"uris":["http://www.mendeley.com/documents/?uuid=da63fbfc-703b-45a5-b707-1b3c5378f50f"]},{"id":"ITEM-2","itemData":{"DOI":"10.11587/IZNRQ5","abstract":"Household survey nonresponse is a matter of concern in many countries. In one of the first international trend analyses, de Leeuw and de Heer (2002) found that response rates declined over the years, and that countries differed in response rates and nonresponse trends. Their analyses cover longitudinal data on the Labour Force Survey from National Statistical Institutes for the period 1980 to 1997. We added a new data set, covering the period 1998-2015, and analysed nonresponse data over time and countries. In these analyses we differentiated between voluntary and mandatory surveys. The trends visible in de Leeuw and de Heer (2002) continue with possibly a small deceleration in refusal rates.","author":[{"dropping-particle":"","family":"Leeuw","given":"Edith","non-dropping-particle":"de","parse-names":false,"suffix":""},{"dropping-particle":"","family":"Hox","given":"Joop J.","non-dropping-particle":"","parse-names":false,"suffix":""},{"dropping-particle":"","family":"Luiten","given":"Annemieke","non-dropping-particle":"","parse-names":false,"suffix":""}],"container-title":"Survey Methods: Insights from the Field","id":"ITEM-2","issued":{"date-parts":[["2018"]]},"page":"1-11","title":"International Nonresponse Trends across Countries and Years: An analysis of 36 years of Labour Force Survey data","type":"article-journal"},"uris":["http://www.mendeley.com/documents/?uuid=d1e6a094-a26b-4153-b345-5c932b8f7fc5"]},{"id":"ITEM-3","itemData":{"DOI":"10.1093/poq/nfz010","ISSN":"15375331","abstract":"Rising rates of nonresponse are one of the most-debated issues in contemporary survey research. While early survey research regularly achieved response rates close to 100 percent, contemporary telephone interviewing methods in the United States regularly obtain response rates below 10 percent, due to a mix of noncontact and refusals. Existing research has examined a number of factors that explain variation in response rates, yet almost all such work considers survey response as an isolated, independent event. This note aims to stimulate debate by suggesting that a paradigm shift in theorizing nonresponse is needed. I diagnose the problem of nonresponse not only as an individual-level, survey-specific phenomenon, but as something larger and more collective: namely, as a common pool resource (CPR) problem. Because researchers acting independently might each seek to maximize their response rate and achieve intended sample sizes, the common pool resource of human respondents can be prone to overextraction. In addition to thinking about \"benefit-cost\" explanations for why respondents might respond to a specific survey, considering responses as a shared resource focuses attention on cross-level theory on how the survey field might collectively govern responses from human populations. Rather than testing CPR theory directly, I instead describe why thinking of nonresponse as a CPR problem may be useful, use the United States as a case study to demonstrate the possible scale of response extraction, and leverage findings from CPR studies to suggest directions for future research into nonresponse.","author":[{"dropping-particle":"","family":"Leeper","given":"Thomas J.","non-dropping-particle":"","parse-names":false,"suffix":""}],"container-title":"Public Opinion Quarterly","id":"ITEM-3","issued":{"date-parts":[["2019"]]},"page":"280-288","title":"Where Have the Respondents Gone? Perhaps We Ate Them All","type":"article-journal","volume":"83"},"uris":["http://www.mendeley.com/documents/?uuid=0acae2fa-57d9-4109-a5c9-f31a4b8e9678"]}],"mendeley":{"formattedCitation":"&lt;sup&gt;4–6&lt;/sup&gt;","plainTextFormattedCitation":"4–6","previouslyFormattedCitation":"&lt;sup&gt;4–6&lt;/sup&gt;"},"properties":{"noteIndex":0},"schema":"https://github.com/citation-style-language/schema/raw/master/csl-citation.json"}</w:instrText>
      </w:r>
      <w:r w:rsidR="008800E1">
        <w:fldChar w:fldCharType="separate"/>
      </w:r>
      <w:r w:rsidR="008800E1" w:rsidRPr="00585085">
        <w:rPr>
          <w:noProof/>
          <w:vertAlign w:val="superscript"/>
        </w:rPr>
        <w:t>4–6</w:t>
      </w:r>
      <w:r w:rsidR="008800E1">
        <w:fldChar w:fldCharType="end"/>
      </w:r>
      <w:r w:rsidR="009F1B8D">
        <w:t xml:space="preserve"> </w:t>
      </w:r>
      <w:r w:rsidR="00003A47">
        <w:t>may be</w:t>
      </w:r>
      <w:r w:rsidR="00A24FAE">
        <w:t xml:space="preserve"> important.</w:t>
      </w:r>
      <w:r w:rsidR="009F1B8D">
        <w:t xml:space="preserve"> </w:t>
      </w:r>
      <w:r w:rsidR="00FA1DA1">
        <w:t>For example, in countries where people primarily use their mobile phone for telecommunication they may be harder to reach for telephone based interviews, than in countries were landline is the primary telecommunication tool, resulting in non-contacts.</w:t>
      </w:r>
    </w:p>
    <w:p w14:paraId="66A27FEB" w14:textId="72512C50" w:rsidR="00A24FAE" w:rsidRDefault="00A24FAE" w:rsidP="00AC443A">
      <w:r>
        <w:t>We suggest that in order to understand, explain and hopefully hamper nonresponse more attentions s</w:t>
      </w:r>
      <w:r w:rsidR="00D3016C">
        <w:t>hould be given to the reasons for</w:t>
      </w:r>
      <w:r>
        <w:t xml:space="preserve"> nonresponse.</w:t>
      </w:r>
      <w:r w:rsidR="00616341">
        <w:t xml:space="preserve"> Our results </w:t>
      </w:r>
      <w:r w:rsidR="00B03046">
        <w:t>show</w:t>
      </w:r>
      <w:r w:rsidR="00616341">
        <w:t xml:space="preserve"> that the main reason for nonresponse in the IS-LFS is </w:t>
      </w:r>
      <w:r w:rsidR="00D3016C">
        <w:t xml:space="preserve">non-contact, which </w:t>
      </w:r>
      <w:r w:rsidR="00616341">
        <w:t xml:space="preserve">is likely to be shaped by the drastic technological change inherent in the </w:t>
      </w:r>
      <w:r w:rsidR="0018181D">
        <w:t xml:space="preserve">massive </w:t>
      </w:r>
      <w:r w:rsidR="00616341">
        <w:t>mobilisation of telecommunication</w:t>
      </w:r>
      <w:r w:rsidR="00585085">
        <w:t xml:space="preserve"> in Iceland</w:t>
      </w:r>
      <w:r w:rsidR="0018181D">
        <w:fldChar w:fldCharType="begin" w:fldLock="1"/>
      </w:r>
      <w:r w:rsidR="009F1B8D">
        <w:instrText>ADDIN CSL_CITATION {"citationItems":[{"id":"ITEM-1","itemData":{"abstract":"Presents the table of contents/splash page of the proceedings record.","id":"ITEM-1","issued":{"date-parts":[["2019"]]},"publisher-place":"Reykjavík","title":"Statistics on the Icelandic Telecommunication Market","type":"report"},"uris":["http://www.mendeley.com/documents/?uuid=ab127771-551f-4fdc-996b-bb2997d322a6"]}],"mendeley":{"formattedCitation":"&lt;sup&gt;7&lt;/sup&gt;","plainTextFormattedCitation":"7","previouslyFormattedCitation":"&lt;sup&gt;7&lt;/sup&gt;"},"properties":{"noteIndex":0},"schema":"https://github.com/citation-style-language/schema/raw/master/csl-citation.json"}</w:instrText>
      </w:r>
      <w:r w:rsidR="0018181D">
        <w:fldChar w:fldCharType="separate"/>
      </w:r>
      <w:r w:rsidR="0018181D" w:rsidRPr="0018181D">
        <w:rPr>
          <w:noProof/>
          <w:vertAlign w:val="superscript"/>
        </w:rPr>
        <w:t>7</w:t>
      </w:r>
      <w:r w:rsidR="0018181D">
        <w:fldChar w:fldCharType="end"/>
      </w:r>
      <w:r w:rsidR="00616341">
        <w:t xml:space="preserve">. </w:t>
      </w:r>
      <w:r w:rsidR="00342C8C">
        <w:t xml:space="preserve">This may explain why non-contacts among people with foreign background and younger people is </w:t>
      </w:r>
      <w:r w:rsidR="009F1B8D">
        <w:t>high</w:t>
      </w:r>
      <w:r w:rsidR="00342C8C">
        <w:t>, as we fi</w:t>
      </w:r>
      <w:r w:rsidR="00553D2E">
        <w:t>nd likely that these groups</w:t>
      </w:r>
      <w:r w:rsidR="00342C8C">
        <w:t xml:space="preserve"> use mobiles as their primary telecommunication tool. It s</w:t>
      </w:r>
      <w:r w:rsidR="00872B25">
        <w:t xml:space="preserve">tands to reason that </w:t>
      </w:r>
      <w:r w:rsidR="002E1A93">
        <w:t xml:space="preserve">although this means that </w:t>
      </w:r>
      <w:r w:rsidR="00872B25">
        <w:t xml:space="preserve">people </w:t>
      </w:r>
      <w:r w:rsidR="002E1A93">
        <w:t>are less bo</w:t>
      </w:r>
      <w:r w:rsidR="00D815A8">
        <w:t>und to participation in</w:t>
      </w:r>
      <w:r w:rsidR="002E1A93">
        <w:t xml:space="preserve"> CATI surveys in the privacy of their homes, they may also find it </w:t>
      </w:r>
      <w:r w:rsidR="00342C8C">
        <w:t xml:space="preserve">uncomfortable to answer </w:t>
      </w:r>
      <w:r w:rsidR="002E1A93">
        <w:t>burdensome surveys,- or even answering telephone calls from unknown numbers, in public or at work.</w:t>
      </w:r>
    </w:p>
    <w:p w14:paraId="2DEC1075" w14:textId="01173B01" w:rsidR="004F29BB" w:rsidRDefault="00616341" w:rsidP="009F1B8D">
      <w:r>
        <w:t xml:space="preserve">In conclusion, </w:t>
      </w:r>
      <w:r w:rsidR="008E1DBB">
        <w:t>although</w:t>
      </w:r>
      <w:r>
        <w:t xml:space="preserve"> Covid-19 has, as of yet, not affected nonresponse in the IS-LFS in </w:t>
      </w:r>
      <w:r w:rsidR="006615C8">
        <w:t>a</w:t>
      </w:r>
      <w:r>
        <w:t xml:space="preserve"> </w:t>
      </w:r>
      <w:r w:rsidR="00B35DA6">
        <w:t>clear</w:t>
      </w:r>
      <w:r>
        <w:t xml:space="preserve"> way, </w:t>
      </w:r>
      <w:r w:rsidR="006615C8">
        <w:t>it does not mean that it could no</w:t>
      </w:r>
      <w:r>
        <w:t>t in the months</w:t>
      </w:r>
      <w:r w:rsidR="00B03046">
        <w:t xml:space="preserve"> ahead</w:t>
      </w:r>
      <w:r>
        <w:t xml:space="preserve">. </w:t>
      </w:r>
      <w:r w:rsidR="00EC7C12">
        <w:t xml:space="preserve">Thus, we will update our result for the final version of this paper, which will be presented in March 2021. </w:t>
      </w:r>
      <w:r>
        <w:t xml:space="preserve">Regardless, </w:t>
      </w:r>
      <w:r w:rsidR="006743B2">
        <w:t>we believe that exploring the general reasons for</w:t>
      </w:r>
      <w:r w:rsidR="00865FC3">
        <w:t xml:space="preserve"> the global downward trend in survey response rates becomes a vital task for NSIs, </w:t>
      </w:r>
      <w:r w:rsidR="00113DDE">
        <w:t xml:space="preserve">- </w:t>
      </w:r>
      <w:r w:rsidR="00865FC3">
        <w:t>if they are to continue assessing important economic and social trends in the years to come</w:t>
      </w:r>
      <w:r w:rsidR="001F6A24">
        <w:t xml:space="preserve"> using social surveys.</w:t>
      </w:r>
    </w:p>
    <w:p w14:paraId="09D66910" w14:textId="3BA43962" w:rsidR="00BC6AFE" w:rsidRPr="00196C64" w:rsidRDefault="00BC6AFE" w:rsidP="00196C64">
      <w:pPr>
        <w:pStyle w:val="Heading1"/>
        <w:numPr>
          <w:ilvl w:val="0"/>
          <w:numId w:val="0"/>
        </w:numPr>
        <w:ind w:left="480" w:hanging="480"/>
      </w:pPr>
      <w:r w:rsidRPr="00196C64">
        <w:t>References</w:t>
      </w:r>
    </w:p>
    <w:p w14:paraId="4FE2476F" w14:textId="3A293474" w:rsidR="0025172B" w:rsidRPr="0025172B" w:rsidRDefault="005C19C2" w:rsidP="0025172B">
      <w:pPr>
        <w:widowControl w:val="0"/>
        <w:autoSpaceDE w:val="0"/>
        <w:autoSpaceDN w:val="0"/>
        <w:adjustRightInd w:val="0"/>
        <w:spacing w:after="80"/>
        <w:ind w:left="640" w:hanging="640"/>
        <w:rPr>
          <w:noProof/>
          <w:szCs w:val="24"/>
        </w:rPr>
      </w:pPr>
      <w:r>
        <w:rPr>
          <w:highlight w:val="yellow"/>
        </w:rPr>
        <w:fldChar w:fldCharType="begin" w:fldLock="1"/>
      </w:r>
      <w:r>
        <w:rPr>
          <w:highlight w:val="yellow"/>
        </w:rPr>
        <w:instrText xml:space="preserve">ADDIN Mendeley Bibliography CSL_BIBLIOGRAPHY </w:instrText>
      </w:r>
      <w:r>
        <w:rPr>
          <w:highlight w:val="yellow"/>
        </w:rPr>
        <w:fldChar w:fldCharType="separate"/>
      </w:r>
      <w:r w:rsidR="0025172B" w:rsidRPr="0025172B">
        <w:rPr>
          <w:noProof/>
          <w:szCs w:val="24"/>
        </w:rPr>
        <w:t>1.</w:t>
      </w:r>
      <w:r w:rsidR="0025172B" w:rsidRPr="0025172B">
        <w:rPr>
          <w:noProof/>
          <w:szCs w:val="24"/>
        </w:rPr>
        <w:tab/>
        <w:t xml:space="preserve">de Leeuw, E. &amp; de Heer, W. Trends in household survey nonresponse: a longitudinal and international comparison. in </w:t>
      </w:r>
      <w:r w:rsidR="0025172B" w:rsidRPr="0025172B">
        <w:rPr>
          <w:i/>
          <w:iCs/>
          <w:noProof/>
          <w:szCs w:val="24"/>
        </w:rPr>
        <w:t>Survey Nonresponse</w:t>
      </w:r>
      <w:r w:rsidR="0025172B" w:rsidRPr="0025172B">
        <w:rPr>
          <w:noProof/>
          <w:szCs w:val="24"/>
        </w:rPr>
        <w:t xml:space="preserve"> (eds. Groves, R. M., Dillman, D. A. &amp; Little, R. J. A.) 41 (Wiley, 2002).</w:t>
      </w:r>
    </w:p>
    <w:p w14:paraId="36DB5F11" w14:textId="77777777" w:rsidR="0025172B" w:rsidRPr="0025172B" w:rsidRDefault="0025172B" w:rsidP="0025172B">
      <w:pPr>
        <w:widowControl w:val="0"/>
        <w:autoSpaceDE w:val="0"/>
        <w:autoSpaceDN w:val="0"/>
        <w:adjustRightInd w:val="0"/>
        <w:spacing w:after="80"/>
        <w:ind w:left="640" w:hanging="640"/>
        <w:rPr>
          <w:noProof/>
          <w:szCs w:val="24"/>
        </w:rPr>
      </w:pPr>
      <w:r w:rsidRPr="0025172B">
        <w:rPr>
          <w:noProof/>
          <w:szCs w:val="24"/>
        </w:rPr>
        <w:t>2.</w:t>
      </w:r>
      <w:r w:rsidRPr="0025172B">
        <w:rPr>
          <w:noProof/>
          <w:szCs w:val="24"/>
        </w:rPr>
        <w:tab/>
        <w:t xml:space="preserve">Luiten, A., Hox, J. &amp; de Leeuw, E. Survey nonresponse trends and fieldwork effort in the 21st century: Results of an international study across countries and surveys. </w:t>
      </w:r>
      <w:r w:rsidRPr="0025172B">
        <w:rPr>
          <w:i/>
          <w:iCs/>
          <w:noProof/>
          <w:szCs w:val="24"/>
        </w:rPr>
        <w:t>J. Off. Stat.</w:t>
      </w:r>
      <w:r w:rsidRPr="0025172B">
        <w:rPr>
          <w:noProof/>
          <w:szCs w:val="24"/>
        </w:rPr>
        <w:t xml:space="preserve"> </w:t>
      </w:r>
      <w:r w:rsidRPr="0025172B">
        <w:rPr>
          <w:b/>
          <w:bCs/>
          <w:noProof/>
          <w:szCs w:val="24"/>
        </w:rPr>
        <w:t>36</w:t>
      </w:r>
      <w:r w:rsidRPr="0025172B">
        <w:rPr>
          <w:noProof/>
          <w:szCs w:val="24"/>
        </w:rPr>
        <w:t>, 469–487 (2020).</w:t>
      </w:r>
    </w:p>
    <w:p w14:paraId="18DADEAD" w14:textId="77777777" w:rsidR="0025172B" w:rsidRPr="0025172B" w:rsidRDefault="0025172B" w:rsidP="0025172B">
      <w:pPr>
        <w:widowControl w:val="0"/>
        <w:autoSpaceDE w:val="0"/>
        <w:autoSpaceDN w:val="0"/>
        <w:adjustRightInd w:val="0"/>
        <w:spacing w:after="80"/>
        <w:ind w:left="640" w:hanging="640"/>
        <w:rPr>
          <w:noProof/>
          <w:szCs w:val="24"/>
        </w:rPr>
      </w:pPr>
      <w:r w:rsidRPr="0025172B">
        <w:rPr>
          <w:noProof/>
          <w:szCs w:val="24"/>
        </w:rPr>
        <w:t>3.</w:t>
      </w:r>
      <w:r w:rsidRPr="0025172B">
        <w:rPr>
          <w:noProof/>
          <w:szCs w:val="24"/>
        </w:rPr>
        <w:tab/>
        <w:t xml:space="preserve">European Union. </w:t>
      </w:r>
      <w:r w:rsidRPr="0025172B">
        <w:rPr>
          <w:i/>
          <w:iCs/>
          <w:noProof/>
          <w:szCs w:val="24"/>
        </w:rPr>
        <w:t>Quality report of the European Union Labour Force Survey 2018</w:t>
      </w:r>
      <w:r w:rsidRPr="0025172B">
        <w:rPr>
          <w:noProof/>
          <w:szCs w:val="24"/>
        </w:rPr>
        <w:t>. (Publications Office of the European Union, 2020).</w:t>
      </w:r>
    </w:p>
    <w:p w14:paraId="1F9D61F9" w14:textId="77777777" w:rsidR="0025172B" w:rsidRPr="0025172B" w:rsidRDefault="0025172B" w:rsidP="0025172B">
      <w:pPr>
        <w:widowControl w:val="0"/>
        <w:autoSpaceDE w:val="0"/>
        <w:autoSpaceDN w:val="0"/>
        <w:adjustRightInd w:val="0"/>
        <w:spacing w:after="80"/>
        <w:ind w:left="640" w:hanging="640"/>
        <w:rPr>
          <w:noProof/>
          <w:szCs w:val="24"/>
        </w:rPr>
      </w:pPr>
      <w:r w:rsidRPr="0025172B">
        <w:rPr>
          <w:noProof/>
          <w:szCs w:val="24"/>
        </w:rPr>
        <w:t>4.</w:t>
      </w:r>
      <w:r w:rsidRPr="0025172B">
        <w:rPr>
          <w:noProof/>
          <w:szCs w:val="24"/>
        </w:rPr>
        <w:tab/>
        <w:t xml:space="preserve">de Leeuw, E., Hox, J. J. &amp; Luiten, A. International Nonresponse Trends across Countries and Years: An analysis of 36 years of Labour Force Survey data. </w:t>
      </w:r>
      <w:r w:rsidRPr="0025172B">
        <w:rPr>
          <w:i/>
          <w:iCs/>
          <w:noProof/>
          <w:szCs w:val="24"/>
        </w:rPr>
        <w:t>Surv. Methods Insights from F.</w:t>
      </w:r>
      <w:r w:rsidRPr="0025172B">
        <w:rPr>
          <w:noProof/>
          <w:szCs w:val="24"/>
        </w:rPr>
        <w:t xml:space="preserve"> 1–11 (2018). doi:10.11587/IZNRQ5</w:t>
      </w:r>
    </w:p>
    <w:p w14:paraId="73C4601A" w14:textId="77777777" w:rsidR="0025172B" w:rsidRPr="0025172B" w:rsidRDefault="0025172B" w:rsidP="0025172B">
      <w:pPr>
        <w:widowControl w:val="0"/>
        <w:autoSpaceDE w:val="0"/>
        <w:autoSpaceDN w:val="0"/>
        <w:adjustRightInd w:val="0"/>
        <w:spacing w:after="80"/>
        <w:ind w:left="640" w:hanging="640"/>
        <w:rPr>
          <w:noProof/>
          <w:szCs w:val="24"/>
        </w:rPr>
      </w:pPr>
      <w:r w:rsidRPr="0025172B">
        <w:rPr>
          <w:noProof/>
          <w:szCs w:val="24"/>
        </w:rPr>
        <w:t>5.</w:t>
      </w:r>
      <w:r w:rsidRPr="0025172B">
        <w:rPr>
          <w:noProof/>
          <w:szCs w:val="24"/>
        </w:rPr>
        <w:tab/>
        <w:t xml:space="preserve">de Leeuw, E., Hox, J., Silber, H., Struminskaya, B. &amp; Vis, C. Development of an international survey attitude scale: measurement equivalence, reliability, and predictive validity. </w:t>
      </w:r>
      <w:r w:rsidRPr="0025172B">
        <w:rPr>
          <w:i/>
          <w:iCs/>
          <w:noProof/>
          <w:szCs w:val="24"/>
        </w:rPr>
        <w:t>Meas. Instruments Soc. Sci.</w:t>
      </w:r>
      <w:r w:rsidRPr="0025172B">
        <w:rPr>
          <w:noProof/>
          <w:szCs w:val="24"/>
        </w:rPr>
        <w:t xml:space="preserve"> </w:t>
      </w:r>
      <w:r w:rsidRPr="0025172B">
        <w:rPr>
          <w:b/>
          <w:bCs/>
          <w:noProof/>
          <w:szCs w:val="24"/>
        </w:rPr>
        <w:t>1</w:t>
      </w:r>
      <w:r w:rsidRPr="0025172B">
        <w:rPr>
          <w:noProof/>
          <w:szCs w:val="24"/>
        </w:rPr>
        <w:t>, 1–10 (2019).</w:t>
      </w:r>
    </w:p>
    <w:p w14:paraId="4FA7ACB2" w14:textId="77777777" w:rsidR="0025172B" w:rsidRPr="0025172B" w:rsidRDefault="0025172B" w:rsidP="0025172B">
      <w:pPr>
        <w:widowControl w:val="0"/>
        <w:autoSpaceDE w:val="0"/>
        <w:autoSpaceDN w:val="0"/>
        <w:adjustRightInd w:val="0"/>
        <w:spacing w:after="80"/>
        <w:ind w:left="640" w:hanging="640"/>
        <w:rPr>
          <w:noProof/>
          <w:szCs w:val="24"/>
        </w:rPr>
      </w:pPr>
      <w:r w:rsidRPr="0025172B">
        <w:rPr>
          <w:noProof/>
          <w:szCs w:val="24"/>
        </w:rPr>
        <w:t>6.</w:t>
      </w:r>
      <w:r w:rsidRPr="0025172B">
        <w:rPr>
          <w:noProof/>
          <w:szCs w:val="24"/>
        </w:rPr>
        <w:tab/>
        <w:t xml:space="preserve">Leeper, T. J. Where Have the Respondents Gone? Perhaps We Ate Them All. </w:t>
      </w:r>
      <w:r w:rsidRPr="0025172B">
        <w:rPr>
          <w:i/>
          <w:iCs/>
          <w:noProof/>
          <w:szCs w:val="24"/>
        </w:rPr>
        <w:t>Public Opin. Q.</w:t>
      </w:r>
      <w:r w:rsidRPr="0025172B">
        <w:rPr>
          <w:noProof/>
          <w:szCs w:val="24"/>
        </w:rPr>
        <w:t xml:space="preserve"> </w:t>
      </w:r>
      <w:r w:rsidRPr="0025172B">
        <w:rPr>
          <w:b/>
          <w:bCs/>
          <w:noProof/>
          <w:szCs w:val="24"/>
        </w:rPr>
        <w:t>83</w:t>
      </w:r>
      <w:r w:rsidRPr="0025172B">
        <w:rPr>
          <w:noProof/>
          <w:szCs w:val="24"/>
        </w:rPr>
        <w:t>, 280–288 (2019).</w:t>
      </w:r>
    </w:p>
    <w:p w14:paraId="6E990E30" w14:textId="77777777" w:rsidR="0025172B" w:rsidRPr="0025172B" w:rsidRDefault="0025172B" w:rsidP="0025172B">
      <w:pPr>
        <w:widowControl w:val="0"/>
        <w:autoSpaceDE w:val="0"/>
        <w:autoSpaceDN w:val="0"/>
        <w:adjustRightInd w:val="0"/>
        <w:spacing w:after="80"/>
        <w:ind w:left="640" w:hanging="640"/>
        <w:rPr>
          <w:noProof/>
        </w:rPr>
      </w:pPr>
      <w:r w:rsidRPr="0025172B">
        <w:rPr>
          <w:noProof/>
          <w:szCs w:val="24"/>
        </w:rPr>
        <w:t>7.</w:t>
      </w:r>
      <w:r w:rsidRPr="0025172B">
        <w:rPr>
          <w:noProof/>
          <w:szCs w:val="24"/>
        </w:rPr>
        <w:tab/>
      </w:r>
      <w:r w:rsidRPr="0025172B">
        <w:rPr>
          <w:i/>
          <w:iCs/>
          <w:noProof/>
          <w:szCs w:val="24"/>
        </w:rPr>
        <w:t>Statistics on the Icelandic Telecommunication Market</w:t>
      </w:r>
      <w:r w:rsidRPr="0025172B">
        <w:rPr>
          <w:noProof/>
          <w:szCs w:val="24"/>
        </w:rPr>
        <w:t>. (2019).</w:t>
      </w:r>
    </w:p>
    <w:p w14:paraId="0864CE26" w14:textId="77777777" w:rsidR="00BC6AFE" w:rsidRPr="001B50CE" w:rsidRDefault="005C19C2" w:rsidP="008E1DBB">
      <w:pPr>
        <w:pStyle w:val="Text1"/>
        <w:spacing w:after="80"/>
        <w:ind w:left="0"/>
        <w:rPr>
          <w:highlight w:val="yellow"/>
        </w:rPr>
      </w:pPr>
      <w:r>
        <w:rPr>
          <w:highlight w:val="yellow"/>
        </w:rPr>
        <w:fldChar w:fldCharType="end"/>
      </w:r>
    </w:p>
    <w:sectPr w:rsidR="00BC6AFE" w:rsidRPr="001B50CE" w:rsidSect="00BC6AFE">
      <w:footerReference w:type="default" r:id="rId16"/>
      <w:headerReference w:type="first" r:id="rId17"/>
      <w:footerReference w:type="first" r:id="rId18"/>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128C6" w14:textId="77777777" w:rsidR="002E0EF2" w:rsidRDefault="002E0EF2" w:rsidP="00BC6AFE">
      <w:pPr>
        <w:spacing w:after="0"/>
      </w:pPr>
      <w:r>
        <w:separator/>
      </w:r>
    </w:p>
  </w:endnote>
  <w:endnote w:type="continuationSeparator" w:id="0">
    <w:p w14:paraId="53A90E2B" w14:textId="77777777" w:rsidR="002E0EF2" w:rsidRDefault="002E0EF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68A5" w14:textId="2E9E1D11" w:rsidR="00D24082" w:rsidRDefault="00D24082">
    <w:pPr>
      <w:pStyle w:val="Footer"/>
      <w:jc w:val="center"/>
    </w:pPr>
    <w:r>
      <w:fldChar w:fldCharType="begin"/>
    </w:r>
    <w:r>
      <w:instrText>PAGE</w:instrText>
    </w:r>
    <w:r>
      <w:fldChar w:fldCharType="separate"/>
    </w:r>
    <w:r w:rsidR="00A1160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BA53" w14:textId="77777777" w:rsidR="00D24082" w:rsidRDefault="00D24082">
    <w:pPr>
      <w:pStyle w:val="Footer"/>
      <w:rPr>
        <w:sz w:val="24"/>
        <w:szCs w:val="24"/>
      </w:rPr>
    </w:pPr>
  </w:p>
  <w:p w14:paraId="5B36C4B0"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F24792A" w14:textId="77777777" w:rsidR="00D24082" w:rsidRDefault="00D24082">
    <w:pPr>
      <w:pStyle w:val="Footer"/>
    </w:pPr>
  </w:p>
  <w:p w14:paraId="1549294F" w14:textId="77777777" w:rsidR="00D24082" w:rsidRDefault="00D24082">
    <w:pPr>
      <w:pStyle w:val="Footer"/>
    </w:pPr>
    <w:r>
      <w:t>http://epp.eurostat.ec.europa.eu</w:t>
    </w:r>
  </w:p>
  <w:p w14:paraId="32C28880"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8AB2" w14:textId="77777777" w:rsidR="002E0EF2" w:rsidRDefault="002E0EF2" w:rsidP="00BC6AFE">
      <w:pPr>
        <w:spacing w:after="0"/>
      </w:pPr>
      <w:r>
        <w:separator/>
      </w:r>
    </w:p>
  </w:footnote>
  <w:footnote w:type="continuationSeparator" w:id="0">
    <w:p w14:paraId="0F921AC5" w14:textId="77777777" w:rsidR="002E0EF2" w:rsidRDefault="002E0EF2"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14B4E"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355ED6"/>
    <w:rsid w:val="00003A47"/>
    <w:rsid w:val="00012F23"/>
    <w:rsid w:val="00022240"/>
    <w:rsid w:val="00043913"/>
    <w:rsid w:val="000642A1"/>
    <w:rsid w:val="000879C6"/>
    <w:rsid w:val="000B09C6"/>
    <w:rsid w:val="000B1B68"/>
    <w:rsid w:val="000B42E3"/>
    <w:rsid w:val="000E00D0"/>
    <w:rsid w:val="000F7438"/>
    <w:rsid w:val="001009CC"/>
    <w:rsid w:val="00113DDE"/>
    <w:rsid w:val="001236DF"/>
    <w:rsid w:val="00127067"/>
    <w:rsid w:val="001378F4"/>
    <w:rsid w:val="00147829"/>
    <w:rsid w:val="00160685"/>
    <w:rsid w:val="001661CF"/>
    <w:rsid w:val="0018181D"/>
    <w:rsid w:val="001857CF"/>
    <w:rsid w:val="00196C64"/>
    <w:rsid w:val="001B50CE"/>
    <w:rsid w:val="001F6A24"/>
    <w:rsid w:val="002012A8"/>
    <w:rsid w:val="00202B61"/>
    <w:rsid w:val="00213051"/>
    <w:rsid w:val="00230065"/>
    <w:rsid w:val="002323F3"/>
    <w:rsid w:val="00243A2C"/>
    <w:rsid w:val="0025172B"/>
    <w:rsid w:val="00265447"/>
    <w:rsid w:val="002805A5"/>
    <w:rsid w:val="002A114A"/>
    <w:rsid w:val="002C18F4"/>
    <w:rsid w:val="002D4CA8"/>
    <w:rsid w:val="002D6651"/>
    <w:rsid w:val="002E0D97"/>
    <w:rsid w:val="002E0EF2"/>
    <w:rsid w:val="002E1A93"/>
    <w:rsid w:val="002E1B25"/>
    <w:rsid w:val="003062D5"/>
    <w:rsid w:val="0031718C"/>
    <w:rsid w:val="003207FB"/>
    <w:rsid w:val="003243D0"/>
    <w:rsid w:val="00331A1C"/>
    <w:rsid w:val="00332D6F"/>
    <w:rsid w:val="00342C8C"/>
    <w:rsid w:val="00355ED6"/>
    <w:rsid w:val="00361570"/>
    <w:rsid w:val="00372FC1"/>
    <w:rsid w:val="003759FA"/>
    <w:rsid w:val="0038543D"/>
    <w:rsid w:val="00387E0D"/>
    <w:rsid w:val="003A28FF"/>
    <w:rsid w:val="003C247E"/>
    <w:rsid w:val="003D30B8"/>
    <w:rsid w:val="003F5024"/>
    <w:rsid w:val="004003B0"/>
    <w:rsid w:val="004056E9"/>
    <w:rsid w:val="00434A9C"/>
    <w:rsid w:val="004533C3"/>
    <w:rsid w:val="00461277"/>
    <w:rsid w:val="00461E4F"/>
    <w:rsid w:val="00474994"/>
    <w:rsid w:val="00490257"/>
    <w:rsid w:val="004E15E0"/>
    <w:rsid w:val="004E2F58"/>
    <w:rsid w:val="004F29BB"/>
    <w:rsid w:val="004F3DFB"/>
    <w:rsid w:val="00504463"/>
    <w:rsid w:val="00505644"/>
    <w:rsid w:val="00512165"/>
    <w:rsid w:val="005420A6"/>
    <w:rsid w:val="00553D2E"/>
    <w:rsid w:val="0055615F"/>
    <w:rsid w:val="00560608"/>
    <w:rsid w:val="005660BD"/>
    <w:rsid w:val="00573E28"/>
    <w:rsid w:val="00574424"/>
    <w:rsid w:val="00583906"/>
    <w:rsid w:val="00585085"/>
    <w:rsid w:val="00594A0A"/>
    <w:rsid w:val="005B0272"/>
    <w:rsid w:val="005B4EA5"/>
    <w:rsid w:val="005B7DD4"/>
    <w:rsid w:val="005C19C2"/>
    <w:rsid w:val="005D461A"/>
    <w:rsid w:val="00616341"/>
    <w:rsid w:val="00621948"/>
    <w:rsid w:val="00621B59"/>
    <w:rsid w:val="006312AF"/>
    <w:rsid w:val="00645292"/>
    <w:rsid w:val="006615C8"/>
    <w:rsid w:val="006743B2"/>
    <w:rsid w:val="006875D6"/>
    <w:rsid w:val="00695EC6"/>
    <w:rsid w:val="006D7F85"/>
    <w:rsid w:val="0070217E"/>
    <w:rsid w:val="00714873"/>
    <w:rsid w:val="00740FF9"/>
    <w:rsid w:val="00741CF0"/>
    <w:rsid w:val="007F2C5C"/>
    <w:rsid w:val="008008C7"/>
    <w:rsid w:val="00820BDC"/>
    <w:rsid w:val="0083322B"/>
    <w:rsid w:val="00842769"/>
    <w:rsid w:val="00842A8E"/>
    <w:rsid w:val="00844D06"/>
    <w:rsid w:val="00855D5A"/>
    <w:rsid w:val="00865FC3"/>
    <w:rsid w:val="00872B25"/>
    <w:rsid w:val="00875783"/>
    <w:rsid w:val="008800E1"/>
    <w:rsid w:val="008847C3"/>
    <w:rsid w:val="008855BA"/>
    <w:rsid w:val="0088684C"/>
    <w:rsid w:val="008A284E"/>
    <w:rsid w:val="008A59B1"/>
    <w:rsid w:val="008A75D0"/>
    <w:rsid w:val="008B58D7"/>
    <w:rsid w:val="008C0B30"/>
    <w:rsid w:val="008C7823"/>
    <w:rsid w:val="008E1DBB"/>
    <w:rsid w:val="008E29ED"/>
    <w:rsid w:val="009068DF"/>
    <w:rsid w:val="009068F5"/>
    <w:rsid w:val="00923850"/>
    <w:rsid w:val="00975927"/>
    <w:rsid w:val="00987160"/>
    <w:rsid w:val="009A41E5"/>
    <w:rsid w:val="009B4EE0"/>
    <w:rsid w:val="009D4FAA"/>
    <w:rsid w:val="009E5420"/>
    <w:rsid w:val="009F0338"/>
    <w:rsid w:val="009F1B8D"/>
    <w:rsid w:val="009F404D"/>
    <w:rsid w:val="00A0207F"/>
    <w:rsid w:val="00A1160F"/>
    <w:rsid w:val="00A15078"/>
    <w:rsid w:val="00A17E8C"/>
    <w:rsid w:val="00A24FAE"/>
    <w:rsid w:val="00A37898"/>
    <w:rsid w:val="00A41E0B"/>
    <w:rsid w:val="00A57A1D"/>
    <w:rsid w:val="00AB4423"/>
    <w:rsid w:val="00AC443A"/>
    <w:rsid w:val="00AF6FF3"/>
    <w:rsid w:val="00B03046"/>
    <w:rsid w:val="00B34A7B"/>
    <w:rsid w:val="00B35DA6"/>
    <w:rsid w:val="00B3641F"/>
    <w:rsid w:val="00B40E3C"/>
    <w:rsid w:val="00B4614B"/>
    <w:rsid w:val="00B534F8"/>
    <w:rsid w:val="00B772E3"/>
    <w:rsid w:val="00B854E2"/>
    <w:rsid w:val="00B9492F"/>
    <w:rsid w:val="00BA2D91"/>
    <w:rsid w:val="00BB1638"/>
    <w:rsid w:val="00BB22FA"/>
    <w:rsid w:val="00BC17F5"/>
    <w:rsid w:val="00BC6AFE"/>
    <w:rsid w:val="00BD0A50"/>
    <w:rsid w:val="00BE6DF8"/>
    <w:rsid w:val="00C033D8"/>
    <w:rsid w:val="00C143C2"/>
    <w:rsid w:val="00C16ADF"/>
    <w:rsid w:val="00C2405E"/>
    <w:rsid w:val="00C31362"/>
    <w:rsid w:val="00C7401C"/>
    <w:rsid w:val="00C93B5A"/>
    <w:rsid w:val="00C951C8"/>
    <w:rsid w:val="00CB24B6"/>
    <w:rsid w:val="00CB3B02"/>
    <w:rsid w:val="00CB449B"/>
    <w:rsid w:val="00CD2FC3"/>
    <w:rsid w:val="00CF199C"/>
    <w:rsid w:val="00D24082"/>
    <w:rsid w:val="00D3016C"/>
    <w:rsid w:val="00D37251"/>
    <w:rsid w:val="00D46FB4"/>
    <w:rsid w:val="00D52EA1"/>
    <w:rsid w:val="00D55082"/>
    <w:rsid w:val="00D74EE8"/>
    <w:rsid w:val="00D815A8"/>
    <w:rsid w:val="00D975D2"/>
    <w:rsid w:val="00DB36CC"/>
    <w:rsid w:val="00DB601E"/>
    <w:rsid w:val="00DC537F"/>
    <w:rsid w:val="00DF400D"/>
    <w:rsid w:val="00E023A0"/>
    <w:rsid w:val="00E04BDD"/>
    <w:rsid w:val="00E20554"/>
    <w:rsid w:val="00E32C8A"/>
    <w:rsid w:val="00E45D2F"/>
    <w:rsid w:val="00E55EF1"/>
    <w:rsid w:val="00E7256A"/>
    <w:rsid w:val="00EC3324"/>
    <w:rsid w:val="00EC7C12"/>
    <w:rsid w:val="00ED18D8"/>
    <w:rsid w:val="00EE0647"/>
    <w:rsid w:val="00EF6B91"/>
    <w:rsid w:val="00F14D93"/>
    <w:rsid w:val="00F370B9"/>
    <w:rsid w:val="00F4142F"/>
    <w:rsid w:val="00F5723E"/>
    <w:rsid w:val="00F7735F"/>
    <w:rsid w:val="00F8493E"/>
    <w:rsid w:val="00F858B6"/>
    <w:rsid w:val="00F8647D"/>
    <w:rsid w:val="00FA1DA1"/>
    <w:rsid w:val="00FA7EBB"/>
    <w:rsid w:val="00FB5B51"/>
    <w:rsid w:val="00FC052F"/>
    <w:rsid w:val="00FD469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4B6807"/>
  <w15:chartTrackingRefBased/>
  <w15:docId w15:val="{682D685D-2D4B-47DF-8766-CAE0F7DB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C8A"/>
    <w:rPr>
      <w:color w:val="0563C1" w:themeColor="hyperlink"/>
      <w:u w:val="single"/>
    </w:rPr>
  </w:style>
  <w:style w:type="character" w:styleId="CommentReference">
    <w:name w:val="annotation reference"/>
    <w:basedOn w:val="DefaultParagraphFont"/>
    <w:uiPriority w:val="99"/>
    <w:semiHidden/>
    <w:unhideWhenUsed/>
    <w:rsid w:val="00CF199C"/>
    <w:rPr>
      <w:sz w:val="16"/>
      <w:szCs w:val="16"/>
    </w:rPr>
  </w:style>
  <w:style w:type="paragraph" w:styleId="CommentSubject">
    <w:name w:val="annotation subject"/>
    <w:basedOn w:val="CommentText"/>
    <w:next w:val="CommentText"/>
    <w:link w:val="CommentSubjectChar"/>
    <w:uiPriority w:val="99"/>
    <w:semiHidden/>
    <w:unhideWhenUsed/>
    <w:rsid w:val="00CF199C"/>
    <w:rPr>
      <w:b/>
      <w:bCs/>
    </w:rPr>
  </w:style>
  <w:style w:type="character" w:customStyle="1" w:styleId="CommentTextChar">
    <w:name w:val="Comment Text Char"/>
    <w:basedOn w:val="DefaultParagraphFont"/>
    <w:link w:val="CommentText"/>
    <w:semiHidden/>
    <w:rsid w:val="00CF199C"/>
    <w:rPr>
      <w:lang w:val="en-GB" w:eastAsia="en-US"/>
    </w:rPr>
  </w:style>
  <w:style w:type="character" w:customStyle="1" w:styleId="CommentSubjectChar">
    <w:name w:val="Comment Subject Char"/>
    <w:basedOn w:val="CommentTextChar"/>
    <w:link w:val="CommentSubject"/>
    <w:uiPriority w:val="99"/>
    <w:semiHidden/>
    <w:rsid w:val="00CF199C"/>
    <w:rPr>
      <w:b/>
      <w:bCs/>
      <w:lang w:val="en-GB" w:eastAsia="en-US"/>
    </w:rPr>
  </w:style>
  <w:style w:type="paragraph" w:styleId="BalloonText">
    <w:name w:val="Balloon Text"/>
    <w:basedOn w:val="Normal"/>
    <w:link w:val="BalloonTextChar"/>
    <w:uiPriority w:val="99"/>
    <w:semiHidden/>
    <w:unhideWhenUsed/>
    <w:rsid w:val="00CF19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99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atice.is/statistics/population/inhabitants/backgroun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A1B3361E-42FE-4A4B-8ADF-276BAD7E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0</TotalTime>
  <Pages>5</Pages>
  <Words>1292</Words>
  <Characters>23456</Characters>
  <Application>Microsoft Office Word</Application>
  <DocSecurity>0</DocSecurity>
  <PresentationFormat>Microsoft Word 14.0</PresentationFormat>
  <Lines>195</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Arndís</dc:creator>
  <cp:keywords>EL4</cp:keywords>
  <cp:lastModifiedBy>Arndís</cp:lastModifiedBy>
  <cp:revision>2</cp:revision>
  <cp:lastPrinted>2018-05-29T12:06:00Z</cp:lastPrinted>
  <dcterms:created xsi:type="dcterms:W3CDTF">2020-10-15T15:29:00Z</dcterms:created>
  <dcterms:modified xsi:type="dcterms:W3CDTF">2020-10-15T15:29:00Z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endeley Recent Style Id 0_1">
    <vt:lpwstr>http://www.zotero.org/styles/american-medical-association</vt:lpwstr>
  </property>
  <property fmtid="{D5CDD505-2E9C-101B-9397-08002B2CF9AE}" pid="14" name="Mendeley Recent Style Name 0_1">
    <vt:lpwstr>American Medical Association</vt:lpwstr>
  </property>
  <property fmtid="{D5CDD505-2E9C-101B-9397-08002B2CF9AE}" pid="15" name="Mendeley Recent Style Id 1_1">
    <vt:lpwstr>http://www.zotero.org/styles/american-political-science-association</vt:lpwstr>
  </property>
  <property fmtid="{D5CDD505-2E9C-101B-9397-08002B2CF9AE}" pid="16" name="Mendeley Recent Style Name 1_1">
    <vt:lpwstr>American Political Science Association</vt:lpwstr>
  </property>
  <property fmtid="{D5CDD505-2E9C-101B-9397-08002B2CF9AE}" pid="17" name="Mendeley Recent Style Id 2_1">
    <vt:lpwstr>http://www.zotero.org/styles/apa</vt:lpwstr>
  </property>
  <property fmtid="{D5CDD505-2E9C-101B-9397-08002B2CF9AE}" pid="18" name="Mendeley Recent Style Name 2_1">
    <vt:lpwstr>American Psychological Association 6th edition</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17th edition (author-date)</vt:lpwstr>
  </property>
  <property fmtid="{D5CDD505-2E9C-101B-9397-08002B2CF9AE}" pid="23" name="Mendeley Recent Style Id 5_1">
    <vt:lpwstr>http://www.zotero.org/styles/harvard-cite-them-right</vt:lpwstr>
  </property>
  <property fmtid="{D5CDD505-2E9C-101B-9397-08002B2CF9AE}" pid="24" name="Mendeley Recent Style Name 5_1">
    <vt:lpwstr>Cite Them Right 10th edition - Harvard</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8th edition</vt:lpwstr>
  </property>
  <property fmtid="{D5CDD505-2E9C-101B-9397-08002B2CF9AE}" pid="31" name="Mendeley Recent Style Id 9_1">
    <vt:lpwstr>http://www.zotero.org/styles/nature</vt:lpwstr>
  </property>
  <property fmtid="{D5CDD505-2E9C-101B-9397-08002B2CF9AE}" pid="32" name="Mendeley Recent Style Name 9_1">
    <vt:lpwstr>Nature</vt:lpwstr>
  </property>
  <property fmtid="{D5CDD505-2E9C-101B-9397-08002B2CF9AE}" pid="33" name="Mendeley Document_1">
    <vt:lpwstr>True</vt:lpwstr>
  </property>
  <property fmtid="{D5CDD505-2E9C-101B-9397-08002B2CF9AE}" pid="34" name="Mendeley Unique User Id_1">
    <vt:lpwstr>86e03b4d-81ae-3ba8-94ef-c9aa78fc1b0b</vt:lpwstr>
  </property>
  <property fmtid="{D5CDD505-2E9C-101B-9397-08002B2CF9AE}" pid="35" name="Mendeley Citation Style_1">
    <vt:lpwstr>http://www.zotero.org/styles/nature</vt:lpwstr>
  </property>
</Properties>
</file>